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94615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SCHEDULE 14A</w:t>
      </w:r>
    </w:p>
    <w:p>
      <w:pPr>
        <w:spacing w:after="0" w:line="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85725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35"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(together with any adjournments, postponements or other delays thereof, the Annual Meeting) of Seer, Inc. (Seer or the Company), which will take place on [•] at [•] Pacific Time. The Annual Meeting will be held at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holding the Annual Meeting for the following purposes, as more fully described in the accompanying proxy statement:</w:t>
      </w:r>
    </w:p>
    <w:p>
      <w:pPr>
        <w:spacing w:after="0" w:line="171" w:lineRule="exact"/>
        <w:rPr>
          <w:sz w:val="20"/>
          <w:szCs w:val="20"/>
          <w:color w:val="auto"/>
        </w:rPr>
      </w:pPr>
    </w:p>
    <w:p>
      <w:pPr>
        <w:ind w:left="1020" w:right="5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each to serve until the 2027 annual meeting of stockholders and until such director’s successor is elected and qualified or until such director’s earlier death, resignation or removal.</w:t>
      </w:r>
    </w:p>
    <w:p>
      <w:pPr>
        <w:spacing w:after="0" w:line="10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our fiscal year ending December 31, 2026.</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named executive officer compensation.</w:t>
      </w:r>
    </w:p>
    <w:p>
      <w:pPr>
        <w:spacing w:after="0" w:line="1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Tax Benefit Preservation Plan so that it may remain in effect through February 25, 2029, unless earlier terminated by our board of directors.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Our board of directors unanimously recommends that you only vote “FOR” each of Seer’s director nominees (</w:t>
      </w:r>
      <w:r>
        <w:rPr>
          <w:rFonts w:ascii="Times New Roman" w:cs="Times New Roman" w:eastAsia="Times New Roman" w:hAnsi="Times New Roman"/>
          <w:sz w:val="18"/>
          <w:szCs w:val="18"/>
          <w:b w:val="1"/>
          <w:bCs w:val="1"/>
          <w:color w:val="auto"/>
        </w:rPr>
        <w:t>Omid Farokhzad, M.D.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Meeta Gulyani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Robert Langer, Sc.D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Terrance McGuire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Dipchand (Deep) Nishar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Isaac 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Nicolas Roelofs, Ph.D.</w:t>
      </w:r>
      <w:r>
        <w:rPr>
          <w:rFonts w:ascii="Times New Roman" w:cs="Times New Roman" w:eastAsia="Times New Roman" w:hAnsi="Times New Roman"/>
          <w:sz w:val="18"/>
          <w:szCs w:val="18"/>
          <w:color w:val="auto"/>
        </w:rPr>
        <w:t>) and in accordance with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recommendation on all other proposals.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fixed the close of business on [•], 2026, as the record date for the Annual Meeting. Only stockholders of record as of the close of business on that date are entitled to notice of and to vote at the Annual Meeting.</w:t>
      </w:r>
    </w:p>
    <w:p>
      <w:pPr>
        <w:spacing w:after="0" w:line="1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w:t>
      </w:r>
      <w:r>
        <w:rPr>
          <w:rFonts w:ascii="Times New Roman" w:cs="Times New Roman" w:eastAsia="Times New Roman" w:hAnsi="Times New Roman"/>
          <w:sz w:val="18"/>
          <w:szCs w:val="18"/>
          <w:color w:val="auto"/>
        </w:rPr>
        <w:t>. The accompanying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our annual report can be accessed by visiting our investor relations website at investor.seer.bio. The proxy statement and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are first being made available to stockholders on or about [•], 2026.</w:t>
      </w:r>
    </w:p>
    <w:p>
      <w:pPr>
        <w:spacing w:after="0" w:line="17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Your vote will be especially important at the Annual Meeting</w:t>
      </w:r>
      <w:r>
        <w:rPr>
          <w:rFonts w:ascii="Times New Roman" w:cs="Times New Roman" w:eastAsia="Times New Roman" w:hAnsi="Times New Roman"/>
          <w:sz w:val="18"/>
          <w:szCs w:val="18"/>
          <w:color w:val="auto"/>
        </w:rPr>
        <w:t>. As you may know, Bradley L. Radoff, Michael Torok and certain of their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Radoff-JEC Group) have notified Seer that they intend to nominate three director candidates for election to our board of directors at the Annual Meeting in opposition to the election of three of the nominees recommended by our board of directors. You may receive a proxy statement, white proxy card or white voting instruction form and other solicitation materials from the Radoff-JEC Group asking you to vote for the director candidates nominated by the Radoff-JEC Group. These materials are not from Seer. Our board of directors recommends that you disregard them. Seer is not responsible for the accuracy or completeness of any information provided by, or relating to, the Radoff-JEC Group or its director candidates in any materials filed or disseminated by, or on behalf of, the Radoff-JEC Group, or for any statements that the Radoff-JEC Group or its representatives have made or may otherwise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b w:val="1"/>
          <w:bCs w:val="1"/>
          <w:color w:val="auto"/>
        </w:rPr>
        <w:t>Our board of directors strongly urges you NOT to sign or return any white proxy card or white voting instruction form sent to you by the Radoff-JEC Group, even as a protest vote</w:t>
      </w:r>
      <w:r>
        <w:rPr>
          <w:rFonts w:ascii="Times New Roman" w:cs="Times New Roman" w:eastAsia="Times New Roman" w:hAnsi="Times New Roman"/>
          <w:sz w:val="18"/>
          <w:szCs w:val="18"/>
          <w:color w:val="auto"/>
        </w:rPr>
        <w:t>. If you have previously submitted a white proxy card or white voting instruction form provided by the Radoff-JEC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Group, you can revoke that proxy at any time by: (i)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postage-paid envelope provided. </w:t>
      </w:r>
      <w:r>
        <w:rPr>
          <w:rFonts w:ascii="Times New Roman" w:cs="Times New Roman" w:eastAsia="Times New Roman" w:hAnsi="Times New Roman"/>
          <w:sz w:val="18"/>
          <w:szCs w:val="18"/>
          <w:b w:val="1"/>
          <w:bCs w:val="1"/>
          <w:color w:val="auto"/>
        </w:rPr>
        <w:t>Voting your shares by proxy using the enclosed BLUE proxy card or BLUE voting instruction ensures that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are unable to attend the Annual Meeting, your shares will be voted at the Annual Meeting. Voting by proxy will not limit your right to change your vote or to attend the Annual Meeting.</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This year, your proxy card or voting instruction form looks different. As a result of the Radoff-JEC Group’s actions, your proxy card or voting instruction form has more names on it than there are seats on our board of directors up for election. Please carefully review the proxy card or voting instruction form and </w:t>
      </w:r>
      <w:r>
        <w:rPr>
          <w:rFonts w:ascii="Times New Roman" w:cs="Times New Roman" w:eastAsia="Times New Roman" w:hAnsi="Times New Roman"/>
          <w:sz w:val="18"/>
          <w:szCs w:val="18"/>
          <w:b w:val="1"/>
          <w:bCs w:val="1"/>
          <w:color w:val="auto"/>
        </w:rPr>
        <w:t>only vote “FOR” the nominees recommended by our board of directors and “FOR” all other proposals.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Your vote is important. Regardless of whether you plan to attend the Annual Meeting, it is important that your shares be represented and voted at the Annual Meeting, and we hope that you will vote as soon as possible. You may vote by proxy at any time by: (i) following the instructions on the enclosed </w:t>
      </w:r>
      <w:r>
        <w:rPr>
          <w:rFonts w:ascii="Times New Roman" w:cs="Times New Roman" w:eastAsia="Times New Roman" w:hAnsi="Times New Roman"/>
          <w:sz w:val="18"/>
          <w:szCs w:val="18"/>
          <w:b w:val="1"/>
          <w:bCs w:val="1"/>
          <w:color w:val="auto"/>
        </w:rPr>
        <w:t xml:space="preserve">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 instruction form to vote by proxy via the internet or by telephone; and (ii) completing, signing, dating and mailing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postage-paid envelope provided. Voting by one of these methods will ensure your representation at the Annual Meeting regardless of whether you attend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notice forms a part of the proxy statement to which it is attached.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thank you for your continued support of and interest in Seer.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4483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483100"/>
                    </a:xfrm>
                    <a:prstGeom prst="rect">
                      <a:avLst/>
                    </a:prstGeom>
                    <a:noFill/>
                  </pic:spPr>
                </pic:pic>
              </a:graphicData>
            </a:graphic>
          </wp:anchor>
        </w:drawing>
        <w:t>YOUR VOTE IS VERY IMPORTANT</w:t>
      </w:r>
    </w:p>
    <w:p>
      <w:pPr>
        <w:spacing w:after="0" w:line="117"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shareholders only vote “FOR” Seer’s director nominees (Omid Farokhzad, M.D., Meeta Gulyani, Robert Langer, Sc.D., Terrance McGuire, Dipchand (Deep) Nishar, Isaac Ro and Nicolas Roelofs, Ph.D.) and “FOR” all other proposals.</w:t>
      </w:r>
    </w:p>
    <w:p>
      <w:pPr>
        <w:spacing w:after="0" w:line="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Your vote is especially important at the Annual Meeting. The Radoff-JEC Group has notified the Company that it intends to nominate three director candidates for election to our board of directors at the Annual Meeting in opposition to the election of three of the nominees recommended by our board of directors. You may receive a proxy statement, white proxy card or white voting instruction form and other solicitation materials from the Radoff-JEC Group asking you to vote for the director candidates nominated by the Radoff-JEC Group. These materials are not from Seer. Our board of directors recommends that you disregard them. Seer is not responsible for the accuracy or completeness of any information provided by, or relating to, the Radoff-JEC Group or its director candidates in any materials filed or disseminated by, or on behalf of, the Radoff-JEC Group, or for any statements that the Radoff-JEC Group or its representatives have made or may make.</w:t>
      </w:r>
    </w:p>
    <w:p>
      <w:pPr>
        <w:spacing w:after="0" w:line="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Your vote is important. Regardless of whether you plan to attend the Annual Meeting, it is important that your shares be represented and voted at the Annual Meeting, and we hope that you will vote as soon as possible. You may vote by proxy at any time by: (i) following the instructions on the enclosed </w:t>
      </w:r>
      <w:r>
        <w:rPr>
          <w:rFonts w:ascii="Times New Roman" w:cs="Times New Roman" w:eastAsia="Times New Roman" w:hAnsi="Times New Roman"/>
          <w:sz w:val="17"/>
          <w:szCs w:val="17"/>
          <w:b w:val="1"/>
          <w:bCs w:val="1"/>
          <w:color w:val="auto"/>
        </w:rPr>
        <w:t xml:space="preserve">BLUE </w:t>
      </w:r>
      <w:r>
        <w:rPr>
          <w:rFonts w:ascii="Times New Roman" w:cs="Times New Roman" w:eastAsia="Times New Roman" w:hAnsi="Times New Roman"/>
          <w:sz w:val="17"/>
          <w:szCs w:val="17"/>
          <w:color w:val="auto"/>
        </w:rPr>
        <w:t>proxy card or</w:t>
      </w:r>
      <w:r>
        <w:rPr>
          <w:rFonts w:ascii="Times New Roman" w:cs="Times New Roman" w:eastAsia="Times New Roman" w:hAnsi="Times New Roman"/>
          <w:sz w:val="17"/>
          <w:szCs w:val="17"/>
          <w:b w:val="1"/>
          <w:bCs w:val="1"/>
          <w:color w:val="auto"/>
        </w:rPr>
        <w:t xml:space="preserve"> BLUE </w:t>
      </w:r>
      <w:r>
        <w:rPr>
          <w:rFonts w:ascii="Times New Roman" w:cs="Times New Roman" w:eastAsia="Times New Roman" w:hAnsi="Times New Roman"/>
          <w:sz w:val="17"/>
          <w:szCs w:val="17"/>
          <w:color w:val="auto"/>
        </w:rPr>
        <w:t>voting instruction form to vote by proxy via the internet or by telephone; or (ii) completing, signing, dating and mailing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enclosed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proxy card or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in the postage-paid envelope provided. </w:t>
      </w:r>
      <w:r>
        <w:rPr>
          <w:rFonts w:ascii="Times New Roman" w:cs="Times New Roman" w:eastAsia="Times New Roman" w:hAnsi="Times New Roman"/>
          <w:sz w:val="17"/>
          <w:szCs w:val="17"/>
          <w:b w:val="1"/>
          <w:bCs w:val="1"/>
          <w:color w:val="auto"/>
        </w:rPr>
        <w:t>Voting your shares by proxy using the enclosed</w:t>
      </w:r>
    </w:p>
    <w:p>
      <w:pPr>
        <w:spacing w:after="0" w:line="3"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b w:val="1"/>
          <w:bCs w:val="1"/>
          <w:color w:val="auto"/>
        </w:rPr>
        <w:t>BLUE proxy card or BLUE voting instruction ensures that if you are unable to attend the Annual Meeting, your shares will be voted at the Annual Meeting. Voting by proxy will not limit your right to change your vote during, or to attend, the Annual Meeting.</w:t>
      </w:r>
    </w:p>
    <w:p>
      <w:pPr>
        <w:spacing w:after="0" w:line="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strongly urges you NOT to sign or return any white proxy card or white voting instruction form sent to you by the Radoff-JEC Group, even as a protest vote. </w:t>
      </w:r>
      <w:r>
        <w:rPr>
          <w:rFonts w:ascii="Times New Roman" w:cs="Times New Roman" w:eastAsia="Times New Roman" w:hAnsi="Times New Roman"/>
          <w:sz w:val="18"/>
          <w:szCs w:val="18"/>
          <w:color w:val="auto"/>
        </w:rPr>
        <w:t>If you have previously submitted a white proxy card or white voting instruction form provided by the Radoff-JEC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please follow the instructions in the accompanying proxy statement to revoke your proxy.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1013460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2" w:right="3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8890</wp:posOffset>
            </wp:positionV>
            <wp:extent cx="154305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at [•] Pacific Time on [•]</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are furnished in connection with the solicitation of proxies by our board of directors for use at the 2026 annual meeting of stockholders (together with any postponement, adjournment or other delay thereof, the Annual Meeting) of Seer, Inc. (Seer or the Company). The Annual Meeting will take place on [•] at [•] Pacific Time. The Annual Meeting will be held at [•].</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 xml:space="preserve">This proxy statement is dated [•], 2026, and, together with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is first being made available to stockholders on or about [•], 2026.</w:t>
      </w:r>
    </w:p>
    <w:p>
      <w:pPr>
        <w:spacing w:after="0" w:line="168" w:lineRule="exact"/>
        <w:rPr>
          <w:sz w:val="20"/>
          <w:szCs w:val="20"/>
          <w:color w:val="auto"/>
        </w:rPr>
      </w:pPr>
    </w:p>
    <w:p>
      <w:pPr>
        <w:ind w:lef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Regardless of whether you plan to attend the Annual Meeting, it is important that your shares be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voted at the Annual Meeting, and we hope that you will vote as soon as possible. You may vote by proxy at any time by: (i)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postage-paid envelope provided. </w:t>
      </w:r>
      <w:r>
        <w:rPr>
          <w:rFonts w:ascii="Times New Roman" w:cs="Times New Roman" w:eastAsia="Times New Roman" w:hAnsi="Times New Roman"/>
          <w:sz w:val="18"/>
          <w:szCs w:val="18"/>
          <w:b w:val="1"/>
          <w:bCs w:val="1"/>
          <w:color w:val="auto"/>
        </w:rPr>
        <w:t>Voting your shares by proxy using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enclosed BLUE proxy card or BLUE voting instruction ensures that if you are unable to attend the Annual Meeting, your shares will be voted at the Annual Meeting. Voting by proxy will not limit your right to change your vote during, or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1154430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-840105</wp:posOffset>
            </wp:positionV>
            <wp:extent cx="7136130" cy="852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85280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7"/>
        </w:trPr>
        <w:tc>
          <w:tcPr>
            <w:tcW w:w="8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QUESTIONS AND ANSWERS ABOUT THE ANNUAL MEETING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BOARD OF DIRECTORS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80" w:type="dxa"/>
            <w:vAlign w:val="bottom"/>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0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Family Relationships</w:t>
            </w:r>
          </w:p>
        </w:tc>
        <w:tc>
          <w:tcPr>
            <w:tcW w:w="5740" w:type="dxa"/>
            <w:vAlign w:val="bottom"/>
            <w:gridSpan w:val="11"/>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Director Independence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Board Leadership Structure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Committees of our Board of Directors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Attendance at Board and Stockholder Meetings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Talent and Compensation Committee Interlocks and Insider Participation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Considerations in Evaluating Director Nominees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Stockholder Recommendations for Nominations to our Board of Directors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Communications with our Board of Directors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Corporate Governance Guidelines and Code of Business Conduct and Ethics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Role of our Board of Directors in Risk Oversight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Director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PROPOSAL NO. 1 - ELECTION OF DIRECTORS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PROPOSAL NO. 2 - RATIFICATION OF APPOINTMENT OF INDEPENDENT REGISTERED PUBLIC ACCOUNTING FIRM</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PROPOSAL NO. 3 - NON-BINDING ADVISORY VOTE TO APPROVE NAMED EXECUTIVE OFFICER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PROPOSAL NO. 4 - RATIFICATION OF TAX BENEFIT PRESERVATION PLAN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AUDIT COMMITTEE REPORT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EXECUTIVE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Summary Compensation Table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Outstanding Equity Awards at 2025 Year-End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Potential Payments Upon Termination or Change in Control</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Key Executive Change in Control and Severance Plan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Equity Compensation Plan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PAY VERSUS PERFORMANCE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NAMED EXECUTIVE OFFICER COMPENSATION OVERVIEW</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r>
      <w:tr>
        <w:trPr>
          <w:trHeight w:val="223"/>
        </w:trPr>
        <w:tc>
          <w:tcPr>
            <w:tcW w:w="80" w:type="dxa"/>
            <w:vAlign w:val="bottom"/>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432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FF"/>
              </w:rPr>
              <w:t>Executive Summary</w:t>
            </w:r>
          </w:p>
        </w:tc>
        <w:tc>
          <w:tcPr>
            <w:tcW w:w="5480" w:type="dxa"/>
            <w:vAlign w:val="bottom"/>
            <w:gridSpan w:val="9"/>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Compensation Philosophy and Objectives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Compensation Determination Process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Key Components of our Compensation Program</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9"/>
            <w:shd w:val="clear" w:color="auto" w:fill="0000FF"/>
          </w:tcPr>
          <w:p>
            <w:pPr>
              <w:spacing w:after="0" w:line="20" w:lineRule="exact"/>
              <w:rPr>
                <w:sz w:val="1"/>
                <w:szCs w:val="1"/>
                <w:color w:val="auto"/>
              </w:rPr>
            </w:pPr>
          </w:p>
        </w:tc>
        <w:tc>
          <w:tcPr>
            <w:tcW w:w="10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Additional Compensation Policies and Practices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9"/>
            <w:shd w:val="clear" w:color="auto" w:fill="0000FF"/>
          </w:tcPr>
          <w:p>
            <w:pPr>
              <w:spacing w:after="0" w:line="20" w:lineRule="exact"/>
              <w:rPr>
                <w:sz w:val="1"/>
                <w:szCs w:val="1"/>
                <w:color w:val="auto"/>
              </w:rPr>
            </w:pPr>
          </w:p>
        </w:tc>
        <w:tc>
          <w:tcPr>
            <w:tcW w:w="1000" w:type="dxa"/>
            <w:vAlign w:val="bottom"/>
            <w:tcBorders>
              <w:right w:val="single" w:sz="8" w:color="0000EE"/>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9"/>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CERTAIN RELATIONSHIPS, RELATED PARTY AND OTHER TRANSACTIONS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9"/>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OTHER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Delinquent Section 16(a) 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10"/>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Fiscal Year 2025 Annual Report and SEC Filings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r>
      <w:tr>
        <w:trPr>
          <w:trHeight w:val="1418"/>
        </w:trPr>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of directors is providing these proxy materials to you in connection with its solicitation of proxies for use at the Annual Meeting. The Annual Meeting will take place on [•] at [•] Pacific Time. The Annual Meeting will be held at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proposals scheduled to be voted on at the Annual Meeting:</w:t>
      </w:r>
    </w:p>
    <w:p>
      <w:pPr>
        <w:spacing w:after="0" w:line="225" w:lineRule="exact"/>
        <w:rPr>
          <w:sz w:val="20"/>
          <w:szCs w:val="20"/>
          <w:color w:val="auto"/>
        </w:rPr>
      </w:pPr>
    </w:p>
    <w:p>
      <w:pPr>
        <w:ind w:left="1140" w:right="18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to elect seven directors, each to serve until the 2027 annual meeting of stockholders and until such director’s successor is elected and qualified or until such director’s earlier death, resignation or removal;</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to ratify the appointment of Deloitte &amp; Touche LLP as our independent registered public accounting firm for our fiscal year ending December 31, 2026;</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to conduct a non-binding advisory vote to approve named executive officer compensation; and</w:t>
      </w:r>
    </w:p>
    <w:p>
      <w:pPr>
        <w:spacing w:after="0" w:line="225"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to ratify the Tax Benefit Preservation Plan so that it may remain in effect through February 25, 2029, unless earlier terminated by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221" w:lineRule="exact"/>
        <w:rPr>
          <w:sz w:val="20"/>
          <w:szCs w:val="20"/>
          <w:color w:val="auto"/>
        </w:rPr>
      </w:pPr>
    </w:p>
    <w:p>
      <w:pPr>
        <w:ind w:left="1140" w:right="500" w:hanging="383"/>
        <w:spacing w:after="0" w:line="28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only the election of</w:t>
      </w:r>
      <w:r>
        <w:rPr>
          <w:rFonts w:ascii="Times New Roman" w:cs="Times New Roman" w:eastAsia="Times New Roman" w:hAnsi="Times New Roman"/>
          <w:sz w:val="18"/>
          <w:szCs w:val="18"/>
          <w:b w:val="1"/>
          <w:bCs w:val="1"/>
          <w:color w:val="auto"/>
        </w:rPr>
        <w:t xml:space="preserve"> Omid Farokhzad, M.D., Meeta Gulyani, Robert Langer, Sc.D., Terrance McGuire, Dipchand (Deep) Nishar, Isaac Ro and Nicolas Roelofs, Ph.D.</w:t>
      </w:r>
      <w:r>
        <w:rPr>
          <w:rFonts w:ascii="Times New Roman" w:cs="Times New Roman" w:eastAsia="Times New Roman" w:hAnsi="Times New Roman"/>
          <w:sz w:val="18"/>
          <w:szCs w:val="18"/>
          <w:color w:val="auto"/>
        </w:rPr>
        <w:t>, the seven director candidates nominated by our board of directors;</w:t>
      </w:r>
    </w:p>
    <w:p>
      <w:pPr>
        <w:spacing w:after="0" w:line="154" w:lineRule="exact"/>
        <w:rPr>
          <w:rFonts w:ascii="Times New Roman" w:cs="Times New Roman" w:eastAsia="Times New Roman" w:hAnsi="Times New Roman"/>
          <w:sz w:val="18"/>
          <w:szCs w:val="18"/>
          <w:color w:val="auto"/>
        </w:rPr>
      </w:pPr>
    </w:p>
    <w:p>
      <w:pPr>
        <w:ind w:left="1140" w:right="60" w:hanging="383"/>
        <w:spacing w:after="0" w:line="28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named executive officer compensation;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Tax Benefit Preservation Plan.</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Please carefully review the BLUE proxy card or BLUE voting instruction form and only vote “FOR” the nominees recommended by our board of directors and “FOR” all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136130"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30416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Yes. Your vote will be especially important at the Annual Meeting</w:t>
      </w:r>
      <w:r>
        <w:rPr>
          <w:rFonts w:ascii="Times New Roman" w:cs="Times New Roman" w:eastAsia="Times New Roman" w:hAnsi="Times New Roman"/>
          <w:sz w:val="18"/>
          <w:szCs w:val="18"/>
          <w:color w:val="auto"/>
        </w:rPr>
        <w:t>. As you may know, Bradley L. Radoff, Michael Torok and certain of their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(collectively, the Radoff-JEC Group) have notified the Company that they intend to nominate three individuals (the Radoff-JEC Nominees) for election to our board of directors at the Annual Meeting in opposition to the election of three of the nominees recommended by our board of directors. Our board of directors does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endorse the Radoff-JEC Nominees, and the presence of the Radoff-JEC Nominees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an approval, or comment on the fitness, character, suitability or other qualifications, of the Radoff-JEC Nominees.</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Our board of directors urges you to vote only on the BLUE proxy card or BLUE voting instruction form only “FOR” our board of directors’ nominees (Omid Farokhzad, M.D., Meeta Gulyani, Robert Langer, Sc.D., Terrance McGuire, Dipchand (Deep) Nishar, Isaac Ro and Nicolas Roelofs, Ph.D.), to disregard any materials sent to you by, or on behalf of, the Radoff-JEC Group, and not to sign, return or vote any white proxy card or white voting instruction form sent to you by, or on behalf of, the Radoff-JEC Group</w:t>
      </w:r>
      <w:r>
        <w:rPr>
          <w:rFonts w:ascii="Times New Roman" w:cs="Times New Roman" w:eastAsia="Times New Roman" w:hAnsi="Times New Roman"/>
          <w:sz w:val="18"/>
          <w:szCs w:val="18"/>
          <w:color w:val="auto"/>
        </w:rPr>
        <w:t>. We are not responsible for the accuracy or completeness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information provided by, or relating to, the Radoff-JEC Group or the Radoff-JEC Nominees contained in any proxy solicitation materials filed or disseminated by, or on behalf of, the Radoff-JEC Group, or any statements that the Radoff-JEC Group or its representatives have made or may otherwise make. </w:t>
      </w:r>
      <w:r>
        <w:rPr>
          <w:rFonts w:ascii="Times New Roman" w:cs="Times New Roman" w:eastAsia="Times New Roman" w:hAnsi="Times New Roman"/>
          <w:sz w:val="18"/>
          <w:szCs w:val="18"/>
          <w:b w:val="1"/>
          <w:bCs w:val="1"/>
          <w:color w:val="auto"/>
        </w:rPr>
        <w:t>Voting your shares by proxy using the enclosed BLUE proxy card or BLUE voting instruction ensures that if you are unable to attend the</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b w:val="1"/>
          <w:bCs w:val="1"/>
          <w:color w:val="auto"/>
        </w:rPr>
        <w:t>Annual Meeting, your shares will be voted at the Annual Meeting. Voting by proxy will not limit your right to change your vote during, or to attend, the Annual Meeting.</w:t>
      </w:r>
    </w:p>
    <w:p>
      <w:pPr>
        <w:spacing w:after="0" w:line="1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Our board of directors strongly urges you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to sign or return any white proxy card or white voting instruction form sent to you by, or on behalf of, the Radoff-JEC Group. If you have previously submitted a proxy using the proxy card or voting instruction form sent to you by, or on behalf of, the Radoff-JEC Group, you can revoke that proxy at any time by: (i)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postage-paid envelope provided. Only your latest-dated, validly executed proxy will 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Holders of our Class A common stock at the close of business on [•], 2026, the record date for the Annual Meeting (the Record Date), are entitled to notice of and to vote at the Annual Meeting. Each stockholder is entitled to one vote for each share of our Class A common stock held as of the Record Date. As of the Record Date, there were [•] shares of Class A common stock outstanding and entitled to vote. Stockholders are not permitted to cumulate votes with respect to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for it to be properly held under our amended and restated bylaws and Delaware law. The holders of a majority of the voting power of the capital stock of the Company issued and outstanding and entitled to vote, present in person or represented by proxy, constitutes a quorum for the transaction of business at the Annual Meeting. Abstentions, withhold votes, and broker non-votes are counted as shares present and entitled to vote for purposes of determining a quorum. If a quorum is not present or represented at the Annual Meeting,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strongly encourage you to vote by proxy over the internet, by telephone or by mail by following the instructions on the enclosed BLUE proxy card or BLUE voting instruction form prior to the Annual Meeting. Regardless of how you hold your shares, voting by proxy ensures that if you are unable to attend the Annual Meeting, your shares will be voted at the Annual Meeting. Voting now will not limit your right to change your vote during, or to attend,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If, on the Record Date, your shares were registered directly in your name with Computershare Trust Company, N.A., our transfer agent, then you are considered a “stockholder of record.” If you are a stockholder of record, this proxy statement was accompanied by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You may vote in the following ways:</w:t>
      </w:r>
    </w:p>
    <w:p>
      <w:pPr>
        <w:spacing w:after="0" w:line="172"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the internet by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toll-free telephone by following the instructions on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completing, signing, dating and returning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22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at the Annual Meeting.</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We strongly encourage you to vote by mail, via the internet or by telephone prior to the Annual Meeting by following the instructions provided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even if you plan to attend the Annual Meeting.</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This year, your proxy card looks different. As a result of the actions of the Radoff-JEC Group,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has more names on it than there are director seats up for election. Please carefully review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only vote “FOR” Seer’s director nominees (</w:t>
      </w:r>
      <w:r>
        <w:rPr>
          <w:rFonts w:ascii="Times New Roman" w:cs="Times New Roman" w:eastAsia="Times New Roman" w:hAnsi="Times New Roman"/>
          <w:sz w:val="18"/>
          <w:szCs w:val="18"/>
          <w:b w:val="1"/>
          <w:bCs w:val="1"/>
          <w:color w:val="auto"/>
        </w:rPr>
        <w:t>Omid Farokhzad, M.D.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Meeta Gulyani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Robert Langer, Sc.D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Terrance McGuire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Dipchand (Deep) Nishar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Isaac 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Nicolas Roelofs, Ph.D.</w:t>
      </w:r>
      <w:r>
        <w:rPr>
          <w:rFonts w:ascii="Times New Roman" w:cs="Times New Roman" w:eastAsia="Times New Roman" w:hAnsi="Times New Roman"/>
          <w:sz w:val="18"/>
          <w:szCs w:val="18"/>
          <w:color w:val="auto"/>
        </w:rPr>
        <w:t>) and “FOR”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154305</wp:posOffset>
            </wp:positionV>
            <wp:extent cx="1457325" cy="419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32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by a broker, bank or other nominee, then you are “the beneficial owner” of shares held in “street name” and you are considered a “street name stockholder.” This proxy statement, along with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were sent to you by your broker, bank or other nominee. Your broker, bank or other nominee is considered to be the stockholder of record for purposes of voting at the Annual Meeting. As a beneficial owner, you have the right to direct your broker, bank or other nominee regarding how to vote the shares in your account. </w:t>
      </w:r>
      <w:r>
        <w:rPr>
          <w:rFonts w:ascii="Times New Roman" w:cs="Times New Roman" w:eastAsia="Times New Roman" w:hAnsi="Times New Roman"/>
          <w:sz w:val="18"/>
          <w:szCs w:val="18"/>
          <w:b w:val="1"/>
          <w:bCs w:val="1"/>
          <w:color w:val="auto"/>
        </w:rPr>
        <w:t>We encourage you to communicate your voting decisions to your broker well before the date of the Annual Meeting to ensure that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will be counted.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 xml:space="preserve">If you are a beneficial owner, you received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from your broker, bank or other nominee. You must follow the voting instructions provided by your broker, bank or other nominee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direct your broker, bank or other nominee on how to vote your shares.</w:t>
      </w:r>
    </w:p>
    <w:p>
      <w:pPr>
        <w:spacing w:after="0" w:line="17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This year, your voting instruction form looks different. As a result of the actions of the Radoff-JEC Group,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has more names on it than there are director seats up for election. Please carefully review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and </w:t>
      </w:r>
      <w:r>
        <w:rPr>
          <w:rFonts w:ascii="Times New Roman" w:cs="Times New Roman" w:eastAsia="Times New Roman" w:hAnsi="Times New Roman"/>
          <w:sz w:val="18"/>
          <w:szCs w:val="18"/>
          <w:b w:val="1"/>
          <w:bCs w:val="1"/>
          <w:color w:val="auto"/>
        </w:rPr>
        <w:t>only vote “FOR</w:t>
      </w:r>
      <w:r>
        <w:rPr>
          <w:rFonts w:ascii="Times New Roman" w:cs="Times New Roman" w:eastAsia="Times New Roman" w:hAnsi="Times New Roman"/>
          <w:sz w:val="18"/>
          <w:szCs w:val="18"/>
          <w:color w:val="auto"/>
        </w:rPr>
        <w:t>” Seer’s director nominees (</w:t>
      </w:r>
      <w:r>
        <w:rPr>
          <w:rFonts w:ascii="Times New Roman" w:cs="Times New Roman" w:eastAsia="Times New Roman" w:hAnsi="Times New Roman"/>
          <w:sz w:val="18"/>
          <w:szCs w:val="18"/>
          <w:b w:val="1"/>
          <w:bCs w:val="1"/>
          <w:color w:val="auto"/>
        </w:rPr>
        <w:t>Omid Farokhzad, M.D.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Meeta Gulyani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Robert Langer, Sc.D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Terrance McGuire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Dipchand (Deep) Nishar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Isaac 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Nicolas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Roelofs, Ph.D.</w:t>
      </w:r>
      <w:r>
        <w:rPr>
          <w:rFonts w:ascii="Times New Roman" w:cs="Times New Roman" w:eastAsia="Times New Roman" w:hAnsi="Times New Roman"/>
          <w:sz w:val="18"/>
          <w:szCs w:val="18"/>
          <w:color w:val="auto"/>
        </w:rPr>
        <w:t>) and “FOR” all other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154305</wp:posOffset>
            </wp:positionV>
            <wp:extent cx="1457325" cy="41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732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71" w:lineRule="exact"/>
        <w:rPr>
          <w:sz w:val="20"/>
          <w:szCs w:val="20"/>
          <w:color w:val="auto"/>
        </w:rPr>
      </w:pPr>
    </w:p>
    <w:p>
      <w:pPr>
        <w:ind w:left="1020" w:right="2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Each director is elected by a plurality of the voting power of the shares present in person or represented by proxy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and entitled to vote on the election of directors. You may vote (i) “FOR” for a director nominee or (ii) “WITHHOLD” for a director nominee.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It is not possible to vote to abstain on the election of a nominee.</w:t>
      </w:r>
    </w:p>
    <w:p>
      <w:pPr>
        <w:spacing w:after="0" w:line="128" w:lineRule="exact"/>
        <w:rPr>
          <w:rFonts w:ascii="Times New Roman" w:cs="Times New Roman" w:eastAsia="Times New Roman" w:hAnsi="Times New Roman"/>
          <w:sz w:val="18"/>
          <w:szCs w:val="18"/>
          <w:color w:val="auto"/>
        </w:rPr>
      </w:pPr>
    </w:p>
    <w:p>
      <w:pPr>
        <w:ind w:left="1020" w:right="18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Approval of the ratification of the appointment of Deloitte &amp; Touche LLP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our fiscal year ending December 31, 2026, requires the affirmative “For” vote of the majority of the voting power of the shares of our Class A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2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The non-binding advisory approval of named executive officer compensation requires the affirmative “For” vote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voting power of the shares of our Class A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Seer.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50" w:lineRule="exact"/>
        <w:rPr>
          <w:sz w:val="20"/>
          <w:szCs w:val="20"/>
          <w:color w:val="auto"/>
        </w:rPr>
      </w:pPr>
    </w:p>
    <w:p>
      <w:pPr>
        <w:ind w:left="1020" w:right="2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Approval of the ratification of the Tax Benefit Preservation Plan requires the affirmative “For” vote of the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the shares of our Class A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To the extent that there is an Acquiring Person (as defined below) at the time of the vote on Proposal No. 4, any vote cast by an Acquiring Person or its affiliates or associates will be excluded from the tabulation.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shares that you own at the Annual Meeting. The person that you designate is your “proxy,” and you give your proxy authority to vote your shares as you instruct by completing, signing and returning one or more validly executed proxy cards. By voting by proxy, each stockholder is able to cast his or her vote without having to attend the Annual Meeting. Our board of directors has designated Omid Farokhzad, M.D. and David Horn, and each of them, with full power of substitution, to serve as proxy holders for the Annual Meeting.</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Even if you plan to attend the Annual Meeting, we recommend that you vote using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prior to the Annual Meeting to ensure that your shares will be represented.</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Completing, signing, dating and returning a proxy card by a stockholder of record will be presumed to be a proxy with respect to all shares held by that stockholder of record unless the proxy specifies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by following the instructions below.</w:t>
      </w:r>
    </w:p>
    <w:p>
      <w:pPr>
        <w:spacing w:after="0" w:line="235"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18"/>
          <w:szCs w:val="18"/>
          <w:b w:val="1"/>
          <w:bCs w:val="1"/>
          <w:color w:val="auto"/>
        </w:rPr>
        <w:t>If you have already voted using the Radoff-JEC Group’s white proxy card, we urge you to revoke that proxy by using the enclosed BLUE proxy card or BLUE voting instruction form to vote only “FOR” Seer’s director nominees (Omid Farokhzad, M.D., Meeta Gulyani, Robert Langer, Sc.D., Terrance McGuire, Dipchand (Deep) Nishar, Isaac Ro and Nicolas Roelofs, Ph.D.) and “FOR” all other proposals. Only your latest-dated, validly executed proxy will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136130" cy="578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784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or change your proxy instructions at any time before your proxy is exercised at the Annual Meeting by:</w:t>
      </w:r>
    </w:p>
    <w:p>
      <w:pPr>
        <w:spacing w:after="0" w:line="162"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later dated vote via the internet or by telephone;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dating and returning a new proxy card with a later date;</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President and Chief Financial Officer at Seer, Inc., 3800 Bridge Parkway, Suite 102, Redwood City, California 94065;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thereat.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are a street name stockholder, you must contact the broker, bank or other nominee holding your shares and follow their instructions to change your vote or revoke your proxy.</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you submit a proxy but you do not provide voting instructions on a proposal(s), your shares will be voted:</w:t>
      </w:r>
    </w:p>
    <w:p>
      <w:pPr>
        <w:spacing w:after="0" w:line="221" w:lineRule="exact"/>
        <w:rPr>
          <w:sz w:val="20"/>
          <w:szCs w:val="20"/>
          <w:color w:val="auto"/>
        </w:rPr>
      </w:pPr>
    </w:p>
    <w:p>
      <w:pPr>
        <w:ind w:left="1140" w:right="40" w:hanging="383"/>
        <w:spacing w:after="0" w:line="299"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only the election of Omid Farokhzad, M.D., Meeta Gulyani, Robert Langer, Sc.D., Terrance McGuire, Dipchand (Deep) Nishar, Isaac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 and Nicolas Roelofs, Ph.D</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the seven director candidates nominated by our board of directors;</w:t>
      </w:r>
    </w:p>
    <w:p>
      <w:pPr>
        <w:spacing w:after="0" w:line="131" w:lineRule="exact"/>
        <w:rPr>
          <w:rFonts w:ascii="Times New Roman" w:cs="Times New Roman" w:eastAsia="Times New Roman" w:hAnsi="Times New Roman"/>
          <w:sz w:val="18"/>
          <w:szCs w:val="18"/>
          <w:color w:val="auto"/>
        </w:rPr>
      </w:pPr>
    </w:p>
    <w:p>
      <w:pPr>
        <w:ind w:left="1140" w:right="100" w:hanging="383"/>
        <w:spacing w:after="0" w:line="28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named executive officer compensation;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Tax Benefit Preservation Plan; and</w:t>
      </w:r>
    </w:p>
    <w:p>
      <w:pPr>
        <w:spacing w:after="0" w:line="22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proxy holders regarding any other matters properly presented for a vote at the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and you do not provide your broker, bank or other nominee with voting instructions, then your broker, bank or other nominee will determine if it has discretion to vote on each matter. To the extent that your broker, bank or other nominee does not have discretion to vote a particular matter, that will result in a “broker non-vote”.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street name stockholder, we strongly encourage you to instruct your broker, bank or other nominee to vote your shares by following the instructions on the BLUE voting instruction form.</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you are a street name stockholder, the broker, bank or other nominee holding your shares is considered to be the stockholder of record for purposes of voting at the Annual Meeting. As a street name stockholder, you have the right to direct your broker, bank or other nominee how to vote your shares.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street name stockholder (i) has not received voting instructions from that stockholder in respect of a proposal being considered at a stockholder meeting and (ii) does not have discretionary authority to vote on that proposal. Your broker, bank or other nominee does not have discretionary authority to vote your shares on any “non-routine” proposals at the Annual Meeting, but does have discretionary authority, and may choose to vote your shares, on any “routine” proposals at the Annual Meeting. Applicable stock exchange rules determine whether proposals are “routine” or “non-routine.”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If your broker, bank or other nominee provides you with the Radoff-JEC Group’s proxy materials, then none of the proposals to be considered at the Annual Meeting will be considered “routine.” This means that if you do not provide voting instructions to your broker, bank or other nominee, that organization will not have authority to vote your shares on any proposal to be considered at the Annual Meeting. </w:t>
      </w:r>
      <w:r>
        <w:rPr>
          <w:rFonts w:ascii="Times New Roman" w:cs="Times New Roman" w:eastAsia="Times New Roman" w:hAnsi="Times New Roman"/>
          <w:sz w:val="18"/>
          <w:szCs w:val="18"/>
          <w:b w:val="1"/>
          <w:bCs w:val="1"/>
          <w:color w:val="auto"/>
        </w:rPr>
        <w:t>This is why it is critical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 your broker, bank or other nominee how to vote your shares using the instructions found on the enclosed BLUE voting instruction form.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However, if your broker, bank or other nominee does not provide you with the Radoff-JEC Group’s proxy materials, then Proposal No. 2, the ratification of the appointment of Deloitte &amp; Touche LLP as our independent registered public accounting firm for our fiscal year ending December 31, 2026, will be considered “routine.” This means that if you do not provide voting instructions to your broker, bank or other nominee, that organization will have authority to vote your shares, and may choose to exercise that authority, on Proposal No. 2 only. All other proposals at the Annual Meeting will be considered “non-routine” and your broker, bank or other nominee will not have authority to vote your shares on those proposals without your instructions. </w:t>
      </w:r>
      <w:r>
        <w:rPr>
          <w:rFonts w:ascii="Times New Roman" w:cs="Times New Roman" w:eastAsia="Times New Roman" w:hAnsi="Times New Roman"/>
          <w:sz w:val="18"/>
          <w:szCs w:val="18"/>
          <w:b w:val="1"/>
          <w:bCs w:val="1"/>
          <w:color w:val="auto"/>
        </w:rPr>
        <w:t>This is why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critical that you instruct your broker, bank or other nominee how to vote your shares using the instructions found on the enclosed BLUE voting instruction 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Radoff-JEC Group? How is the Radoff-JEC Group involved in the Annual Meeting?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Radoff-JEC Group is an activist investor group that collectively owns approximately 7.8% of our Class A common stock. The Radoff-JEC Group has notified us that it intends to nominate the Radoff-JEC Nominees for election to our board of directors at the Annual Meeting in opposition to the election of three of the nominees recommended by our board of directors. You may receive proxy solicitation materials from the Radoff-JEC Group, including proxy statements, proxy cards and/or white voting instruction forms. </w:t>
      </w:r>
      <w:r>
        <w:rPr>
          <w:rFonts w:ascii="Times New Roman" w:cs="Times New Roman" w:eastAsia="Times New Roman" w:hAnsi="Times New Roman"/>
          <w:sz w:val="18"/>
          <w:szCs w:val="18"/>
          <w:b w:val="1"/>
          <w:bCs w:val="1"/>
          <w:color w:val="auto"/>
        </w:rPr>
        <w:t>Our board of directors recommends that you disregard them.</w:t>
      </w:r>
      <w:r>
        <w:rPr>
          <w:rFonts w:ascii="Times New Roman" w:cs="Times New Roman" w:eastAsia="Times New Roman" w:hAnsi="Times New Roman"/>
          <w:sz w:val="18"/>
          <w:szCs w:val="18"/>
          <w:color w:val="auto"/>
        </w:rPr>
        <w:t xml:space="preserve"> We are not responsible for the accuracy or completeness of any information provided by, or relating to, the Radoff-JEC Group contained in any proxy solicitation materials filed or disseminated by, or on behalf of, the Radoff-JEC Group or any statements that the Radoff-JEC Group or its representatives have made or may otherwise make. Our board of directors strongly urges you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to sign or return any white proxy card or white voting instruction form sent to you, by or on behalf of, the Radoff-JEC Group.</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does NOT endorse the Radoff-JEC Nominees and unanimously recommends that you only vote “FOR” the election of the individuals nominated by our board of directors: Omid Farokhzad, M.D., Meeta Gulyani, Robert Langer, Sc.D., Terrance McGuire, Dipchand (Deep) Nishar, Isaac Ro and Nicolas Roelofs, Ph.D. </w:t>
      </w:r>
      <w:r>
        <w:rPr>
          <w:rFonts w:ascii="Times New Roman" w:cs="Times New Roman" w:eastAsia="Times New Roman" w:hAnsi="Times New Roman"/>
          <w:sz w:val="18"/>
          <w:szCs w:val="18"/>
          <w:color w:val="auto"/>
        </w:rPr>
        <w:t>The presence of the Radoff-JEC Nominees on the enclosed</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 form is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an approval, or comment on the fitness, character, suitability or other qualifications, of the Radoff-JEC Nominees. Our board of directors urges you to disregard any materials and NOT to sign, return or vote using any proxy card sent to you by, or on behalf, of the Radoff-JEC Group, even as a protest vote.</w:t>
      </w:r>
    </w:p>
    <w:p>
      <w:pPr>
        <w:spacing w:after="0" w:line="186"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8"/>
          <w:szCs w:val="18"/>
          <w:color w:val="auto"/>
        </w:rPr>
        <w:t xml:space="preserve">If you have already voted using the Radoff-JEC Group’s white proxy card, you have every right to change your vote by following the instructions above under </w:t>
      </w:r>
      <w:r>
        <w:rPr>
          <w:rFonts w:ascii="Times New Roman" w:cs="Times New Roman" w:eastAsia="Times New Roman" w:hAnsi="Times New Roman"/>
          <w:sz w:val="18"/>
          <w:szCs w:val="18"/>
          <w:i w:val="1"/>
          <w:iCs w:val="1"/>
          <w:color w:val="auto"/>
        </w:rPr>
        <w:t>Can I change my vote or revoke my proxy?</w:t>
      </w:r>
      <w:r>
        <w:rPr>
          <w:rFonts w:ascii="Times New Roman" w:cs="Times New Roman" w:eastAsia="Times New Roman" w:hAnsi="Times New Roman"/>
          <w:sz w:val="18"/>
          <w:szCs w:val="18"/>
          <w:color w:val="auto"/>
        </w:rPr>
        <w:t xml:space="preserve"> Only your latest-dated, validly executed proxy will be counted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7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spacing w:after="0" w:line="158" w:lineRule="exact"/>
        <w:rPr>
          <w:sz w:val="20"/>
          <w:szCs w:val="20"/>
          <w:color w:val="auto"/>
        </w:rPr>
      </w:pPr>
    </w:p>
    <w:p>
      <w:pPr>
        <w:ind w:left="100" w:right="50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does NOT endorse the election of the Radoff-JEC Nominees and urges you to only vote “FOR” the individuals nominated by our board of directors: Omid Farokhzad, M.D., Meeta Gulyani, Robert Langer, Sc.D., Terrance McGuire, Dipchand (Deep) Nishar, Isaac Ro and Nicolas Roelofs, Ph.D.</w:t>
      </w:r>
    </w:p>
    <w:p>
      <w:pPr>
        <w:spacing w:after="0" w:line="63" w:lineRule="exact"/>
        <w:rPr>
          <w:sz w:val="20"/>
          <w:szCs w:val="20"/>
          <w:color w:val="auto"/>
        </w:rPr>
      </w:pPr>
    </w:p>
    <w:p>
      <w:pPr>
        <w:ind w:left="100" w:right="140"/>
        <w:spacing w:after="0" w:line="268" w:lineRule="auto"/>
        <w:rPr>
          <w:sz w:val="20"/>
          <w:szCs w:val="20"/>
          <w:color w:val="auto"/>
        </w:rPr>
      </w:pPr>
      <w:r>
        <w:rPr>
          <w:rFonts w:ascii="Times New Roman" w:cs="Times New Roman" w:eastAsia="Times New Roman" w:hAnsi="Times New Roman"/>
          <w:sz w:val="18"/>
          <w:szCs w:val="18"/>
          <w:b w:val="1"/>
          <w:bCs w:val="1"/>
          <w:color w:val="auto"/>
        </w:rPr>
        <w:t>You can best support us—and ensure our continued progress—by following the instructions on the enclosed BLUE proxy card or BLUE voting instruction form to only vote “FOR” the individuals nominated by our board of directors: Omid Farokhzad, M.D., Meeta Gulyani, Robert Langer, Sc.D., Terrance McGuire, Dipchand (Deep) Nishar, Isaac Ro and Nicolas Roelofs, Ph.D.</w:t>
      </w:r>
    </w:p>
    <w:p>
      <w:pPr>
        <w:spacing w:after="0" w:line="63" w:lineRule="exact"/>
        <w:rPr>
          <w:sz w:val="20"/>
          <w:szCs w:val="20"/>
          <w:color w:val="auto"/>
        </w:rPr>
      </w:pPr>
    </w:p>
    <w:p>
      <w:pPr>
        <w:ind w:left="100" w:right="68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urges you to disregard any materials and NOT to sign, return or vote using any white proxy card or white voting instruction form sent to you by, or on behalf of, the Radoff-JEC Group, even as a protest vote.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more than one proxy card?</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Because the Radoff-JEC Group has submitted the Radoff-JEC Nominees, we may conduct multiple mailings prior to the Annual Meeting to ensure that stockholders have our latest information and materials to vote. In that event, we will send you a new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with each mailing, regardless of whether you have previously voted. You may also receive more than one set of proxy materials, including multiple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cards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forms, if you hold shares that are registered in more than one account. </w:t>
      </w:r>
      <w:r>
        <w:rPr>
          <w:rFonts w:ascii="Times New Roman" w:cs="Times New Roman" w:eastAsia="Times New Roman" w:hAnsi="Times New Roman"/>
          <w:sz w:val="18"/>
          <w:szCs w:val="18"/>
          <w:b w:val="1"/>
          <w:bCs w:val="1"/>
          <w:color w:val="auto"/>
        </w:rPr>
        <w:t>Please vote using the BLUE proxy card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BLUE voting instruction form for every account that you own. </w:t>
      </w:r>
      <w:r>
        <w:rPr>
          <w:rFonts w:ascii="Times New Roman" w:cs="Times New Roman" w:eastAsia="Times New Roman" w:hAnsi="Times New Roman"/>
          <w:sz w:val="18"/>
          <w:szCs w:val="18"/>
          <w:color w:val="auto"/>
        </w:rPr>
        <w:t>Only your latest-dated, validly executed proxy will be counted.</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different color proxy cards or voting instruction forms? What should I do if I receive a white proxy card or white voting instruction form from the Radoff-JEC Group?</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You may receive proxy solicitation materials from the Radoff-JEC Group, including proxy statements, white proxy cards and/or voting instruction forms. </w:t>
      </w:r>
      <w:r>
        <w:rPr>
          <w:rFonts w:ascii="Times New Roman" w:cs="Times New Roman" w:eastAsia="Times New Roman" w:hAnsi="Times New Roman"/>
          <w:sz w:val="18"/>
          <w:szCs w:val="18"/>
          <w:b w:val="1"/>
          <w:bCs w:val="1"/>
          <w:color w:val="auto"/>
        </w:rPr>
        <w:t xml:space="preserve">Our board of directors recommends that you disregard them. </w:t>
      </w:r>
      <w:r>
        <w:rPr>
          <w:rFonts w:ascii="Times New Roman" w:cs="Times New Roman" w:eastAsia="Times New Roman" w:hAnsi="Times New Roman"/>
          <w:sz w:val="18"/>
          <w:szCs w:val="18"/>
          <w:color w:val="auto"/>
        </w:rPr>
        <w:t>We are not responsible for the accuracy or completeness of any information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relating to, the Radoff-JEC Group contained in any proxy solicitation materials filed or disseminated by, or on behalf of, the Radoff-JEC Group or any statements that the Radoff-JEC Group or its representatives have made or may otherwise make. Our board of directors strongly urges you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to sign or return any white proxy card or white voting instruction form sent to you, by or on behalf of, the Radoff-JEC Group.</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We have provided you with the enclosed BLUE proxy card or BLUE voting instruction form. Our board of directors does NOT endorse the Radoff-JEC Nominees</w:t>
      </w:r>
      <w:r>
        <w:rPr>
          <w:rFonts w:ascii="Times New Roman" w:cs="Times New Roman" w:eastAsia="Times New Roman" w:hAnsi="Times New Roman"/>
          <w:sz w:val="18"/>
          <w:szCs w:val="18"/>
          <w:color w:val="auto"/>
        </w:rPr>
        <w:t>, and the presence of the Radoff-JEC Nominees on the enclosed</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 instruction form is NOT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approval, or comment on the fitness, character, suitability or other qualifications, of the Radoff-JEC Nominees. Our board of directors strongly urges you to </w:t>
      </w:r>
      <w:r>
        <w:rPr>
          <w:rFonts w:ascii="Times New Roman" w:cs="Times New Roman" w:eastAsia="Times New Roman" w:hAnsi="Times New Roman"/>
          <w:sz w:val="18"/>
          <w:szCs w:val="18"/>
          <w:b w:val="1"/>
          <w:bCs w:val="1"/>
          <w:color w:val="auto"/>
        </w:rPr>
        <w:t>discard any card or solicitation materials that may be sent to you by the Radoff-JEC Group and NOT sign or return any white proxy card or white voting instruction form sent to you by, or on behalf of, the Radoff-JEC Group.</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using the Radoff-JEC Group’s white proxy card, you have every right to change your vote by following the instructions above under </w:t>
      </w:r>
      <w:r>
        <w:rPr>
          <w:rFonts w:ascii="Times New Roman" w:cs="Times New Roman" w:eastAsia="Times New Roman" w:hAnsi="Times New Roman"/>
          <w:sz w:val="18"/>
          <w:szCs w:val="18"/>
          <w:i w:val="1"/>
          <w:i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788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97" w:lineRule="exact"/>
        <w:rPr>
          <w:sz w:val="20"/>
          <w:szCs w:val="20"/>
          <w:color w:val="auto"/>
        </w:rPr>
      </w:pPr>
    </w:p>
    <w:p>
      <w:pPr>
        <w:ind w:left="100" w:right="160"/>
        <w:spacing w:after="0" w:line="268" w:lineRule="auto"/>
        <w:rPr>
          <w:sz w:val="20"/>
          <w:szCs w:val="20"/>
          <w:color w:val="auto"/>
        </w:rPr>
      </w:pPr>
      <w:r>
        <w:rPr>
          <w:rFonts w:ascii="Times New Roman" w:cs="Times New Roman" w:eastAsia="Times New Roman" w:hAnsi="Times New Roman"/>
          <w:sz w:val="18"/>
          <w:szCs w:val="18"/>
          <w:b w:val="1"/>
          <w:bCs w:val="1"/>
          <w:color w:val="auto"/>
        </w:rPr>
        <w:t>You can best support us—and ensure our continued progress—by following the instructions on the enclosed BLUE proxy card or BLUE voting instruction form to only vote “FOR” the individuals nominated by our board of directors: Omid Farokhzad, M.D., Meeta Gulyani, Robert Langer, Sc.D., Terrance McGuire, Dipchand (Deep) Nishar, Isaac Ro and Nicolas Roelofs, Ph.D.</w:t>
      </w:r>
    </w:p>
    <w:p>
      <w:pPr>
        <w:spacing w:after="0" w:line="63" w:lineRule="exact"/>
        <w:rPr>
          <w:sz w:val="20"/>
          <w:szCs w:val="20"/>
          <w:color w:val="auto"/>
        </w:rPr>
      </w:pPr>
    </w:p>
    <w:p>
      <w:pPr>
        <w:ind w:left="100"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urges you to disregard any materials and NOT to sign, return or vote using any white proxy card or white voting instruction form sent to you by, or on behalf of, the Radoff-JEC Group, even as a protest vote.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 universal proxy card being used in connection with voting at the Annual Meeting?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Yes. The SEC has adopted rules, commonly referred to as the “universal proxy rules,” requiring the use of a universal proxy card by most public companies in contested director elections. This means that all director nominees will be listed on each proxy card that is sent to stockholders in connection with a contested meeting. Stockholders may vote for any nominees that they wish, but may not vote for more nominees than there are seats available to be filled. Stockholders are permitted to vote for fewer than seven nominees or for any combination (up to seven total) of the board of director’s nominees and the JEC-Radoff Group’s nominees on the BLUE proxy card or BLUE voting instruction form. Voting “FOR” fewer than seven nominees will result in your shares being voted “FOR” only those nominees you have so marked and will default to a “WITHHOLD” vote with respect to any nominee left unmarked. If you vote “FOR” more than seven nominees, then your vote regarding the election of directors will be invalid and will not be counted.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the Radoff-JEC Group has provided notice of its intent to solicit votes to elect the Radoff-JEC Nominees, this year’s director elections are considered to be contested and a universal proxy card will be used. We and the Radoff-JEC Group will each use our own version of a universal proxy card containing the names of the individuals nominated by our board of directors (Omid Farokhzad, M.D., Meeta Gulyani, Robert Langer, Sc.D., Terrance McGuire, Dipchand (Deep) Nishar, Isaac Ro and Nicolas Roelofs, Ph.D.) and the Radoff-JEC Nominees.</w:t>
      </w:r>
    </w:p>
    <w:p>
      <w:pPr>
        <w:spacing w:after="0" w:line="189" w:lineRule="exact"/>
        <w:rPr>
          <w:sz w:val="20"/>
          <w:szCs w:val="20"/>
          <w:color w:val="auto"/>
        </w:rPr>
      </w:pPr>
    </w:p>
    <w:p>
      <w:pPr>
        <w:ind w:left="20" w:right="260"/>
        <w:spacing w:after="0" w:line="257" w:lineRule="auto"/>
        <w:rPr>
          <w:sz w:val="20"/>
          <w:szCs w:val="20"/>
          <w:color w:val="auto"/>
        </w:rPr>
      </w:pPr>
      <w:r>
        <w:rPr>
          <w:rFonts w:ascii="Times New Roman" w:cs="Times New Roman" w:eastAsia="Times New Roman" w:hAnsi="Times New Roman"/>
          <w:sz w:val="18"/>
          <w:szCs w:val="18"/>
          <w:b w:val="1"/>
          <w:bCs w:val="1"/>
          <w:color w:val="auto"/>
        </w:rPr>
        <w:t>Even though we are required to include the Radoff-JEC Nominees on our BLUE proxy card and BLUE voting instruction form, it does NOT mean that we recommend voting for the Radoff-JEC Nominees. The board of directors does NOT endorse the Radoff-JEC Nominees, and the presence of their names on the BLUE proxy card or BLUE voting instruction form is NOT an approval of the Radoff-JEC Nominees’ fitness, character, suitability or other qualifications. Our board of directors unanimously recommends that you only vote “FOR” the election of the individuals nominated by our board of directors: Omid Farokhzad, M.D., Meeta Gulyani, Robert Langer, Sc.D., Terrance McGuire, Dipchand (Deep) Nishar, Isaac Ro and Nicolas Roelofs,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-840105</wp:posOffset>
            </wp:positionV>
            <wp:extent cx="7136130" cy="852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85280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return a BLUE proxy card or BLUE voting instruction form but give voting instructions for fewer than seven candidates?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If an undervote (that is, voting “FOR” with respect to fewer than seven nominees on Proposal No. 1) occurs, then the shares represented by that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be voted as instructed. No discretionary authority is available to vote shares represented by an undervoted proxy card for the remaining director seats up for election.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return a BLUE proxy card or BLUE voting instruction form but give voting instructions for more than seven candidates?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If an overvote (that is, voting “FOR” with respect to more than seven nominees on Proposal No. 1) occurs, then the shares represented by that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not be voted on Proposal No. 1. Valid votes on other matters on that BLUE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be counted, including for purposes of determining a quorum.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 Radoff-JEC Group withdraws or abandons its solicitation or fails to comply with the universal proxy rules?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If the Radoff-JEC Group withdraws or abandons its solicitation or fails to comply with the universal proxy rules after a stockholder has already granted proxy authority, stockholders can still use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submit a later-dated vote over the internet, by telephone or by mail.</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If you do not revoke a proxy given in favor of the Radoff-JEC Nominees prior to the Annual Meeting and the Radoff-JEC Group withdraws or abandons its solicitation or fails to comply with the requirements of the universal proxy rules or our bylaws (by, for example, failing to solicit the requisite number of holders of our Class A common stock), any votes cast in favor of the Radoff-JEC Nominees will be disregarded and not counted, whether such vote is provided on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or a white proxy card or white voting instruction form sent by the Radoff-JEC Group.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proxy solicitation materials will also be made available upon request to brokers, banks and other nominees to forward to the beneficial owners of the shares held of record by such brokers, banks or other nominees.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 result of the proxy contest initiated by the Radoff-JEC Group, we may incur substantial additional costs in connection with the solicitation of proxies. We have retained Innisfree M&amp;A Incorporated (Innisfree) to assist us in the solicitation of proxies for a fee of up to $[•] plus out-of-pocket expenses. Innisfree expects that approximately [•] of its employees will assist in the solicitation. Our expenses related to the solicitation of proxies from stockholders this year may substantially exceed those normally spent for an annual meeting of stockholders. Such additional costs are expected to aggregate up to approximately $[•], exclusive of any costs related to any litigation in connection with the Annual Meeting. The actual amount could be higher or lower depending on the facts and circumstances arising in connection with this solicitation. These additional solicitation costs are expected to include: the fee payable to our proxy solicitor; increased mailing costs, such as the costs of additional mailings of solicitation material to stockholders, including printing costs, mailing costs and the reimbursement of reasonable expenses of banks, brokerage houses and other agents incurred in forwarding solicitation materials to beneficial owners of our Class A common stock; and the costs of retaining an independent inspector of election. To date, we have incurred approximately $[•] of these solicitation costs.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than the persons described in this proxy statement, no general class of employee of the Company will be employed to solicit shareholders in connection with this proxy solicitation. However, in the course of their regular duties, the Company’s employees, officers and directors may be asked to perform clerical or ministerial tasks in furtherance of the solicitation.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choose to access the proxy materials and/or vote over the Internet, you are responsible for Internet access charges that you may incur. If you choose to vote by telephone, you are responsible for telephone charges that you may incur.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President and Chief Financial Officer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(650) 453-0000</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bank, broker or other nominee to request information about householding. Please note that because the Company expects the Annual Meeting to be contested, the Company does not expect to implement “householding” for this year's Annual Meeting.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available, we may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President and Chief Financial Officer in a timely manner. For a stockholder proposal to be considered for inclusion in our proxy statement for our 2027 annual meeting of stockholders, our President and Chief Financial Officer must receive the written proposal at our principal executive office not later than [•], 2027. In addition, stockholder proposals must comply with the requirements of Rule 14a-8 under the Exchange Act, regarding the inclusion of stockholder proposals in company-sponsored proxy materials. Stockholder proposals should be addressed to:</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Attention: President and Chief Financial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President and Chief Financial Officer, which notice must contain the information specified in our bylaws. To be timely for our 2027 annual meeting of stockholders, our President and Chief Financial Officer must receive the written notice at our principal executive office:</w:t>
      </w:r>
    </w:p>
    <w:p>
      <w:pPr>
        <w:spacing w:after="0" w:line="189"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8:00 a.m., Pacific Time, on [•], 2027;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5:00 p.m., Pacific Time, on [•], 2027.</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that we hold our 2027 annual meeting of stockholders more than 25 days from the one-year anniversary of the date of the Annual Meeting, then notice of a stockholder proposal that is not intended to be included in our proxy statement must be received no earlier than 5:00 p.m., Pacific Time on the 120th day before such annual meeting and no later than 5:00 p.m., Pacific Time on the later of the following two dates:</w:t>
      </w:r>
    </w:p>
    <w:p>
      <w:pPr>
        <w:spacing w:after="0" w:line="176"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annual meeting is first made.</w:t>
      </w:r>
    </w:p>
    <w:p>
      <w:pPr>
        <w:spacing w:after="0" w:line="22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President and Chief Financial Officer in accordance with our bylaws, which, in general, require that the notice be received by our President and Chief Financial Officer within the time period described above under “Stockholder Proposals” for stockholder proposals that are not intended to be included in a proxy statement.</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of our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2027.</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Stockholders who, among other things, hold continuously (i) at least $2,000 in market value of the outstanding shares of our Class A common stock for at least three years prior to the date of the submission of the recommendation or nomination, (ii) at least $15,000 in market value of the outstanding shares of our Class A common stock for at least two years prior to the date of the submission of the recommendation or nomination, or (iii) at least $25,000 in market value of the outstanding shares of our Class A common stock for at least one year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President and Chief Financial Officer at the address set forth above. For additional information regarding stockholder recommendations for director candidates, see the section titled “Board of Directors and Corporate Governance—Stockholder Recommendations for Nominations to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copy of our amended and restated bylaws may be obtained by accessing our public filings on the SEC’s website at www.sec.gov. You may also contact our President and Chief Financial Officer at our principal executive office for a copy of the relevant bylaw provisions regarding the requirements for making stockholder proposals and nominating director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do I contact if I have questions about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154305</wp:posOffset>
            </wp:positionV>
            <wp:extent cx="1457325" cy="419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732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details the material events and communications between Seer and the Radoff-JEC Group leading up to this solicitation. This summary does not purport to catalog every conversation of or between members of our board of directors and our management and advisors, on the one hand, and the Radoff-JEC Group and its representatives, on the other hand.</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Seer’s mission is to imagine and pioneer new ways to decode the biology of the proteome to improve human health. Through our product, the Proteograph® Product Suite, we provide researchers with unbiased, deep, rapid and large-scale access to the proteome, enabling biological discovery that has historically been impractical. With our pioneering proprietary engineered nanoparticle technology and the Proteograph Product Suite, we provide the most complete, precise, and scalable platform for deep, unbiased proteomics to power population-scale studies and data-driven biology.</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Seer is building a market from the ground up, having created a deep, unbiased proteomics platform distinct from that which currently exists in the targeted proteomics space. Seer continues to execute against its strategy to expand utilization of its growing installed base, secure additional population-scale cohort and biobank studies, and broaden its addressable markets through product innovation. Our board of directors believes that Seer is well positioned to strengthen its leadership as the preferred unbiased proteomic platform for AI-driven biology, supported by a rich source of robust data, and to capitalize on significant value creation opportunities.</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part of Seer’s ongoing commitment to drive stockholder value, our board of directors and management team regularly review Seer’s priorities and opportunities and assess them against a variety of strategic options. Consistent with its fiduciary duty, our board of directors seriously evaluates any credible proposal or value-creating opportunity. In service of that objective, Seer regularly meets with stockholders to better understand their perspectives.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time to time in 2024 and 2025, members of our management team have spoken separately with Messrs Radoff and Torok. Mr. Radoff and entities affiliated with him have been investors in Seer at various points over the past several years.</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Consistent with its commitment to maximizing stockholder value through a variety of mechanisms, in May 2024 our board of directors authorized a $25 million share repurchase program. Under this program, we have repurchased approximately 13.2 million shares of Class A common stock, including through occasional block purchases. We believe that Mr. Radoff and entities affiliated with him were the counterparties to a block trade with us in May 2025; as part of this block trade, we repurchased three million shares of Class A common stock at a price of $1.93 per share from the counterparties.</w:t>
      </w:r>
    </w:p>
    <w:p>
      <w:pPr>
        <w:spacing w:after="0" w:line="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December 9, 2025, our dual class share structure expired in accordance with its terms. This resulted in a governance structure with a single class of common stock, with each share having one vote. Shortly after this expiration, the Radoff-JEC Group began swiftly accumulating shares of our Class A common stock.</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20, 2026, the Radoff-JEC Group filed a Schedule 13D with the SEC that disclosed ownership of approximately 6.5% of our Class A common stock. Much of this ownership position was acquired in rapid fashion during the first three weeks of February 2026.</w:t>
      </w:r>
    </w:p>
    <w:p>
      <w:pPr>
        <w:spacing w:after="0" w:line="5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February 23, 2026, the Radoff-JEC Group issued an open letter to our board of directors.This letter made a series of allegations regarding the Company’s share price performance, operating results and certain historical decisions made by our board of directors. Many of these allegations were misleading or lacked factual support.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25, 2026, our board of directors authorized an additional repurchase program of up to $25.0 million of our Class A common stock.</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26, 2026, we announced the adoption of the Tax Benefit Preservation Plan. The Tax Benefit Preservation Plan is designed to help preserve and protect Seer’s valuable income tax net operating loss carryforwards and other tax assets. As of December 31, 2025, Seer had approximately $262 million of loss carryforwards and tax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 2026, the Radoff-JEC Group amended its Schedule 13D to disclose ownership of approximately 7.6% of our Class A common stock.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9, 2026, we received a request from the Radoff-JEC Group for the director nominee questionnaire contemplated by our bylaws.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12, 2026, the members of our corporate governance and nominating committee met with Messrs. Radoff and Torok to constructively engage and better understand the perspectives of Messrs. Radoff and Torok.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13, 2026, we amended the Tax Benefit Preservation Plan to clarify the definition of Beneficial Ownership.</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March 16, 2026, Messrs. Radoff and Torok made an informal request by email for an exemption under the Tax Benefit Preservation Plan to allow the Radoff-JEC Group to further increase its ownership stake in the Company.</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19, 2026, representatives of Wilson Sonsini Goodrich &amp; Rosati, Professional Corporation (Wilson Sonsini), on behalf of Seer, provided counsel to the Radoff-JEC Group with the director nominee questionnaire contemplated by our bylaws.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20, 2026, representatives of Wilson Sonsini, on behalf of Seer, informed Messrs. Radoff and Torok that (1) their March 16 request did not meet the requirements for an exemption request under the Tax Benefit Preservation Plan; and (2) our board of directors would consider any request that met the requirements of the Tax Benefit Preservation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13, 2026, the Radoff-JEC Group notified us of its nomination of the Radoff-JEC Nominees (Howard H. Berman, Joshua S. Horowitz and Luis 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Rinaldini) for election as directors at the Annual Meeting.</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Also on April 13, 2026, the Radoff-JEC Group submitted an unsolicited, non-binding proposal to acquire all of the outstanding shares of our Class A common stock for $2.25 per share plus a contingent value right (the Initial Unsolicited Proposal).The Initial Unsolicited Proposal was not accompanied by any evidence that the Radoff-JEC Group had access to the funds necessary to consummate the proposed acquisition.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20, 2026, our board of directors met and discussed the Radoff-JEC Nominees and the Initial Unsolicited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23, 2026, our board of directors requested to interview the Radoff-JEC Nominees. The Radoff-JEC Group declined to respond to this request.</w:t>
      </w:r>
    </w:p>
    <w:p>
      <w:pPr>
        <w:spacing w:after="0" w:line="11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On April 24, 2026, the Radoff-JEC Group submitted a revised unsolicited, non-binding proposal to acquire all of the outstanding shares of our Class A common stock for $2.35 per share plus a contingent value right (the Second Unsolicited Proposal). As with the Initial Unsolicited Proposal, the Second Unsolicited Proposal was not accompanied by any evidence that the Radoff-JEC Group had access to the funds necessary to consummate the proposed acquisition.</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Later on April 24, 2026, our board of directors met and discussed the Radoff-JEC Nominees and the Second Unsolicited Proposal. Our board of directors, with the advice and assistance of its independent legal and financial advisers, Wilson Sonsini and Perella Weinberg Partners LP, determined that the Second Unsolicited Proposal significantly undervalues Seer and is not in the best interests of stockholders. In reaching this conclusion, our board of directors determined that the Second Unsolicited Proposal implies an equity value for Seer that is materially below the sum of Seer’s current cash, cash equivalents and investments. In addition, the Second Unsolicited Proposal fails to reflect the value of Seer’s Proteograph Product Suite platform, as well as Seer’s technology leadership, adoption momentum and standalone growth prospects.</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27, 2026, we announced our board of directors’ determination that the Second Unsolicited Proposal significantly undervalues Seer and is not in the best interests of stockholders.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2026, the Radoff-JEC Group issued a press release calling on our independent directors to reevaluate the Second Unsolicited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2026, our board of directors met and discussed the Radoff-JEC Nominees and the possibility of a proxy contest at the Annual Meeting.</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14, 2026, the Radoff-JEC Group submitted a revised unsolicited, non-binding proposal to acquire all of the outstanding shares of our Class A common stock for $2.40 per share plus a contingent value right (the Third Unsolicited Proposal). As with the Initial Unsolicited Proposal and the Second Unsolicited Proposal, the Third Unsolicited Proposal was not accompanied by any evidence that the Radoff-JEC Group had access to the funds necessary to consummate the proposed acquisition.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on May 14, 2026, our corporate governance and nominating committee met. At this meeting, the committee discussed the composition of our board of directors and the skills needed to oversee management’s execution of our strategic plan. The committee also discussed the Radoff-JEC Group’s decision not to make the Radoff-JEC Nominees available for customary interviews. The committee determined that (1) the Radoff-JEC Nominees would not be additive to our board of directors because our board of directors already possesses the skills represented by the Radoff-JEC Nominees; (2) our board of directors is functioning well as currently composed and is rigorous in its approach to management accountability; and (3) our current directors are better qualified to steward Seer than the Radoff-JEC Nominees. As a result, the committee recommended that our board of directors nominate our current directors (Omid Farokhzad, M.D., Meeta Gulyani, Robert Langer, Sc.D., Terrance McGuire, Dipchand (Deep) Nishar, Isaac Ro and Nicolas Roelofs, Ph.D.) to stand for election at the Annual Meeting.</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Following the meeting of the corporate governance and nominating committee, our board of directors was presented with the recommendation of the corporate governance and nominating committee and the reasons for that recommendation. Our board of directors adopted the recommendation and reasoning of the corporate governance and nominating committee. As a result, our board of directors nominated our current directors (Omid Farokhzad, M.D., Meeta Gulyani, Robert Langer, Sc.D., Terrance McGuire, Dipchand (Deep) Nishar, Isaac Ro and Nicolas Roelofs, Ph.D.) to stand for election at the Annual Meeting.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2026, we filed a preliminary copy of this proxy statement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manage our business affairs under the direction of our board of directors, which currently consists of seven members. Our board of directors has affirmatively determined that five of our seven directors qualify as “independent” within the meaning of the listing standards of the Nasdaq Stock Market LLC (Nasdaq).</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Upon the recommendation of our corporate governance and nominating committee, we are nominating Drs. Farokhzad, Langer and Roelofs, Ms. Gulyani and Messrs. McGuire and Nishar as directors at the Annual Meeting, each to serve for a one-year term until our 2027 annual meeting of stockholders and until such director’s successor is elected and qualified or until such director’s earlier death, resignation or removal.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as of May 11, 2026 and certain other information for each of the directors: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62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Corporate Governance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Talent and Compensation</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 and Technology</w:t>
            </w: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90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Nominating</w:t>
            </w:r>
          </w:p>
        </w:tc>
        <w:tc>
          <w:tcPr>
            <w:tcW w:w="17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98"/>
        </w:trPr>
        <w:tc>
          <w:tcPr>
            <w:tcW w:w="1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Omid Farokhzad, M.D.</w:t>
            </w:r>
          </w:p>
        </w:tc>
        <w:tc>
          <w:tcPr>
            <w:tcW w:w="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21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w w:val="99"/>
              </w:rPr>
              <w:t>Chief Executive Officer and</w:t>
            </w:r>
          </w:p>
        </w:tc>
        <w:tc>
          <w:tcPr>
            <w:tcW w:w="10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2017</w:t>
            </w:r>
          </w:p>
        </w:tc>
        <w:tc>
          <w:tcPr>
            <w:tcW w:w="9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Chair of the Board of</w:t>
            </w:r>
          </w:p>
        </w:tc>
        <w:tc>
          <w:tcPr>
            <w:tcW w:w="10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Meeta Gulyani</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6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Dipchand (Deep) Nishar</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900" w:type="dxa"/>
            <w:vAlign w:val="bottom"/>
            <w:shd w:val="clear" w:color="auto" w:fill="CFF0FC"/>
          </w:tcPr>
          <w:p>
            <w:pPr>
              <w:spacing w:after="0"/>
              <w:rPr>
                <w:sz w:val="18"/>
                <w:szCs w:val="18"/>
                <w:color w:val="auto"/>
              </w:rPr>
            </w:pPr>
          </w:p>
        </w:tc>
        <w:tc>
          <w:tcPr>
            <w:tcW w:w="162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8"/>
                <w:szCs w:val="18"/>
                <w:color w:val="auto"/>
                <w:w w:val="98"/>
              </w:rPr>
              <w:t>Member</w:t>
            </w:r>
          </w:p>
        </w:tc>
        <w:tc>
          <w:tcPr>
            <w:tcW w:w="17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Isaac Ro</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Nicolas Roelofs, Ph.D.</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shd w:val="clear" w:color="auto" w:fill="CFF0FC"/>
          </w:tcPr>
          <w:p>
            <w:pPr>
              <w:spacing w:after="0"/>
              <w:rPr>
                <w:sz w:val="18"/>
                <w:szCs w:val="18"/>
                <w:color w:val="auto"/>
              </w:rPr>
            </w:pPr>
          </w:p>
        </w:tc>
        <w:tc>
          <w:tcPr>
            <w:tcW w:w="162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8"/>
                <w:szCs w:val="18"/>
                <w:color w:val="auto"/>
                <w:w w:val="99"/>
              </w:rPr>
              <w:t>Chair</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Omid Farokhzad, M.D. </w:t>
      </w:r>
      <w:r>
        <w:rPr>
          <w:rFonts w:ascii="Times New Roman" w:cs="Times New Roman" w:eastAsia="Times New Roman" w:hAnsi="Times New Roman"/>
          <w:sz w:val="18"/>
          <w:szCs w:val="18"/>
          <w:color w:val="auto"/>
        </w:rPr>
        <w:t>co-founded our Company and has served as our Chief Executive Officer since February 2018, and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March 2017, serving as the Chair since September 2020, and as President of the Company from September 2022 until November 2023. He was the executive chair of Dynamics Special Purpose Corp., a blank check company, from May 2021 until June 2022. From September 2004 to February 2018, he was a Professor at Harvard Medical School and directed the Center for Nanomedicine at Brigham and Women’s Hospital. Dr. Farokhzad previously co-founded BIND Therapeutics, a biotechnology company acquired by Pfizer Inc., Selecta Biosciences, Inc., a clinical-stage biotechnology company, and Tarveda Therapeutics, Inc., a clinical stage biopharmaceutical company. He has served on the board of directors of several privately-held companies and was previously a director of Senti Biosciences, Selecta Biosciences and BIND Therapeutics. Dr. Farokhzad holds an M.A. and M.D. from Boston University and an MBA from Massachusetts Institute of Technology Sloan School of Management.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Dr. Farokhzad is physician-scientist, serial entrepreneur, company founder, company builder, executive and director. As the founder of Seer, he brings to our board of directors extensive scientific, managerial and technical knowledge. Dr. Farokhzad has been repeatedly recognized for his contributions to innovation, biotechnology, nanotechnology and entrepreneurship. His honors include the Ellis Island Medal of Honor (2016), the Golden Door Award from the International Institute of New England (2014) recognizing his scientific, societal and economic contributions to the United States as an immigrant, the Mustafa Price (2023), the 2013 RUSNANOPRIZE, and the Ernst &amp; Young New England Entrepreneur of the Year award (2012). He is also a 2018 Fellow of the National Academy of Inventors and was named as one of the Worldview 100 by Scientific American (2015). He is a seasoned executive who draws on his years of experience working with transformative companies.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Meeta Gulyani </w:t>
      </w:r>
      <w:r>
        <w:rPr>
          <w:rFonts w:ascii="Times New Roman" w:cs="Times New Roman" w:eastAsia="Times New Roman" w:hAnsi="Times New Roman"/>
          <w:sz w:val="18"/>
          <w:szCs w:val="18"/>
          <w:color w:val="auto"/>
        </w:rPr>
        <w:t>has served as a member of our board of directors since November 2021. Ms. Gulyani has been Senior Vice President, General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Bioprocessing and Head of Life Science Strategy for Ecolab since December 2024. From September 2023 to December 2024, Ms. Gulyani provided board and advisory services. From October 2023 to February 2024, she was a member of Novo Advisory Group at Novo Holdings, the holding and investment company of the Novo Nordisk Foundation, supporting its life science investments. She has been an advisory board member of Single Use Support GmbH, which provides innovative fluid management solutions around single use technologies for the biopharma industry, since October 2024. From January 2016 to August 2023, Ms. Gulyani was Executive Vice President, Head of Strategy, and Business Development at the Life Science division of Merck KGaA, Darmstadt, Germany, a global life science and technology company (the Life Science business operates as Millipore Sigma in U.S. and Canada). From May 2014 to December 2015, she was Executive Vice President, Head of Global Strategy and Franchises at the Pharmaceutical business of Merck KGaA, Darmstadt, Germany, which operates as EMD Serono, Inc. in U.S. and Canada. From January 2012 to April 2014, Ms. Gulyani was General Manager, South Asia, including India, at Roche Pharmaceuticals, division of Roche Holding AG, a healthcare company. Prior to Roche, she held numerous marketing and sales leadership roles at Sanofi, a global pharmaceutical company. Ms. Gulyani holds a MBA from the Asian Institute of Management, Philippines. She earned a bachelor’s degree in economics from the Shri Ram College of Commerce at Delhi University in India.</w:t>
      </w:r>
    </w:p>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Ms. Gulyani has significant executive experience at some of the largest healthcare and life science companies in the world, with substantial international operating and strategic experience. She brings to our board of directors expertise in corporate strategy, general management, business development and expansion across the pharmaceuticals and life science tools sectors.</w:t>
      </w:r>
    </w:p>
    <w:p>
      <w:pPr>
        <w:spacing w:after="0" w:line="1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Langer, Sc.D. </w:t>
      </w:r>
      <w:r>
        <w:rPr>
          <w:rFonts w:ascii="Times New Roman" w:cs="Times New Roman" w:eastAsia="Times New Roman" w:hAnsi="Times New Roman"/>
          <w:sz w:val="18"/>
          <w:szCs w:val="18"/>
          <w:color w:val="auto"/>
        </w:rPr>
        <w:t>has served as a member of our board of directors since December 2017. Dr. Langer has been an Institute Professor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Massachusetts Institute of Technology since July 2005. Dr. Langer’s research focuses on biotechnology and materials science, including the development of polymer-based drug delivery systems and controlled-release technologies for a range of therapeutic modalities. His work spans applications in biologics, gene-based therapies and vaccines, as well as externally triggered delivery systems. He currently serves on the board of directors of Puretech Health plc, and previously was on the board of directors of a number of companies including Alkermes, Inc., Moderna, Inc., Momenta Pharmaceuticals, Inc., Millipore Corp., Rubius Therapeutics and Wyeth. Dr. Langer currently serves on the Board of Trustees at Boston Children’s Hospital and previously served as the Chair of the U.S. Food and Drug Administration’s SCIENCE Board, its highest advisory board. Dr. Langer holds a B.S. in Chemical Engineering from Cornell University and an Sc.D. in Chemical Engineering from Massachusetts Institute of Technology.</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 Langer is a prolific entrepreneur and visionary scientist who has co-founded more than 30 companies over a multi-decade career. These companies collectively have resulted in transformative products that have changed the world across many end-markets. He has received hundreds of awards including being one of three living people to receive both of the United States’ highest scientific awards – the National Medal of Science (2006) and the National Medal of Technology and Innovation (2011). He has also received the Breakthrough Prize (2014), the Draper Prize (considered the engineering equivalent of the Nobel Prize) (2014), and the Kavli Prize for nanoscience (2024). With over 1600 scientific articles and over 1,000 patents, Dr. Langer brings to our board of directors extensive scientific and technical knowledge, as well as deep expertise in growing and scaling biotechnology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Terrance McGuire </w:t>
      </w:r>
      <w:r>
        <w:rPr>
          <w:rFonts w:ascii="Times New Roman" w:cs="Times New Roman" w:eastAsia="Times New Roman" w:hAnsi="Times New Roman"/>
          <w:sz w:val="18"/>
          <w:szCs w:val="18"/>
          <w:color w:val="auto"/>
        </w:rPr>
        <w:t>has served as a member of our board of directors since December 2017. Mr. McGuire is a founding partner of Polaris Partners.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starting Polaris Partners in 1996, Mr. McGuire spent seven years at Burr, Egan, Deleage &amp; Co., investing in early stage medical and information technology companies. He currently serves on the board of directors of Invivyd, Inc. (formerly Adagio Therapeutics, Inc.), Tectonic Therapeutic Inc., and Whitehead Institute, and previously was on the board of directors of Acceleron Pharma, Inc., Akamai Technologies, Inc., Alector, Inc., Arsanis, Inc., Cubist Pharmaceuticals, Inc., Cyclerion </w:t>
      </w:r>
      <w:r>
        <w:rPr>
          <w:rFonts w:ascii="Times New Roman" w:cs="Times New Roman" w:eastAsia="Times New Roman" w:hAnsi="Times New Roman"/>
          <w:sz w:val="18"/>
          <w:szCs w:val="18"/>
          <w:color w:val="232A31"/>
        </w:rPr>
        <w:t>Therapeutics</w:t>
      </w:r>
      <w:r>
        <w:rPr>
          <w:rFonts w:ascii="Times New Roman" w:cs="Times New Roman" w:eastAsia="Times New Roman" w:hAnsi="Times New Roman"/>
          <w:sz w:val="18"/>
          <w:szCs w:val="18"/>
          <w:color w:val="auto"/>
        </w:rPr>
        <w:t>,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He holds a B.S. in Physics and Economics from Hobart College, an M.S. in Engineering from the Thayer School at Dartmouth College and an MBA from Harvard Business School.</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Mr. McGuire is a noted venture capitalist, with substantial investing experience in the biotechnology sector, and is a former chairman of the National Venture Capital Association. He brings to our board of directors significant experience as a capital allocator, business builder and biotechnology investor. Our board of directors greatly benefits from Mr. McGuire’s perspective as an outside investor.</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Dipchand (Deep) Nishar </w:t>
      </w:r>
      <w:r>
        <w:rPr>
          <w:rFonts w:ascii="Times New Roman" w:cs="Times New Roman" w:eastAsia="Times New Roman" w:hAnsi="Times New Roman"/>
          <w:sz w:val="18"/>
          <w:szCs w:val="18"/>
          <w:color w:val="auto"/>
        </w:rPr>
        <w:t>has served as a member of our board of directors since February 2021. From January 2022 to March 2025, Mr. Nishar was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at General Catalyst. From June 2015 to December 2021, he was a Senior Managing Partner of SoftBank Investment Advisers (US) Inc., a private equity company. From January 2009 to October 2014, he was with LinkedIn Corporation, an employment-oriented online service company acquired by Microsoft Corporation, where he was Senior Vice President, Product and User Experience. From August 2003 to January 2009, Mr. Nishar held various executive roles with Google Inc., a technology company that specializes in Internet-related services and products, most recently as the Senior Director of Products for the Asia-Pacific region. Mr. Nishar was on the board of directors of Dynamics Special Purpose Corp., from May 2021 until June 2022, and Vir Biotechnology, Inc., from August 2017 until June 2022. Mr. Nishar previously was on the board of directors of Guardant Health, Inc., Relay Therapeutics, Inc., TripAdvisor, Inc., and Vir Biotechnology, Inc. Mr. Nishar holds a B. Tech from the Indian Institute of Technology, an M.S. in Electrical Engineering from the University of Illinois, Urbana-Champaign and an MBA from Harvard Business School.</w:t>
      </w:r>
    </w:p>
    <w:p>
      <w:pPr>
        <w:spacing w:after="0" w:line="19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Mr. Nishar has over 20 years of experience helping build and grow companies. Our board of directors greatly benefits from his extensive background in corporate strategy, governance, capital allocation, investing and management. Our board of directors believes that Mr. Nishar’s perspective as an outside investor is invaluable.</w:t>
      </w:r>
    </w:p>
    <w:p>
      <w:pPr>
        <w:spacing w:after="0" w:line="1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Isaac Ro </w:t>
      </w:r>
      <w:r>
        <w:rPr>
          <w:rFonts w:ascii="Times New Roman" w:cs="Times New Roman" w:eastAsia="Times New Roman" w:hAnsi="Times New Roman"/>
          <w:sz w:val="18"/>
          <w:szCs w:val="18"/>
          <w:color w:val="auto"/>
        </w:rPr>
        <w:t>has served as a member of our board of directors since September 2025. Mr. Ro has been a Partner at Catalio Capital Management since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Mr. Ro has led multiple venture and private credit investments in breakthrough life science companies. He currently serves as a member of the board of directors of PinkDx and PrognomiQ. Mr. Ro was previously the Executive Chairman of Haystack Oncology from November 2022 until June 2023, where he led the company through its successful acquisition by Quest Diagnostics. Mr. Ro was Chief Financial Officer of Sema4 Holdings Corp. from July 2021 to July 2022 when it was acquired by GeneDx. He also held the role of Chief Financial Officer of Thrive Earlier Detection, where he led the company’s launch and subsequent sale to Exact Sciences in 2020. Prior to Thrive, Mr. Ro led the U.S. Medical Technology and Life Science Tools equity research teams at Goldman Sachs from 2010 to 2019, and held a similar role at Leerink Partners prior to that. Mr. Ro holds a B.A. in History and was Pre-Med at Middlebury College.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Mr. Ro is a noted biotechnology investor and executive. He brings to our board of directors expertise in corporate strategy, finance, capital allocation, governance, investing and management. Our board of directors benefits greatly from his industry perspective, as well as his experience in equity research. Mr. Ro provides our board of directors with the perspective of an outside investor.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Nicolas Roelofs, Ph.D. </w:t>
      </w:r>
      <w:r>
        <w:rPr>
          <w:rFonts w:ascii="Times New Roman" w:cs="Times New Roman" w:eastAsia="Times New Roman" w:hAnsi="Times New Roman"/>
          <w:sz w:val="18"/>
          <w:szCs w:val="18"/>
          <w:color w:val="auto"/>
        </w:rPr>
        <w:t>has served as a member of our board of directors and as our Lead Independent Director since August 2024. Dr. Roelofs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Partner of Sciety AB since August 2024 and was a Thematic Partner and Advisor at Summa Equity AB from July 2016 to December 2025. Dr. Roelofs has also been Industrial Advisor of Nordic Capital since 2014. Dr. Roelofs has served on the board of directors of Olink Holding AB, a Swedish publicly limited liability company that trades on the Nasdaq Global Market. Since 2014, Dr. Roelofs has been a director and chairman of the board of directors of multiple privately held companies, including Sengenics Corporation Pte Ltd., One BioMed Pte Ltd. and ScaleBio Ltd. Dr. Roelofs also serves as a member of the board of directors of multiple privately held companies, including LGC Group. Dr. Roelofs previously was the President of the Life Sciences Group at Agilent Technologies, Group Operations Officer for the Life Sciences Division of Bio-Rad Inc., and Chief Operating Officer of Stratagene Inc. He holds a B.S. in Chemistry, Biology, and German from Simpson College, an M.S. in Organic Chemistry from Iowa State University, and his doctorate in organic chemistry from University of Nevada, Reno.</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Dr. Roelofs has extensive experience in the life sciences sector as an executive and investor. He brings to our board of directors substantial executive experience at prominent life sciences companies, as well as significant scientific and technical knowledge. Dr. Roelofs also has experience as a director at public companies, and our board of directors benefits from his governance expertise.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talent and compensation and corporate governance and nominating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listing standards of Nasdaq, a member of an audit committee of a listed company may not, other than in his or her capacity as a member of the audit committee, our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listing standards of Nasdaq, our board of directors must affirmatively determine that each member of the talent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talent and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each of Meeta Gulyani, Terrance McGuire, Dipchand (Deep) Nishar, Isaac Ro, and Nicolas Roelofs, Ph.D., representing five of our seven directors, does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talent and compensation and corporate governance and nominating committees satisfy the independence standards for committee members established by applicable SEC rules and regulations and the listing standards of Nasdaq. Additionally, former director David Hallal, who served on our board of directors until July 2025, was independent during the period.</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has appointed Nicolas Roelofs, Ph.D. to serve as our Lead Independent Director beginning August 13, 2024. Prior to Dr. Roelofs’ appointment, Mr. Hallal served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Dr. Roelofs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talent and compensation committee, a corporate governance and nominating committee, and a science and technology committee. The composition, responsibilities and the number of meetings held during 2025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audit committee consists of Meeta Gulyani, Terrance McGuire, and Isaac Ro, with Ms. Gulyani serving as Chair. Our former director, David Hallal, also served on our audit committee until July 2025. Our board of directors has determined that each of the members of our audit committee, as well as Mr. Hallal at the time he was serving on our audit committee, satisfies the independence requirements under the listing standards of Nasdaq and Rule 10A-3 of the Exchange Act. Our board of directors has determined that Mr. Ro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54"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 to audit our financial statements;</w:t>
      </w:r>
    </w:p>
    <w:p>
      <w:pPr>
        <w:spacing w:after="0" w:line="22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0"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audit and non-audit services and fees;</w:t>
      </w:r>
    </w:p>
    <w:p>
      <w:pPr>
        <w:spacing w:after="0" w:line="11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to be included in our annual proxy statement;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communications from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and disclosure controls and procedures;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including with respect to information technology and cybersecurity risks;</w:t>
      </w:r>
    </w:p>
    <w:p>
      <w:pPr>
        <w:spacing w:after="0" w:line="117" w:lineRule="exact"/>
        <w:rPr>
          <w:rFonts w:ascii="Times New Roman" w:cs="Times New Roman" w:eastAsia="Times New Roman" w:hAnsi="Times New Roman"/>
          <w:sz w:val="18"/>
          <w:szCs w:val="18"/>
          <w:color w:val="auto"/>
        </w:rPr>
      </w:pPr>
    </w:p>
    <w:p>
      <w:pPr>
        <w:ind w:left="1140" w:right="50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conflicts of interest situations, and approving or prohibiting any involvement in matters that may involve a conflict of interest or taking of a corporate opportunity;</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and</w:t>
      </w:r>
    </w:p>
    <w:p>
      <w:pPr>
        <w:spacing w:after="0" w:line="117"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In 2025, our audit committee held four meetings and acted by unanimous written consent once.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Compensation Committee</w:t>
      </w:r>
    </w:p>
    <w:p>
      <w:pPr>
        <w:spacing w:after="0" w:line="227"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consists of Terrance McGuire and Nicolas Roelofs, Ph.D., with Mr. McGuire serving as Chair. Our former director, David Hallal, also served on our talent and compensation committee until July 2025. Our board of directors has determined that each of the members of our talent and compensation committee, as well as Mr. Hallal at the time he was serving on our talent and compensation committee, is independent under the listing standards of Nasdaq and a “non-employee director” as defined in Rule 16b-3 under the Exchange Act.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talent and compensation committee oversees our compensation policies, plans, and benefits programs. The compensation committee is also responsible for, among other things:</w:t>
      </w:r>
    </w:p>
    <w:p>
      <w:pPr>
        <w:spacing w:after="0" w:line="54"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overall compensation philosophy and compensation policies, plans and benefit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our board of directors for approval, the compensation of our executive officers and directors;</w:t>
      </w:r>
    </w:p>
    <w:p>
      <w:pPr>
        <w:spacing w:after="0" w:line="128"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talent and compensation committee report that the SEC requires to be included in our annual proxy statement, if any;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2025, our talent and compensation committee held four meetings and acted by unanimous written consent once.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consists of Dipchand (Deep) Nishar and Nicolas Roelofs, Ph.D., with Dr. Roelofs serving as Chair. Our former director, David Hallal, also served on our corporate governance and nominating committee until July 2025. Our board of directors has determined that each of the members of our corporate governance and nominating committee, as well as Mr. Hallal at the time he was serving on our corporate governance and nominating committee, is independent under the listing standards of Nasdaq.</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54" w:lineRule="exact"/>
        <w:rPr>
          <w:sz w:val="20"/>
          <w:szCs w:val="20"/>
          <w:color w:val="auto"/>
        </w:rPr>
      </w:pPr>
    </w:p>
    <w:p>
      <w:pPr>
        <w:ind w:left="1140" w:right="28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making recommendations to our board of directors regarding nominees for election to our board of directors and its committees;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2025, our corporate governance and nominating committee held four meetings and acted by unanimous written consent two times.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Science and Technology Committee</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science and technology committee consists of Robert Langer, Sc.D., Dipchand (Deep) Nishar and Nicolas Roelofs, Ph.D., with Dr. Langer serving as Chair. Our science and technology committee oversees and assists our board of directors in its oversight of our scientific and technological strategies and research and development plans and goals. In 2025, our science and technology committee held one meeting. The science and technology committee is also responsible for, among other things:</w:t>
      </w:r>
    </w:p>
    <w:p>
      <w:pPr>
        <w:spacing w:after="0" w:line="72"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performance relating to our research and development plans and goals;</w:t>
      </w:r>
    </w:p>
    <w:p>
      <w:pPr>
        <w:spacing w:after="0" w:line="117" w:lineRule="exact"/>
        <w:rPr>
          <w:rFonts w:ascii="Times New Roman" w:cs="Times New Roman" w:eastAsia="Times New Roman" w:hAnsi="Times New Roman"/>
          <w:sz w:val="18"/>
          <w:szCs w:val="18"/>
          <w:color w:val="auto"/>
        </w:rPr>
      </w:pPr>
    </w:p>
    <w:p>
      <w:pPr>
        <w:ind w:left="1140" w:right="7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scientific and technological strategies and research and development plans, and goals, including the competitive environment;</w:t>
      </w:r>
    </w:p>
    <w:p>
      <w:pPr>
        <w:spacing w:after="0" w:line="53"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discussing significant emerging science and technology issues and trends, including their potential impact on our scientific and technological strategies and research and development plans and goals;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periodic review of our intellectual property portfolio and strategy, including our overall competitiveness.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Stockholder Meetings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2025, our board of directors held six meetings (including regularly scheduled and special meetings) and acted by unanimous written consent four times and each director attended at least 85%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annual meetings of stockholders, we strongly encourage, but do not require, our directors to attend. Four members of our board of directors (in addition to our Chief Executive Officer) attended our annual meeting of stockholders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and Compensation Committee Interlocks and Insider Participation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2025, Terrance McGuire, David Hallal (who served on our board of directors until July 2025) and Nicolas Roelofs, Ph.D.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our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and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to reflect our strategic priorities and contribute to the effective oversight of our long-term growth objectives.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represent a broad range of perspectives, and our corporate governance and nominating committee considers a broad range of backgrounds and experiences.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our Board of Directors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governance and nominating committee will consider director candidates recommended by stockholders holding continuously (i) at least $2,000 in market value of the outstanding shares of our Class A common stock for at least three years prior to the date of the submission of the recommendation or nomination, (ii) at least $15,000 in market value of the outstanding shares of our Class A common stock for at least two years prior to the date of the submission of the recommendation or nomination, or (iii) at least $25,000 in market value of the outstanding shares of our Class A common stock for at least one year prior to the date of the submission of the recommendation or nomination, so long as such recommendations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a wide range of perspectives, skills and experience, including appropriate financial and other expertise relevant to our business. Eligible stockholders wishing to recommend a candidate for nomination should contact our President and Chief Financial Officer in writing at our principal executive office.</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and nominating committee has discretion to decide which individuals to recommend for nomination as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Interested parties wishing to communicate with non-management members of our board of directors may do so by writing and mailing the correspondence to our President and Chief Financial Officer at Seer, Inc., 3800 Bridge Parkway, Suite 102, Redwood City, California 94065. Our President and Chief Financial Officer monitors these communications and will provide a summary of all received bona fide messages to our board of directors at each regularly scheduled meeting of our board of directors. Where the nature of a communication warrants, our President and Chief Financial Officer may determine, in his judgment, to obtain the more immediate attention of the appropriate committee of our board of directors or non-management director, of independent advisors or of our management.</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President and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potential conflicts of interest, and cybersecurity. The audit committee oversees management’s implementation of the cybersecurity risk management program and reports to our board of directors regarding its activities related to cybersecurity. Our board of directors also receives periodic briefings from the audit committee on our cybersecurity risk management program.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our board of directors adopted, and our stockholders approved, a compensation policy for our non-employee directors, which has since been amended from time to time, including most recently on February 25, 2026, and prior to that on February 26, 2025. This policy was initially developed, and has generally been reviewed annually and updated periodically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director compensation policy and our 2020 Equity Incentive Plan (the 2020 Plan) includes a maximum annual limit of $750,000 or, in the first year of a non-employee director’s service on our board of directors as a non-employee director, $1,000,000, of equity awards granted and other compensation provided to a non-employee director in any fiscal year. For purposes of these limitations, the value of an equity award is based on its grant date fair value (determined in accordance with generally accepted accounting principles, or GAAP). Any equity awards granted or other compensation provided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outside director compensation policy provides for the following cash compensation program for our non-employee directors:</w:t>
      </w:r>
    </w:p>
    <w:p>
      <w:pPr>
        <w:spacing w:after="0" w:line="117"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$42,500 per year for service as a non-employee director;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lead independent director;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talent and compensation committee;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0"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talent and compensation committee;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corporate governance and nominating committee;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corporate governance and nominating committee;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science and technology committee;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science and technology committee.</w:t>
      </w:r>
    </w:p>
    <w:p>
      <w:pPr>
        <w:spacing w:after="0" w:line="225"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Awards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person who first becomes a non-employee director will receive, on the first trading day on or after the date that the person first becomes a non-employee director, certain initial equity awards (collectively, the Initial Award), pursuant to our outside director compensation policy, of stock options to purchase 61,000 shares of our Class A common stock and restricted stock units covering 41,000 shares of our Class A common stock.</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Initial Award vests in three equal annual installments following the director's start date, on the same day of the month as the start date, subject to continued services to us through the applicable vesting dates.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person was a member of our board of directors and also an employee, then becoming a non-employee director due to termination of employment will not entitle the person to an Initial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Awards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Each non-employee director automatically will receive, on the date of each annual meeting of our stockholders, certain annual award or awards (collectively, the Annual Award), pursuant to our outside director compensation policy:</w:t>
      </w:r>
    </w:p>
    <w:p>
      <w:pPr>
        <w:spacing w:after="0" w:line="108" w:lineRule="exact"/>
        <w:rPr>
          <w:sz w:val="20"/>
          <w:szCs w:val="20"/>
          <w:color w:val="auto"/>
        </w:rPr>
      </w:pPr>
    </w:p>
    <w:p>
      <w:pPr>
        <w:ind w:left="380" w:right="14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25, 2026, stock options to purchase 25,000 shares of our Class A common stock (the Annual Option Award) and restricted stock units covering 16,500 shares of our Class A common stock (the Annual RSU Award); or</w:t>
      </w:r>
    </w:p>
    <w:p>
      <w:pPr>
        <w:spacing w:after="0" w:line="107"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26, 2025 (and until amended on February 25, 2026), stock options to purchase 30,500 shares of our Class A common stock and restricted stock units covering 20,500 shares of our Class A common stock.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each of the above versions of our outside director compensation policy,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Annual Award will be scheduled to vest as to all of the shares of our Class A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our change in control, as defined in our 2020 Equity Incentive Plan, each non-employee director’s then outstanding equity awards covering shares of our Class A common stock that were granted to him or her while a non-employee director will accelerate vesting in full, provided that he or she remains a non-employee director through the date of our change in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Other Award Terms</w:t>
      </w:r>
      <w:r>
        <w:rPr>
          <w:rFonts w:ascii="Times New Roman" w:cs="Times New Roman" w:eastAsia="Times New Roman" w:hAnsi="Times New Roman"/>
          <w:sz w:val="18"/>
          <w:szCs w:val="18"/>
          <w:color w:val="auto"/>
        </w:rPr>
        <w:t>. Each Initial Award and Annual Award will be granted under our 2020 Equity Incentive Plan (or its successor plan, as applicable) and cover shares of our Class A common stock, and are subject to the terms and conditions of such plan and form of award agreement thereunder. These awards will have a maximum term to expiration of ten years from their grant and a per share exercise price equal to 100% of the fair market value of a share of our Class A common stock on the award’s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2025</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Directors who are also our employees receive no additional compensation for their service as directors. Omid Farokhzad, M.D., our Chief Executive Officer, was an employee director during 2025. See the section titled “Executive Compensation” for additional information about Dr. Farokhzad’s compensation.</w:t>
      </w:r>
    </w:p>
    <w:p>
      <w:pPr>
        <w:spacing w:after="0" w:line="176"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total compensation each of our non-employee directors received during the year ended December 31, 2025. Other than as set forth in the table, we did not pay any compensation, make any equity awards or non-equity awards to or pay any other compensation to any of our non-employee directors in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9"/>
                <w:szCs w:val="19"/>
                <w:b w:val="1"/>
                <w:bCs w:val="1"/>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66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37"/>
        </w:trPr>
        <w:tc>
          <w:tcPr>
            <w:tcW w:w="2340" w:type="dxa"/>
            <w:vAlign w:val="bottom"/>
            <w:vMerge w:val="continue"/>
          </w:tcPr>
          <w:p>
            <w:pPr>
              <w:spacing w:after="0"/>
              <w:rPr>
                <w:sz w:val="11"/>
                <w:szCs w:val="11"/>
                <w:color w:val="auto"/>
              </w:rPr>
            </w:pPr>
          </w:p>
        </w:tc>
        <w:tc>
          <w:tcPr>
            <w:tcW w:w="3100" w:type="dxa"/>
            <w:vAlign w:val="bottom"/>
          </w:tcPr>
          <w:p>
            <w:pPr>
              <w:ind w:left="1960"/>
              <w:spacing w:after="0" w:line="137" w:lineRule="exact"/>
              <w:rPr>
                <w:sz w:val="20"/>
                <w:szCs w:val="20"/>
                <w:color w:val="auto"/>
              </w:rPr>
            </w:pPr>
            <w:r>
              <w:rPr>
                <w:rFonts w:ascii="Times New Roman" w:cs="Times New Roman" w:eastAsia="Times New Roman" w:hAnsi="Times New Roman"/>
                <w:sz w:val="14"/>
                <w:szCs w:val="14"/>
                <w:b w:val="1"/>
                <w:bCs w:val="1"/>
                <w:color w:val="auto"/>
              </w:rPr>
              <w:t>Paid in Cash ($)</w:t>
            </w:r>
          </w:p>
        </w:tc>
        <w:tc>
          <w:tcPr>
            <w:tcW w:w="1440" w:type="dxa"/>
            <w:vAlign w:val="bottom"/>
            <w:vMerge w:val="continue"/>
          </w:tcPr>
          <w:p>
            <w:pPr>
              <w:spacing w:after="0"/>
              <w:rPr>
                <w:sz w:val="11"/>
                <w:szCs w:val="11"/>
                <w:color w:val="auto"/>
              </w:rPr>
            </w:pPr>
          </w:p>
        </w:tc>
        <w:tc>
          <w:tcPr>
            <w:tcW w:w="1400" w:type="dxa"/>
            <w:vAlign w:val="bottom"/>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(1)</w:t>
            </w:r>
          </w:p>
        </w:tc>
        <w:tc>
          <w:tcPr>
            <w:tcW w:w="1660" w:type="dxa"/>
            <w:vAlign w:val="bottom"/>
          </w:tcPr>
          <w:p>
            <w:pPr>
              <w:jc w:val="center"/>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Meeta Gulyani</w:t>
            </w:r>
          </w:p>
        </w:tc>
        <w:tc>
          <w:tcPr>
            <w:tcW w:w="256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62,500</w:t>
            </w:r>
          </w:p>
        </w:tc>
        <w:tc>
          <w:tcPr>
            <w:tcW w:w="13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44,690</w:t>
            </w:r>
          </w:p>
        </w:tc>
        <w:tc>
          <w:tcPr>
            <w:tcW w:w="142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48,095</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155,285</w:t>
            </w:r>
          </w:p>
        </w:tc>
        <w:tc>
          <w:tcPr>
            <w:tcW w:w="0" w:type="dxa"/>
            <w:vAlign w:val="bottom"/>
          </w:tcPr>
          <w:p>
            <w:pPr>
              <w:spacing w:after="0"/>
              <w:rPr>
                <w:sz w:val="1"/>
                <w:szCs w:val="1"/>
                <w:color w:val="auto"/>
              </w:rPr>
            </w:pPr>
          </w:p>
        </w:tc>
      </w:tr>
      <w:tr>
        <w:trPr>
          <w:trHeight w:val="254"/>
        </w:trPr>
        <w:tc>
          <w:tcPr>
            <w:tcW w:w="33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David Hallal</w:t>
            </w:r>
            <w:r>
              <w:rPr>
                <w:rFonts w:ascii="Times New Roman" w:cs="Times New Roman" w:eastAsia="Times New Roman" w:hAnsi="Times New Roman"/>
                <w:sz w:val="24"/>
                <w:szCs w:val="24"/>
                <w:color w:val="auto"/>
                <w:vertAlign w:val="superscript"/>
              </w:rPr>
              <w:t>(2)</w:t>
            </w:r>
          </w:p>
        </w:tc>
        <w:tc>
          <w:tcPr>
            <w:tcW w:w="2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33,723</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w w:val="99"/>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0" w:type="dxa"/>
            <w:vAlign w:val="bottom"/>
          </w:tcPr>
          <w:p>
            <w:pPr>
              <w:spacing w:after="0"/>
              <w:rPr>
                <w:sz w:val="1"/>
                <w:szCs w:val="1"/>
                <w:color w:val="auto"/>
              </w:rPr>
            </w:pPr>
          </w:p>
        </w:tc>
      </w:tr>
      <w:tr>
        <w:trPr>
          <w:trHeight w:val="63"/>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2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52,500</w:t>
            </w: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44,690</w:t>
            </w:r>
          </w:p>
        </w:tc>
        <w:tc>
          <w:tcPr>
            <w:tcW w:w="14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48,095</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580" w:type="dxa"/>
            <w:vAlign w:val="bottom"/>
            <w:vMerge w:val="continue"/>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220,285</w:t>
            </w: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2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67,500</w:t>
            </w:r>
          </w:p>
        </w:tc>
        <w:tc>
          <w:tcPr>
            <w:tcW w:w="13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44,690</w:t>
            </w:r>
          </w:p>
        </w:tc>
        <w:tc>
          <w:tcPr>
            <w:tcW w:w="1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48,095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160,285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Dipchand (Deep) Nishar</w:t>
            </w:r>
          </w:p>
        </w:tc>
        <w:tc>
          <w:tcPr>
            <w:tcW w:w="2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52,500</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44,690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48,095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145,285</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Isaac Ro</w:t>
            </w:r>
            <w:r>
              <w:rPr>
                <w:rFonts w:ascii="Times New Roman" w:cs="Times New Roman" w:eastAsia="Times New Roman" w:hAnsi="Times New Roman"/>
                <w:sz w:val="24"/>
                <w:szCs w:val="24"/>
                <w:color w:val="auto"/>
                <w:vertAlign w:val="superscript"/>
              </w:rPr>
              <w:t>(4)</w:t>
            </w:r>
          </w:p>
        </w:tc>
        <w:tc>
          <w:tcPr>
            <w:tcW w:w="2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27,354</w:t>
            </w:r>
          </w:p>
        </w:tc>
        <w:tc>
          <w:tcPr>
            <w:tcW w:w="13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83,640</w:t>
            </w:r>
          </w:p>
        </w:tc>
        <w:tc>
          <w:tcPr>
            <w:tcW w:w="1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89,152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200,146</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Nicolas Roelofs, Ph.D.</w:t>
            </w:r>
          </w:p>
        </w:tc>
        <w:tc>
          <w:tcPr>
            <w:tcW w:w="2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108,833</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37,241</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40,078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6" w:lineRule="exact"/>
        <w:rPr>
          <w:sz w:val="20"/>
          <w:szCs w:val="20"/>
          <w:color w:val="auto"/>
        </w:rPr>
      </w:pPr>
    </w:p>
    <w:p>
      <w:pPr>
        <w:ind w:left="380" w:right="40" w:hanging="372"/>
        <w:spacing w:after="0" w:line="275"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this column represents the aggregate grant-date fair value of the award as computed as of the grant date of each share and option awarded in fiscal 2025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2, 2026.</w:t>
      </w:r>
    </w:p>
    <w:p>
      <w:pPr>
        <w:spacing w:after="0" w:line="74" w:lineRule="exact"/>
        <w:rPr>
          <w:rFonts w:ascii="Times New Roman" w:cs="Times New Roman" w:eastAsia="Times New Roman" w:hAnsi="Times New Roman"/>
          <w:sz w:val="16"/>
          <w:szCs w:val="16"/>
          <w:color w:val="auto"/>
        </w:rPr>
      </w:pPr>
    </w:p>
    <w:p>
      <w:pPr>
        <w:ind w:left="380" w:right="100" w:hanging="372"/>
        <w:spacing w:after="0" w:line="295"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Hallal did not stand for re-election at our July 2025 Annual Meeting. Accordingly, his fees for 2025 were prorated for the portion of 2025 in which he served as a director and member of the audit, talent and compensation and corporate governance and nominating committees. Mr. Hallal did not receive any equity awards in 2025.</w:t>
      </w:r>
    </w:p>
    <w:p>
      <w:pPr>
        <w:spacing w:after="0" w:line="26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fixed annual consulting fee arrangement for Dr. Langer’s service on our Scientific Advisory Board in 2025.</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Ro joined our board of directors in September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-1350645</wp:posOffset>
            </wp:positionV>
            <wp:extent cx="2854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101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Borders>
              <w:bottom w:val="single" w:sz="8" w:color="auto"/>
            </w:tcBorders>
            <w:gridSpan w:val="4"/>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Stock Awards</w:t>
            </w: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Market Value of</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Units of 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0" w:type="dxa"/>
            <w:vAlign w:val="bottom"/>
          </w:tcPr>
          <w:p>
            <w:pPr>
              <w:spacing w:after="0"/>
              <w:rPr>
                <w:sz w:val="1"/>
                <w:szCs w:val="1"/>
                <w:color w:val="auto"/>
              </w:rPr>
            </w:pPr>
          </w:p>
        </w:tc>
      </w:tr>
      <w:tr>
        <w:trPr>
          <w:trHeight w:val="128"/>
        </w:trPr>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1"/>
                <w:szCs w:val="11"/>
                <w:color w:val="auto"/>
              </w:rPr>
            </w:pPr>
          </w:p>
        </w:tc>
        <w:tc>
          <w:tcPr>
            <w:tcW w:w="1120" w:type="dxa"/>
            <w:vAlign w:val="bottom"/>
          </w:tcPr>
          <w:p>
            <w:pPr>
              <w:jc w:val="center"/>
              <w:ind w:left="97"/>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177"/>
              <w:spacing w:after="0" w:line="128" w:lineRule="exact"/>
              <w:rPr>
                <w:sz w:val="20"/>
                <w:szCs w:val="20"/>
                <w:color w:val="auto"/>
              </w:rPr>
            </w:pPr>
            <w:r>
              <w:rPr>
                <w:rFonts w:ascii="Times New Roman" w:cs="Times New Roman" w:eastAsia="Times New Roman" w:hAnsi="Times New Roman"/>
                <w:sz w:val="13"/>
                <w:szCs w:val="13"/>
                <w:b w:val="1"/>
                <w:bCs w:val="1"/>
                <w:color w:val="auto"/>
              </w:rPr>
              <w:t>Option Exercise</w:t>
            </w:r>
          </w:p>
        </w:tc>
        <w:tc>
          <w:tcPr>
            <w:tcW w:w="100" w:type="dxa"/>
            <w:vAlign w:val="bottom"/>
          </w:tcPr>
          <w:p>
            <w:pPr>
              <w:spacing w:after="0"/>
              <w:rPr>
                <w:sz w:val="11"/>
                <w:szCs w:val="11"/>
                <w:color w:val="auto"/>
              </w:rPr>
            </w:pPr>
          </w:p>
        </w:tc>
        <w:tc>
          <w:tcPr>
            <w:tcW w:w="1140" w:type="dxa"/>
            <w:vAlign w:val="bottom"/>
          </w:tcPr>
          <w:p>
            <w:pPr>
              <w:jc w:val="right"/>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 Expiration</w:t>
            </w:r>
          </w:p>
        </w:tc>
        <w:tc>
          <w:tcPr>
            <w:tcW w:w="120" w:type="dxa"/>
            <w:vAlign w:val="bottom"/>
          </w:tcPr>
          <w:p>
            <w:pPr>
              <w:spacing w:after="0"/>
              <w:rPr>
                <w:sz w:val="11"/>
                <w:szCs w:val="11"/>
                <w:color w:val="auto"/>
              </w:rPr>
            </w:pPr>
          </w:p>
        </w:tc>
        <w:tc>
          <w:tcPr>
            <w:tcW w:w="114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 Exercisable</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95"/>
              </w:rPr>
              <w:t>Not Vested ($)</w:t>
            </w:r>
            <w:r>
              <w:rPr>
                <w:rFonts w:ascii="Times New Roman" w:cs="Times New Roman" w:eastAsia="Times New Roman" w:hAnsi="Times New Roman"/>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110"/>
        </w:trPr>
        <w:tc>
          <w:tcPr>
            <w:tcW w:w="19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Meeta Gulyani</w:t>
            </w:r>
          </w:p>
        </w:tc>
        <w:tc>
          <w:tcPr>
            <w:tcW w:w="110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11/29/2021</w:t>
            </w:r>
          </w:p>
        </w:tc>
        <w:tc>
          <w:tcPr>
            <w:tcW w:w="124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30,000</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tcPr>
          <w:p>
            <w:pPr>
              <w:jc w:val="right"/>
              <w:ind w:right="17"/>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9"/>
                <w:szCs w:val="9"/>
                <w:color w:val="auto"/>
              </w:rPr>
            </w:pPr>
          </w:p>
        </w:tc>
        <w:tc>
          <w:tcPr>
            <w:tcW w:w="130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21.52</w:t>
            </w:r>
          </w:p>
        </w:tc>
        <w:tc>
          <w:tcPr>
            <w:tcW w:w="124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11/29/2031</w:t>
            </w:r>
          </w:p>
        </w:tc>
        <w:tc>
          <w:tcPr>
            <w:tcW w:w="120" w:type="dxa"/>
            <w:vAlign w:val="bottom"/>
          </w:tcPr>
          <w:p>
            <w:pPr>
              <w:spacing w:after="0"/>
              <w:rPr>
                <w:sz w:val="9"/>
                <w:szCs w:val="9"/>
                <w:color w:val="auto"/>
              </w:rPr>
            </w:pPr>
          </w:p>
        </w:tc>
        <w:tc>
          <w:tcPr>
            <w:tcW w:w="1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6/15/2022</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16,159</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6/15/2032</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6/14/2023</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34,735</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6/14/2033</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9"/>
                <w:szCs w:val="9"/>
                <w:color w:val="auto"/>
              </w:rPr>
            </w:pPr>
          </w:p>
        </w:tc>
        <w:tc>
          <w:tcPr>
            <w:tcW w:w="1240" w:type="dxa"/>
            <w:vAlign w:val="bottom"/>
            <w:gridSpan w:val="2"/>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30,500</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7/7/2035</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20,500</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37,515</w:t>
            </w:r>
          </w:p>
        </w:tc>
        <w:tc>
          <w:tcPr>
            <w:tcW w:w="0" w:type="dxa"/>
            <w:vAlign w:val="bottom"/>
          </w:tcPr>
          <w:p>
            <w:pPr>
              <w:spacing w:after="0"/>
              <w:rPr>
                <w:sz w:val="1"/>
                <w:szCs w:val="1"/>
                <w:color w:val="auto"/>
              </w:rPr>
            </w:pPr>
          </w:p>
        </w:tc>
      </w:tr>
      <w:tr>
        <w:trPr>
          <w:trHeight w:val="117"/>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Robert Langer, Sc.D.</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5/18/2018</w:t>
            </w:r>
          </w:p>
        </w:tc>
        <w:tc>
          <w:tcPr>
            <w:tcW w:w="124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104,048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0.04</w:t>
            </w:r>
          </w:p>
        </w:tc>
        <w:tc>
          <w:tcPr>
            <w:tcW w:w="124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5/17/2028</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1/28/2020</w:t>
            </w:r>
          </w:p>
        </w:tc>
        <w:tc>
          <w:tcPr>
            <w:tcW w:w="124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101,886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1/27/2030</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40" w:type="dxa"/>
            <w:vAlign w:val="bottom"/>
            <w:gridSpan w:val="3"/>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4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121,562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7/27/2030</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40" w:type="dxa"/>
            <w:vAlign w:val="bottom"/>
            <w:gridSpan w:val="3"/>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0" w:type="dxa"/>
            <w:vAlign w:val="bottom"/>
            <w:shd w:val="clear" w:color="auto" w:fill="CFF0FC"/>
          </w:tcPr>
          <w:p>
            <w:pPr>
              <w:spacing w:after="0"/>
              <w:rPr>
                <w:sz w:val="9"/>
                <w:szCs w:val="9"/>
                <w:color w:val="auto"/>
              </w:rPr>
            </w:pPr>
          </w:p>
        </w:tc>
        <w:tc>
          <w:tcPr>
            <w:tcW w:w="112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12/2/2030</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gridSpan w:val="2"/>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6/17/2021</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33.74</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6/17/2031</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6/15/2022</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29,640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6/15/2032</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6/14/2023</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6/14/2033</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7/7/2025</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9"/>
                <w:szCs w:val="9"/>
                <w:color w:val="auto"/>
              </w:rPr>
            </w:pPr>
          </w:p>
        </w:tc>
        <w:tc>
          <w:tcPr>
            <w:tcW w:w="1240" w:type="dxa"/>
            <w:vAlign w:val="bottom"/>
            <w:gridSpan w:val="2"/>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30,500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7/7/2035</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20,500</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37,515</w:t>
            </w:r>
          </w:p>
        </w:tc>
        <w:tc>
          <w:tcPr>
            <w:tcW w:w="0" w:type="dxa"/>
            <w:vAlign w:val="bottom"/>
          </w:tcPr>
          <w:p>
            <w:pPr>
              <w:spacing w:after="0"/>
              <w:rPr>
                <w:sz w:val="1"/>
                <w:szCs w:val="1"/>
                <w:color w:val="auto"/>
              </w:rPr>
            </w:pPr>
          </w:p>
        </w:tc>
      </w:tr>
      <w:tr>
        <w:trPr>
          <w:trHeight w:val="117"/>
        </w:trPr>
        <w:tc>
          <w:tcPr>
            <w:tcW w:w="19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Terrance McGuire</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1/28/2020</w:t>
            </w:r>
          </w:p>
        </w:tc>
        <w:tc>
          <w:tcPr>
            <w:tcW w:w="124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101,886</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112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300" w:type="dxa"/>
            <w:vAlign w:val="bottom"/>
            <w:gridSpan w:val="2"/>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2.70</w:t>
            </w:r>
          </w:p>
        </w:tc>
        <w:tc>
          <w:tcPr>
            <w:tcW w:w="1240" w:type="dxa"/>
            <w:vAlign w:val="bottom"/>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1/27/2030</w:t>
            </w:r>
          </w:p>
        </w:tc>
        <w:tc>
          <w:tcPr>
            <w:tcW w:w="1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58,415</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7/27/2030</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18,691</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12/2/2030</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6/17/2021</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33.74</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6/17/2031</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6/15/2022</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29,640</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6/15/2032</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6/14/2023</w:t>
            </w:r>
          </w:p>
        </w:tc>
        <w:tc>
          <w:tcPr>
            <w:tcW w:w="12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34,735</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6/14/2033</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tcPr>
          <w:p>
            <w:pPr>
              <w:spacing w:after="0"/>
              <w:rPr>
                <w:sz w:val="9"/>
                <w:szCs w:val="9"/>
                <w:color w:val="auto"/>
              </w:rPr>
            </w:pPr>
          </w:p>
        </w:tc>
        <w:tc>
          <w:tcPr>
            <w:tcW w:w="11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9"/>
                <w:szCs w:val="9"/>
                <w:color w:val="auto"/>
              </w:rPr>
            </w:pPr>
          </w:p>
        </w:tc>
        <w:tc>
          <w:tcPr>
            <w:tcW w:w="1240" w:type="dxa"/>
            <w:vAlign w:val="bottom"/>
            <w:gridSpan w:val="2"/>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30,500</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vMerge w:val="restart"/>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240" w:type="dxa"/>
            <w:vAlign w:val="bottom"/>
            <w:gridSpan w:val="2"/>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7/7/2035</w:t>
            </w:r>
          </w:p>
        </w:tc>
        <w:tc>
          <w:tcPr>
            <w:tcW w:w="120" w:type="dxa"/>
            <w:vAlign w:val="bottom"/>
          </w:tcPr>
          <w:p>
            <w:pPr>
              <w:spacing w:after="0"/>
              <w:rPr>
                <w:sz w:val="9"/>
                <w:szCs w:val="9"/>
                <w:color w:val="auto"/>
              </w:rPr>
            </w:pPr>
          </w:p>
        </w:tc>
        <w:tc>
          <w:tcPr>
            <w:tcW w:w="11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20,500</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37,515</w:t>
            </w:r>
          </w:p>
        </w:tc>
        <w:tc>
          <w:tcPr>
            <w:tcW w:w="0" w:type="dxa"/>
            <w:vAlign w:val="bottom"/>
          </w:tcPr>
          <w:p>
            <w:pPr>
              <w:spacing w:after="0"/>
              <w:rPr>
                <w:sz w:val="1"/>
                <w:szCs w:val="1"/>
                <w:color w:val="auto"/>
              </w:rPr>
            </w:pPr>
          </w:p>
        </w:tc>
      </w:tr>
      <w:tr>
        <w:trPr>
          <w:trHeight w:val="117"/>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Dipchand (Deep) Nishar</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3/2/2022</w:t>
            </w:r>
          </w:p>
        </w:tc>
        <w:tc>
          <w:tcPr>
            <w:tcW w:w="124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30,000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13.84</w:t>
            </w:r>
          </w:p>
        </w:tc>
        <w:tc>
          <w:tcPr>
            <w:tcW w:w="124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3/2/2032</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6/15/2022</w:t>
            </w:r>
          </w:p>
        </w:tc>
        <w:tc>
          <w:tcPr>
            <w:tcW w:w="124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29,640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6/15/2032</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40" w:type="dxa"/>
            <w:vAlign w:val="bottom"/>
            <w:gridSpan w:val="3"/>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6/14/2023</w:t>
            </w:r>
          </w:p>
        </w:tc>
        <w:tc>
          <w:tcPr>
            <w:tcW w:w="124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6/14/2033</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40" w:type="dxa"/>
            <w:vAlign w:val="bottom"/>
            <w:gridSpan w:val="3"/>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7/7/2025</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9"/>
                <w:szCs w:val="9"/>
                <w:color w:val="auto"/>
              </w:rPr>
            </w:pPr>
          </w:p>
        </w:tc>
        <w:tc>
          <w:tcPr>
            <w:tcW w:w="1240" w:type="dxa"/>
            <w:vAlign w:val="bottom"/>
            <w:gridSpan w:val="2"/>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30,500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7/7/2035</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20,500</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37,515</w:t>
            </w:r>
          </w:p>
        </w:tc>
        <w:tc>
          <w:tcPr>
            <w:tcW w:w="0" w:type="dxa"/>
            <w:vAlign w:val="bottom"/>
          </w:tcPr>
          <w:p>
            <w:pPr>
              <w:spacing w:after="0"/>
              <w:rPr>
                <w:sz w:val="1"/>
                <w:szCs w:val="1"/>
                <w:color w:val="auto"/>
              </w:rPr>
            </w:pPr>
          </w:p>
        </w:tc>
      </w:tr>
      <w:tr>
        <w:trPr>
          <w:trHeight w:val="117"/>
        </w:trPr>
        <w:tc>
          <w:tcPr>
            <w:tcW w:w="19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Isaac Ro</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9/2/2025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240" w:type="dxa"/>
            <w:vAlign w:val="bottom"/>
            <w:gridSpan w:val="2"/>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61,000</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300" w:type="dxa"/>
            <w:vAlign w:val="bottom"/>
            <w:gridSpan w:val="2"/>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2.04</w:t>
            </w:r>
          </w:p>
        </w:tc>
        <w:tc>
          <w:tcPr>
            <w:tcW w:w="1240" w:type="dxa"/>
            <w:vAlign w:val="bottom"/>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9/2/2035</w:t>
            </w:r>
          </w:p>
        </w:tc>
        <w:tc>
          <w:tcPr>
            <w:tcW w:w="1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w:t>
            </w:r>
          </w:p>
        </w:tc>
        <w:tc>
          <w:tcPr>
            <w:tcW w:w="1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75,030</w:t>
            </w:r>
          </w:p>
        </w:tc>
        <w:tc>
          <w:tcPr>
            <w:tcW w:w="0" w:type="dxa"/>
            <w:vAlign w:val="bottom"/>
          </w:tcPr>
          <w:p>
            <w:pPr>
              <w:spacing w:after="0"/>
              <w:rPr>
                <w:sz w:val="1"/>
                <w:szCs w:val="1"/>
                <w:color w:val="auto"/>
              </w:rPr>
            </w:pPr>
          </w:p>
        </w:tc>
      </w:tr>
      <w:tr>
        <w:trPr>
          <w:trHeight w:val="117"/>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Nicolas Roelofs, Ph.D.</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8/13/2024</w:t>
            </w:r>
          </w:p>
        </w:tc>
        <w:tc>
          <w:tcPr>
            <w:tcW w:w="124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23,157</w:t>
            </w:r>
          </w:p>
        </w:tc>
        <w:tc>
          <w:tcPr>
            <w:tcW w:w="26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46,313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300" w:type="dxa"/>
            <w:vAlign w:val="bottom"/>
            <w:gridSpan w:val="2"/>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1.70</w:t>
            </w:r>
          </w:p>
        </w:tc>
        <w:tc>
          <w:tcPr>
            <w:tcW w:w="124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8/13/2034</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8/13/2024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31,257</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8"/>
                <w:szCs w:val="8"/>
                <w:color w:val="auto"/>
              </w:rPr>
              <w:t>(6)</w:t>
            </w:r>
          </w:p>
        </w:tc>
        <w:tc>
          <w:tcPr>
            <w:tcW w:w="1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57,200</w:t>
            </w:r>
          </w:p>
        </w:tc>
        <w:tc>
          <w:tcPr>
            <w:tcW w:w="0" w:type="dxa"/>
            <w:vAlign w:val="bottom"/>
          </w:tcPr>
          <w:p>
            <w:pPr>
              <w:spacing w:after="0"/>
              <w:rPr>
                <w:sz w:val="1"/>
                <w:szCs w:val="1"/>
                <w:color w:val="auto"/>
              </w:rPr>
            </w:pPr>
          </w:p>
        </w:tc>
      </w:tr>
      <w:tr>
        <w:trPr>
          <w:trHeight w:val="110"/>
        </w:trPr>
        <w:tc>
          <w:tcPr>
            <w:tcW w:w="1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7/7/2025</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9"/>
                <w:szCs w:val="9"/>
                <w:color w:val="auto"/>
              </w:rPr>
            </w:pPr>
          </w:p>
        </w:tc>
        <w:tc>
          <w:tcPr>
            <w:tcW w:w="1240" w:type="dxa"/>
            <w:vAlign w:val="bottom"/>
            <w:gridSpan w:val="2"/>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25,416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vMerge w:val="restart"/>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240" w:type="dxa"/>
            <w:vAlign w:val="bottom"/>
            <w:gridSpan w:val="2"/>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7/7/2035</w:t>
            </w:r>
          </w:p>
        </w:tc>
        <w:tc>
          <w:tcPr>
            <w:tcW w:w="120" w:type="dxa"/>
            <w:vAlign w:val="bottom"/>
            <w:shd w:val="clear" w:color="auto" w:fill="CFF0FC"/>
          </w:tcPr>
          <w:p>
            <w:pPr>
              <w:spacing w:after="0"/>
              <w:rPr>
                <w:sz w:val="9"/>
                <w:szCs w:val="9"/>
                <w:color w:val="auto"/>
              </w:rPr>
            </w:pPr>
          </w:p>
        </w:tc>
        <w:tc>
          <w:tcPr>
            <w:tcW w:w="114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vMerge w:val="continue"/>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gridSpan w:val="2"/>
            <w:vMerge w:val="continue"/>
            <w:shd w:val="clear" w:color="auto" w:fill="CFF0FC"/>
          </w:tcPr>
          <w:p>
            <w:pPr>
              <w:spacing w:after="0"/>
              <w:rPr>
                <w:sz w:val="2"/>
                <w:szCs w:val="2"/>
                <w:color w:val="auto"/>
              </w:rPr>
            </w:pPr>
          </w:p>
        </w:tc>
        <w:tc>
          <w:tcPr>
            <w:tcW w:w="12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17,083</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8"/>
                <w:szCs w:val="8"/>
                <w:color w:val="auto"/>
              </w:rPr>
              <w:t>(3)</w:t>
            </w:r>
          </w:p>
        </w:tc>
        <w:tc>
          <w:tcPr>
            <w:tcW w:w="13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854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17" w:lineRule="exact"/>
        <w:rPr>
          <w:sz w:val="20"/>
          <w:szCs w:val="20"/>
          <w:color w:val="auto"/>
        </w:rPr>
      </w:pPr>
    </w:p>
    <w:p>
      <w:pPr>
        <w:ind w:left="380" w:right="240" w:hanging="372"/>
        <w:spacing w:after="0" w:line="298"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are based upon the last reported price of our Class A common stock on the Nasdaq Global Select Market on December 31, 2025, which was $1.83.</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are fully vested and immediately exercisable.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or RSU award vest in full on July 7, 2026, subject to continued service to the Company.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or RSU award vest in three equal annual installments beginning on September 2, 2026, subject to continued service to the Company.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 in three equal annual installments beginning on August 13, 2025, subject to continued service to the Company.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RSU award vest in two equal annual installments beginning on August 13, 2026, subject to continued service to 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seven members. At the Annual Meeting, each of our seven directors will be up for election for a one-year term ending at the 2027 annual meeting of stockholders or upon the election and qualification of such director’s successor, or such director’s earlier death,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has recommended, and our board of directors has approved, Omid Farokhzad, M.D., Meeta Gulyani, Terrance McGuire, Robert Langer, Sc.D., Dipchand (Deep) Nishar, Isaac Ro and Nicolas Roelofs, Ph.D. as nominees for election as directors at the Annual Meeting. For information concerning the nominees, please see the section titled “Board of Directors and Corporate Governance.”</w:t>
      </w:r>
    </w:p>
    <w:p>
      <w:pPr>
        <w:spacing w:after="0" w:line="185" w:lineRule="exact"/>
        <w:rPr>
          <w:sz w:val="20"/>
          <w:szCs w:val="20"/>
          <w:color w:val="auto"/>
        </w:rPr>
      </w:pPr>
    </w:p>
    <w:p>
      <w:pPr>
        <w:ind w:left="20" w:right="14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strongly urges you to only vote “FOR” only the nominees recommended by our board of directors on the enclosed BLUE proxy card or BLUE voting instruction form: Omid Farokhzad, M.D., Meeta Gulyani, Terrance McGuire, Robert Langer, Sc.D., Dipchand (Deep) Nishar, Isaac Ro and Nicolas Roelofs,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441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441325"/>
                    </a:xfrm>
                    <a:prstGeom prst="rect">
                      <a:avLst/>
                    </a:prstGeom>
                    <a:noFill/>
                  </pic:spPr>
                </pic:pic>
              </a:graphicData>
            </a:graphic>
          </wp:anchor>
        </w:drawing>
      </w:r>
    </w:p>
    <w:p>
      <w:pPr>
        <w:spacing w:after="0" w:line="1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Each of Drs. Farokhzad, Langer and Roelofs, Ms. Gulyani and Messrs. McGuire, Nishar and Ro is currently a director of our company, and each has agreed to being named in this proxy statement as a nominee. If a nominee is unable or declines to serve as a director at the time of the Annual Meeting, proxies will be voted for any nominee who may be proposed by our corporate governance and nominating committee and designated by the present board of directors to fill the vacancy.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previously, the Radoff-JEC Group has notified us that it intends to nominate the Radoff-JEC Nominees for election to our board of directors at the Annual Meeting, in opposition to the election of three of the nominees recommended by our board of directors. As a result, assuming that the Radoff-JEC Nominees are in fact nominated for election at the Annual Meeting and the nomination has not been withdrawn by the Radoff-JEC Group, the number of director nominees will exceed the number of directors to be elected at the Annual Meeting. Accordingly, the seven director nominees receiving the greatest number of votes cast “FOR” their election will be elected.</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Please refer to the Radoff-JEC Group’s proxy statement for the additional information concerning the Radoff-JEC Nominees. The Radoff-JEC Group’s proxy statement and any other relevant documents can be accessed without cost at the SEC’s website, http://www.sec.gov. We are not responsible for the accuracy or completeness of any information provided by, or relating to, the Radoff-JEC Group or the Radoff-JEC Nominees.</w:t>
      </w:r>
    </w:p>
    <w:p>
      <w:pPr>
        <w:spacing w:after="0" w:line="185"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18"/>
          <w:szCs w:val="18"/>
          <w:b w:val="1"/>
          <w:bCs w:val="1"/>
          <w:color w:val="auto"/>
        </w:rPr>
        <w:t>Our board of directors does NOT endorse the Radoff-JEC Nominees</w:t>
      </w:r>
      <w:r>
        <w:rPr>
          <w:rFonts w:ascii="Times New Roman" w:cs="Times New Roman" w:eastAsia="Times New Roman" w:hAnsi="Times New Roman"/>
          <w:sz w:val="18"/>
          <w:szCs w:val="18"/>
          <w:color w:val="auto"/>
        </w:rPr>
        <w:t>. The presence of the Radoff-JEC Nominees on the enclosed</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 instruction form is</w:t>
      </w:r>
      <w:r>
        <w:rPr>
          <w:rFonts w:ascii="Times New Roman" w:cs="Times New Roman" w:eastAsia="Times New Roman" w:hAnsi="Times New Roman"/>
          <w:sz w:val="18"/>
          <w:szCs w:val="18"/>
          <w:b w:val="1"/>
          <w:bCs w:val="1"/>
          <w:color w:val="auto"/>
        </w:rPr>
        <w:t xml:space="preserve"> NOT </w:t>
      </w:r>
      <w:r>
        <w:rPr>
          <w:rFonts w:ascii="Times New Roman" w:cs="Times New Roman" w:eastAsia="Times New Roman" w:hAnsi="Times New Roman"/>
          <w:sz w:val="18"/>
          <w:szCs w:val="18"/>
          <w:color w:val="auto"/>
        </w:rPr>
        <w:t>an approval of, or comment on, the fitness, character, suitability or other qualifications of the Radoff-JEC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Nominees. Our board of directors strongly urges you to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to sign or return any white proxy card or white voting instruction form sent to you by, or on behalf of, the Radoff-JEC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136130" cy="570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570230"/>
                    </a:xfrm>
                    <a:prstGeom prst="rect">
                      <a:avLst/>
                    </a:prstGeom>
                    <a:noFill/>
                  </pic:spPr>
                </pic:pic>
              </a:graphicData>
            </a:graphic>
          </wp:anchor>
        </w:drawing>
      </w:r>
    </w:p>
    <w:p>
      <w:pPr>
        <w:spacing w:after="0" w:line="17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using the Radoff-JEC Group’s white proxy card, you have every right to change your vote by following the instructions above under </w:t>
      </w:r>
      <w:r>
        <w:rPr>
          <w:rFonts w:ascii="Times New Roman" w:cs="Times New Roman" w:eastAsia="Times New Roman" w:hAnsi="Times New Roman"/>
          <w:sz w:val="18"/>
          <w:szCs w:val="18"/>
          <w:i w:val="1"/>
          <w:iCs w:val="1"/>
          <w:color w:val="auto"/>
        </w:rPr>
        <w:t>Can I change my vote or revoke my proxy?</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SHAREHOLDERS VOTE “FOR” EACH OF THE BOARD OF DIRECTORS’ NOMINEES</w:t>
      </w:r>
    </w:p>
    <w:p>
      <w:pPr>
        <w:spacing w:after="0" w:line="31" w:lineRule="exact"/>
        <w:rPr>
          <w:sz w:val="20"/>
          <w:szCs w:val="20"/>
          <w:color w:val="auto"/>
        </w:rPr>
      </w:pPr>
    </w:p>
    <w:p>
      <w:pPr>
        <w:ind w:left="60" w:right="20" w:firstLine="226"/>
        <w:spacing w:after="0" w:line="290" w:lineRule="auto"/>
        <w:rPr>
          <w:sz w:val="20"/>
          <w:szCs w:val="20"/>
          <w:color w:val="auto"/>
        </w:rPr>
      </w:pPr>
      <w:r>
        <w:rPr>
          <w:rFonts w:ascii="Times New Roman" w:cs="Times New Roman" w:eastAsia="Times New Roman" w:hAnsi="Times New Roman"/>
          <w:sz w:val="17"/>
          <w:szCs w:val="17"/>
          <w:b w:val="1"/>
          <w:bCs w:val="1"/>
          <w:color w:val="auto"/>
        </w:rPr>
        <w:t>(OMID FAROKHZAD, M.D., MEETA GULYANI, TERRANCE MCGUIRE, ROBERT LANGER, SC.D., DIPCHAND (DEEP) NISHAR, ISAAC RO AND NICOLAS ROELOFS, PH.D.) USING THE ENCLOSED BLUE PROXY CARD OR BLUE VOTING INSTRUCTION FORM.</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an independent registered public accounting firm, to audit our financial statements for our fiscal year ending December 31, 2026. Deloitte &amp; Touche LLP has served as our independent registered public accounting firm since 2018.</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Annual Meeting, our stockholders are being asked to ratify the appointment of Deloitte &amp; Touche LLP as our independent registered public accounting firm for our fiscal year ending December 31, 2026.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stockholders,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Deloitte &amp; Touche LLP for our fiscal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30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4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760,000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826,800</w:t>
            </w: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474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76,274</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66,774</w:t>
            </w:r>
          </w:p>
        </w:tc>
      </w:tr>
      <w:tr>
        <w:trPr>
          <w:trHeight w:val="249"/>
        </w:trPr>
        <w:tc>
          <w:tcPr>
            <w:tcW w:w="3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4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836,274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893,574</w:t>
            </w:r>
          </w:p>
        </w:tc>
      </w:tr>
      <w:tr>
        <w:trPr>
          <w:trHeight w:val="116"/>
        </w:trPr>
        <w:tc>
          <w:tcPr>
            <w:tcW w:w="300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-119380</wp:posOffset>
            </wp:positionV>
            <wp:extent cx="111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4" w:lineRule="exact"/>
        <w:rPr>
          <w:sz w:val="20"/>
          <w:szCs w:val="20"/>
          <w:color w:val="auto"/>
        </w:rPr>
      </w:pPr>
    </w:p>
    <w:p>
      <w:pPr>
        <w:ind w:left="380" w:right="440" w:hanging="372"/>
        <w:spacing w:after="0" w:line="298"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rendered in connection with the audit of our annual financial statements and reviews of our quarterly financial statements for those fiscal years.</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billed for professional services rendered by Deloitte &amp; Touche LLP for tax compliance, tax advice and tax planning.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our fiscal year ended December 31, 2025, there were no other professional services provided by Deloitte &amp; Touche LLP that would have required our audit committee to consider their compatibility with maintaining the independence of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2025 and 2024 were pre-approved by our audit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left="3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SHAREHOLDERS VOTE “FOR” THE RATIFICATION OF THE APPOINTMENT OF DELOITTE &amp; TOUCHE LLP AS OUR INDEPENDENT REGISTERED PUBLIC ACCOUNTING FIRM FOR OUR FISCAL YEAR ENDING DECEMBER 31, 2026 USING THE ENCLOSED BLUE PROXY CARD OR BLUE VOTING INSTRUCTION FORM.</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NAMED EXECUTIVE OFFICER COMPENSATION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are requesting that you approve, on a non-binding advisory basis, the compensation of our named executive officers disclosed in the Summary Compensation table and the related compensation tables, notes and narrative in this proxy statement. We believe the compensation paid to our named executive officers for 2025 appropriately reflects and rewards their contributions to that performance and is aligned with the long-term interests of our stockholders.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encourage stockholders to read the Summary Compensation table and the related compensation tables, notes and narrative in this proxy statement, which describes the details of our executive compensation program and the decisions made by the talent and compensation committee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being asked to approve the following resolution at the Annual Meeting:</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named executive officers, as disclosed in this proxy statement pursuant to the SEC's executive compensation disclosure rules, which disclosure includes the compensation tables and the narrative disclosures that accompany the compensation tables, is hereby approved."</w:t>
      </w:r>
    </w:p>
    <w:p>
      <w:pPr>
        <w:spacing w:after="0" w:line="171" w:lineRule="exact"/>
        <w:rPr>
          <w:sz w:val="20"/>
          <w:szCs w:val="20"/>
          <w:color w:val="auto"/>
        </w:rPr>
      </w:pPr>
    </w:p>
    <w:p>
      <w:pPr>
        <w:jc w:val="center"/>
        <w:ind w:left="360"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SHAREHOLDERS VOTE “FOR” THE APPROVAL OF NAMED EXECUTIVE OFFICER COMPENSATION AS DISCLOSED IN THIS PROXY STATEMENT USING THE ENCLOSED BLUE PROXY CARD OR BLUE VOTING INSTRUCTION FORM.</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TAX BENEFIT PRESERVATION PLAN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February 2026, our board of directors adopted a Tax Benefit Preservation Plan. By adopting the Tax Benefit Preservation Plan, our board of directors is seeking to protect the Company’s ability to use its net operating losses and other tax attributes (collectively, Tax Benefits). As of March 31, 2026, we had approximately $282.5 million of federal net operating loss carryforwards (or NOLs), which will carryforward indefinitely for federal tax purposes.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views its Tax Benefits as highly valuable assets of the Company that are likely to inure to the benefit of the Company and its stockholders. However, if the Company experiences an “ownership change,” as defined in Section 382 of the Internal Revenue Code (the Code),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Tax Benefit Preservation Plan is intended to deter acquisitions of 4.9% or more of our outstanding Class A common stock by any person without the approval of our board of directors. This would help to protect the Tax Benefits because changes in ownership by a person owning less than 4.9% of our Class A common stock are not included in the calculation of “ownership change” for purposes of Section 382 of the Code. There is no assurance, however, that the Tax Benefit Preservation Plan will prevent an “ownership change” within the meaning of Section 382 of the Code.</w:t>
      </w:r>
    </w:p>
    <w:p>
      <w:pPr>
        <w:spacing w:after="0" w:line="1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At the Annual Meeting, our board of directors is asking stockholders to ratify the Tax Benefit Preservation Plan so that it may remain in effect through February 25, 2029, unless earlier terminated by our board of directors. Our board of directors believes that stockholder ratification of the Tax Benefit Preservation Plan so that it can be retained through February 25, 2029, is in the Company’s and its stockholders’ best interest.</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the Tax Benefit Preservation Plan is qualified in its entirety by reference to the full text of the Tax Benefit Preservation Plan, which can be found in the accompanying Appendix A. Please read the Tax Benefit Preservation Plan in its entirety as the discussion below is only a summary. The Tax Benefit Preservation Plan was amended on March 13, 2026. The amendment can also be found in the accompanying Appendix A. References to the Tax Benefit Preservation Plan throughout this proxy statement are to the Tax Benefit Preservation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Tax Benefit Preservation Plan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February 26, 2026, our board of directors authorized and declared a dividend distribution of one right (a Right) for each outstanding share of our Class A common stock to stockholders of record as of the close of business on March 9, 2026. Each Right entitles the registered holder to purchase from the Company one one-thousandth of a share of Series A Participating Preferred Stock, par value $0.00001 per share (the Preferred Stock), of the Company at an exercise price of $11.00 (the Exercise Price), subject to adjustment.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and Transfer of Rights; Rights Certificates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declared a dividend of one Right for each outstanding share of our Class A common stock. Prior to the Distribution Date referred to below:</w:t>
      </w:r>
    </w:p>
    <w:p>
      <w:pPr>
        <w:spacing w:after="0" w:line="162" w:lineRule="exact"/>
        <w:rPr>
          <w:sz w:val="20"/>
          <w:szCs w:val="20"/>
          <w:color w:val="auto"/>
        </w:rPr>
      </w:pPr>
    </w:p>
    <w:p>
      <w:pPr>
        <w:ind w:left="760" w:right="4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will be evidenced by and trade with the certificates for the Class A common stock (or, with respect to any uncertificated Class A common stock registered in book entry form, by notation in book entry), and no separate rights certificates will be distributed;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right="240" w:hanging="378"/>
        <w:spacing w:after="0" w:line="312"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Class A common stock certificates issued after March 9, 2026, contained a legend incorporating the Tax Benefit Preservation Plan by reference (for uncertificated Class A common stock registered in book entry form, this legend was contained in a notation in book entry); and</w:t>
      </w:r>
    </w:p>
    <w:p>
      <w:pPr>
        <w:spacing w:after="0" w:line="139" w:lineRule="exact"/>
        <w:rPr>
          <w:rFonts w:ascii="Times New Roman" w:cs="Times New Roman" w:eastAsia="Times New Roman" w:hAnsi="Times New Roman"/>
          <w:sz w:val="17"/>
          <w:szCs w:val="17"/>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for transfer of any certificates for Class A common stock (or the surrender for transfer of any uncertificated Class A common stock registered in book entry form) will also constitute the transfer of the Rights associated with such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accompany all new shares of Class A common stock issued after March 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Date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certain exceptions specified in the Tax Benefit Preservation Plan, the Rights will separate from the Class A common stock and become exercisable following (i) the 10th business day (or such later date as may be determined by our board of directors) after the public announcement that a person or group of affiliated or associated persons (such person or group, an Acquiring Person) has acquired beneficial ownership of 4.9% or more of the Class A common stock or (ii) the 10th business day (or such later date as may be determined by our board of directors) after a person or group announces a tender or exchange offer that would result in ownership by a person or group of 4.9% or more of the Class A common stock. For purposes of the Tax Benefit Preservation Plan, beneficial ownership is defined to include the ownership of derivative securities as well as ownership of securities pursuant to Section 382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on which the Rights separate from the Class A common stock and become exercisable is referred to as the “Distribution Date.”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After the Distribution Date, the Company will mail Rights certificates to the Company’s stockholders as of the close of business on the Distribution Date and the Rights will become transferable apart from the Class A common stock. Thereafter, such Rights certificates alone will represent the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Purchasable Upon Exercise of Rights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the Exercise Price, one one-thousandth of a share of Preferred Stock having economic and other terms similar to that of one share of Class A common stock. This portion of a share of Preferred Stock is intended to give the stockholder approximately the same dividend, voting and liquidation rights as would one share of Class A common stock, and should approximate the value of one share of Class A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specifically, each one one-thousandth of a share of Preferred Stock, if issued, will:</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redeemable;</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holders to quarterly dividend payments of $0.001 per one one-thousandth of a share of Preferred Stock, or an amount equal to the dividend paid on one share of Class A common stock, whichever is greater;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holders upon liquidation either to receive $1 per one one-thousandth of a share of Preferred Stock or an amount equal to the payment made on one share of Class A common stock, whichever is greater;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same voting power as one share of Class A common stock;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holders to a payment per one one-thousandth of a share of Preferred Stock equal to the payment made on one share of Class A common stock if the Class A common stock is exchanged via merger, consolidation or a similar transaction.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Flip-In Trigger</w:t>
      </w:r>
    </w:p>
    <w:p>
      <w:pPr>
        <w:spacing w:after="0" w:line="22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If an Acquiring Person obtains beneficial ownership of 4.9% or more of the Class A common stock, then each Right will entitle the holder thereof to purchase, for the Exercise Price, a number of shares of Class A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Following the occurrence of an event set forth in the preceding paragraph, all Rights that are or, under certain circumstances specified in the Tax Benefit Preservation Plan, were beneficially owned by an Acquiring Person or certain of its transferees will be void.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Flip-Over Trigger</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after an Acquiring Person obtains 4.9% or more of the Class A common stock, (i) the Company merges into another entity, (ii) an acquiring entity merges into the Company or (iii) the Company sells or transfers 50% or more of its assets, cash flow or earning power, then each Right (except for Rights that have previously been voided as set forth above) will entitle the holder thereof to purchase, for the Exercise Price, a number of shares of Class A common stock of the person engaging in the transaction having a then-current market value of twice the Exercise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the Rights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Rights will be redeemable at the Company’s option for $0.001 per Right (payable in cash, Class A common stock or other consideration deemed appropriate by our board of directors) at any time on or prior to the 10th business day (or such later date as may be determined by our board of directors) after the public announcement that an Acquiring Person has acquired beneficial ownership of 4.9% or more of the Class A common stock. Immediately upon the action of our board of directors ordering redemption, the Rights will terminate and the only right of the holders of the Rights will be to receive the $0.001 redemption price. The redemption price will be adjusted if the Company undertakes a stock dividend or a stock split.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Provision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any time after the date on which an Acquiring Person beneficially owns 4.9% or more of the Class A common stock and prior to the acquisition by the Acquiring Person of 50% of the Class A common stock, our board of directors may exchange the Rights (except for Rights that have previously been voided as set forth above), in whole or in part, for Class A common stock at an exchange ratio of one share of Class A common stock per Right (subject to adjustment). In certain circumstances, the Company may elect to exchange the Rights for cash or other securities of the Company having a value approximately equal to one share of Class A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the Rights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Rights expire on the earliest of (i) 5:00 p.m., New York City time, on February 25, 2029 (unless such date is extended); (ii) the redemption or exchange of the Rights as described above; (iii) 5:00 p.m., New York City time, on February 25, 2027, if the Company’s stockholders do not ratify the Tax Benefit Preservation Plan; or (iv) when our board of directors, in its sole discretion, determines that (a) the Tax Benefit Preservation Plan is no longer necessary or desirable for the preservation of the Tax Benefits, (b) the Tax Benefits are fully utilized or no longer available pursuant to Section 382 or Section 383 of the Code, (c) no Tax Benefits may be carried forward or (d) the Tax Benefit Preservation Plan and the Rights are no longer in the best interests of the Company and its stockholders.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Terms of the Tax Benefit Preservation Plan and Rights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terms of the Rights and the Tax Benefit Preservation Plan may be amended in any respect without the consent of the holders of the Rights on or prior to the Distribution Date. Thereafter, the terms of the Rights and the Tax Benefit Preservation Plan may be amended without the consent of the holders of Rights in order to (i) cure any ambiguities, (ii) shorten or lengthen any time period pursuant to the Tax Benefit Preservation Plan or (iii) make changes that do not adversely affect the interests of holders of the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 Other Stockholder Rights</w:t>
      </w:r>
    </w:p>
    <w:p>
      <w:pPr>
        <w:spacing w:after="0" w:line="22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Rights do not have any voting rights. Until a Right is exercised, the holder thereof, as such, will have no separate rights as stockholder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Provisions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board of directors may adjust the Exercise Price, the number of shares of Preferred Stock issuable and the number of outstanding Rights to prevent dilution that may occur from a stock dividend, a stock split or a reclassification of the Preferred Stock or Class A common stock.</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 Vote Against Ratification of the Tax Benefit Preservation Plan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Neither the Company’s governing documents nor applicable law require stockholder approval of the Tax Benefit Preservation Plan. However, the Company considers this proposal for stockholders to ratify the Tax Benefit Preservation Plan to be an important opportunity for the Company’s stockholders to provide direct feedback on an important matter of corporate governance. If the Company’s stockholders do not ratify the Tax Benefit Preservation Plan, then the Tax Benefit Preservation Plan will expire at the close of business on February 25, 2027 (unless ratification of the Tax Benefit Preservation Plan by the Company’s stockholders has otherwise been received on or prior to such date or unless our board of directors elects to earlier terminate the Tax Benefit Preservation Plan). The failure of stockholders to ratify the Tax Benefit Preservation Plan does not prevent our board of directors from taking actions, including the adoption of a new tax benefit preservation plan, that are in the Company’s and its stockholders’ best interest.</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Regardless of whether the Tax Benefit Preservation Plan is ratified by stockholders, our board of directors, subject to the terms of the Tax Benefit Preservation Plan, may redeem the Rights as described above. In addition, even if the Tax Benefit Preservation Plan is ratified by stockholders, our board of directors may cause the Rights to expire prior to February 25, 2029.</w:t>
      </w:r>
    </w:p>
    <w:p>
      <w:pPr>
        <w:spacing w:after="0" w:line="17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SHAREHOLDERS VOTE “FOR” THE RATIFICATION OF THE TAX BENEFIT PRESERVATION PLAN USING THE ENCLOSED BLUE PROXY CARD OR BLUE VOTING INSTRUCTION FORM.</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audit committee is a committee of our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our board of directors, which is available on our website at investor.seer.bio. The audit committee reviews and assesses the adequacy of its charter and the audit committee’s performance on an annual basis.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the Company’s financial reporting process, the Company’s management is responsible for (i) establishing and maintaining internal controls and (ii)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performance of its oversight function, the audit committee has:</w:t>
      </w:r>
    </w:p>
    <w:p>
      <w:pPr>
        <w:spacing w:after="0" w:line="225"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Deloitte;</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the matters required to be discussed by the applicable requirements of the Public Company Accounting Oversight Board (PCAOB) and the SEC; and</w:t>
      </w:r>
    </w:p>
    <w:p>
      <w:pPr>
        <w:spacing w:after="0" w:line="161" w:lineRule="exact"/>
        <w:rPr>
          <w:rFonts w:ascii="Times New Roman" w:cs="Times New Roman" w:eastAsia="Times New Roman" w:hAnsi="Times New Roman"/>
          <w:sz w:val="18"/>
          <w:szCs w:val="18"/>
          <w:color w:val="auto"/>
        </w:rPr>
      </w:pPr>
    </w:p>
    <w:p>
      <w:pPr>
        <w:ind w:left="1140" w:right="120" w:hanging="383"/>
        <w:spacing w:after="0" w:line="312"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Deloitte, the audit committee recommended to our board of directors that the audited financial statements be included in the Company’s Annual Report on Form 10-K for the fiscal year ended December 31, 2025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Meeta Gulyani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Isaac Ro</w:t>
      </w:r>
    </w:p>
    <w:p>
      <w:pPr>
        <w:spacing w:after="0" w:line="20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March 31, 2026. Officers are elected by our board of directors to hold office until their successors are elected and qualified.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Age</w:t>
            </w:r>
          </w:p>
        </w:tc>
        <w:tc>
          <w:tcPr>
            <w:tcW w:w="7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1440" w:type="dxa"/>
            <w:vAlign w:val="bottom"/>
            <w:shd w:val="clear" w:color="auto" w:fill="CFF0FC"/>
          </w:tcPr>
          <w:p>
            <w:pPr>
              <w:jc w:val="center"/>
              <w:ind w:left="536"/>
              <w:spacing w:after="0"/>
              <w:rPr>
                <w:sz w:val="20"/>
                <w:szCs w:val="20"/>
                <w:color w:val="auto"/>
              </w:rPr>
            </w:pPr>
            <w:r>
              <w:rPr>
                <w:rFonts w:ascii="Times New Roman" w:cs="Times New Roman" w:eastAsia="Times New Roman" w:hAnsi="Times New Roman"/>
                <w:sz w:val="18"/>
                <w:szCs w:val="18"/>
                <w:color w:val="auto"/>
                <w:w w:val="99"/>
              </w:rPr>
              <w:t>57</w:t>
            </w:r>
          </w:p>
        </w:tc>
        <w:tc>
          <w:tcPr>
            <w:tcW w:w="72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144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9"/>
              </w:rPr>
              <w:t>58</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 Chief Financial Officer and Treasurer</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biography of Omid Farokhzad, M.D., please see “Board of Directors and Corporate Governance.”</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Horn </w:t>
      </w:r>
      <w:r>
        <w:rPr>
          <w:rFonts w:ascii="Times New Roman" w:cs="Times New Roman" w:eastAsia="Times New Roman" w:hAnsi="Times New Roman"/>
          <w:sz w:val="18"/>
          <w:szCs w:val="18"/>
          <w:color w:val="auto"/>
        </w:rPr>
        <w:t>has served as our Chief Financial Officer and Treasurer since May 2020 and as President since November 2023. Prior to joining us, Mr. Horn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with Morgan Stanley, an investment bank and financial services company, from May 2007 to May 2020, where he was a Managing Director in the Global Healthcare Group within the Investment Banking Department. From May 2003 to May 2007, Mr. Horn was a Principal at Montgomery &amp; Co., LLC, a provider of merger and acquisition and private placement services. He holds an A.B. in Politics from Princeton University and an MBA from Stanford University Graduate School of Business.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during the years ended December 31,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0" w:type="dxa"/>
            <w:vAlign w:val="bottom"/>
            <w:vMerge w:val="restart"/>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Year</w:t>
            </w: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Stock Awards ($)</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58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Non-Equity Incentive</w:t>
            </w:r>
          </w:p>
        </w:tc>
        <w:tc>
          <w:tcPr>
            <w:tcW w:w="192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All Other Compensation</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(1)</w:t>
            </w:r>
          </w:p>
        </w:tc>
        <w:tc>
          <w:tcPr>
            <w:tcW w:w="1140" w:type="dxa"/>
            <w:vAlign w:val="bottom"/>
          </w:tcPr>
          <w:p>
            <w:pPr>
              <w:jc w:val="right"/>
              <w:ind w:right="72"/>
              <w:spacing w:after="0" w:line="12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(1)</w:t>
            </w:r>
          </w:p>
        </w:tc>
        <w:tc>
          <w:tcPr>
            <w:tcW w:w="1580" w:type="dxa"/>
            <w:vAlign w:val="bottom"/>
          </w:tcPr>
          <w:p>
            <w:pPr>
              <w:jc w:val="right"/>
              <w:ind w:right="131"/>
              <w:spacing w:after="0" w:line="122" w:lineRule="exact"/>
              <w:rPr>
                <w:sz w:val="20"/>
                <w:szCs w:val="20"/>
                <w:color w:val="auto"/>
              </w:rPr>
            </w:pPr>
            <w:r>
              <w:rPr>
                <w:rFonts w:ascii="Times New Roman" w:cs="Times New Roman" w:eastAsia="Times New Roman" w:hAnsi="Times New Roman"/>
                <w:sz w:val="13"/>
                <w:szCs w:val="13"/>
                <w:b w:val="1"/>
                <w:bCs w:val="1"/>
                <w:color w:val="auto"/>
              </w:rPr>
              <w:t>Plan Compensation ($)</w:t>
            </w:r>
          </w:p>
        </w:tc>
        <w:tc>
          <w:tcPr>
            <w:tcW w:w="1920" w:type="dxa"/>
            <w:vAlign w:val="bottom"/>
          </w:tcPr>
          <w:p>
            <w:pPr>
              <w:jc w:val="right"/>
              <w:ind w:right="332"/>
              <w:spacing w:after="0" w:line="12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(2)</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Omid Farokhzad, M.D.</w:t>
            </w:r>
          </w:p>
        </w:tc>
        <w:tc>
          <w:tcPr>
            <w:tcW w:w="1000" w:type="dxa"/>
            <w:vAlign w:val="bottom"/>
            <w:shd w:val="clear" w:color="auto" w:fill="CFF0FC"/>
          </w:tcPr>
          <w:p>
            <w:pPr>
              <w:jc w:val="right"/>
              <w:ind w:right="23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shd w:val="clear" w:color="auto" w:fill="CFF0FC"/>
          </w:tcPr>
          <w:p>
            <w:pPr>
              <w:jc w:val="right"/>
              <w:ind w:right="50"/>
              <w:spacing w:after="0" w:line="124" w:lineRule="exact"/>
              <w:rPr>
                <w:sz w:val="20"/>
                <w:szCs w:val="20"/>
                <w:color w:val="auto"/>
              </w:rPr>
            </w:pPr>
            <w:r>
              <w:rPr>
                <w:rFonts w:ascii="Times New Roman" w:cs="Times New Roman" w:eastAsia="Times New Roman" w:hAnsi="Times New Roman"/>
                <w:sz w:val="14"/>
                <w:szCs w:val="14"/>
                <w:color w:val="auto"/>
              </w:rPr>
              <w:t>633,753</w:t>
            </w:r>
          </w:p>
        </w:tc>
        <w:tc>
          <w:tcPr>
            <w:tcW w:w="1200" w:type="dxa"/>
            <w:vAlign w:val="bottom"/>
            <w:shd w:val="clear" w:color="auto" w:fill="CFF0FC"/>
          </w:tcPr>
          <w:p>
            <w:pPr>
              <w:jc w:val="right"/>
              <w:ind w:right="95"/>
              <w:spacing w:after="0" w:line="124"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72"/>
              <w:spacing w:after="0" w:line="124"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ind w:right="71"/>
              <w:spacing w:after="0" w:line="124" w:lineRule="exact"/>
              <w:rPr>
                <w:sz w:val="20"/>
                <w:szCs w:val="20"/>
                <w:color w:val="auto"/>
              </w:rPr>
            </w:pPr>
            <w:r>
              <w:rPr>
                <w:rFonts w:ascii="Times New Roman" w:cs="Times New Roman" w:eastAsia="Times New Roman" w:hAnsi="Times New Roman"/>
                <w:sz w:val="14"/>
                <w:szCs w:val="14"/>
                <w:color w:val="auto"/>
              </w:rPr>
              <w:t>371,663</w:t>
            </w:r>
          </w:p>
        </w:tc>
        <w:tc>
          <w:tcPr>
            <w:tcW w:w="1920" w:type="dxa"/>
            <w:vAlign w:val="bottom"/>
            <w:shd w:val="clear" w:color="auto" w:fill="CFF0FC"/>
          </w:tcPr>
          <w:p>
            <w:pPr>
              <w:jc w:val="right"/>
              <w:ind w:right="332"/>
              <w:spacing w:after="0" w:line="124" w:lineRule="exact"/>
              <w:rPr>
                <w:sz w:val="20"/>
                <w:szCs w:val="20"/>
                <w:color w:val="auto"/>
              </w:rPr>
            </w:pPr>
            <w:r>
              <w:rPr>
                <w:rFonts w:ascii="Times New Roman" w:cs="Times New Roman" w:eastAsia="Times New Roman" w:hAnsi="Times New Roman"/>
                <w:sz w:val="14"/>
                <w:szCs w:val="14"/>
                <w:color w:val="auto"/>
              </w:rPr>
              <w:t>200,294</w:t>
            </w:r>
          </w:p>
        </w:tc>
        <w:tc>
          <w:tcPr>
            <w:tcW w:w="1120" w:type="dxa"/>
            <w:vAlign w:val="bottom"/>
            <w:shd w:val="clear" w:color="auto" w:fill="CFF0FC"/>
          </w:tcPr>
          <w:p>
            <w:pPr>
              <w:jc w:val="right"/>
              <w:ind w:right="70"/>
              <w:spacing w:after="0" w:line="124" w:lineRule="exact"/>
              <w:rPr>
                <w:sz w:val="20"/>
                <w:szCs w:val="20"/>
                <w:color w:val="auto"/>
              </w:rPr>
            </w:pPr>
            <w:r>
              <w:rPr>
                <w:rFonts w:ascii="Times New Roman" w:cs="Times New Roman" w:eastAsia="Times New Roman" w:hAnsi="Times New Roman"/>
                <w:sz w:val="14"/>
                <w:szCs w:val="14"/>
                <w:color w:val="auto"/>
              </w:rPr>
              <w:t>1,205,710</w:t>
            </w:r>
          </w:p>
        </w:tc>
        <w:tc>
          <w:tcPr>
            <w:tcW w:w="0" w:type="dxa"/>
            <w:vAlign w:val="bottom"/>
          </w:tcPr>
          <w:p>
            <w:pPr>
              <w:spacing w:after="0"/>
              <w:rPr>
                <w:sz w:val="1"/>
                <w:szCs w:val="1"/>
                <w:color w:val="auto"/>
              </w:rPr>
            </w:pPr>
          </w:p>
        </w:tc>
      </w:tr>
      <w:tr>
        <w:trPr>
          <w:trHeight w:val="173"/>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619,208</w:t>
            </w:r>
          </w:p>
        </w:tc>
        <w:tc>
          <w:tcPr>
            <w:tcW w:w="12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4"/>
                <w:szCs w:val="14"/>
                <w:color w:val="auto"/>
              </w:rPr>
              <w:t>937,452</w:t>
            </w: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1,422,924</w:t>
            </w:r>
          </w:p>
        </w:tc>
        <w:tc>
          <w:tcPr>
            <w:tcW w:w="15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397,174</w:t>
            </w:r>
          </w:p>
        </w:tc>
        <w:tc>
          <w:tcPr>
            <w:tcW w:w="192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4"/>
                <w:szCs w:val="14"/>
                <w:color w:val="auto"/>
              </w:rPr>
              <w:t>173,192</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3,549,950</w:t>
            </w:r>
          </w:p>
        </w:tc>
        <w:tc>
          <w:tcPr>
            <w:tcW w:w="0" w:type="dxa"/>
            <w:vAlign w:val="bottom"/>
          </w:tcPr>
          <w:p>
            <w:pPr>
              <w:spacing w:after="0"/>
              <w:rPr>
                <w:sz w:val="1"/>
                <w:szCs w:val="1"/>
                <w:color w:val="auto"/>
              </w:rPr>
            </w:pPr>
          </w:p>
        </w:tc>
      </w:tr>
      <w:tr>
        <w:trPr>
          <w:trHeight w:val="124"/>
        </w:trPr>
        <w:tc>
          <w:tcPr>
            <w:tcW w:w="2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David Horn</w:t>
            </w:r>
          </w:p>
        </w:tc>
        <w:tc>
          <w:tcPr>
            <w:tcW w:w="1000" w:type="dxa"/>
            <w:vAlign w:val="bottom"/>
          </w:tcPr>
          <w:p>
            <w:pPr>
              <w:jc w:val="right"/>
              <w:ind w:right="23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tcPr>
          <w:p>
            <w:pPr>
              <w:jc w:val="right"/>
              <w:ind w:right="50"/>
              <w:spacing w:after="0" w:line="124" w:lineRule="exact"/>
              <w:rPr>
                <w:sz w:val="20"/>
                <w:szCs w:val="20"/>
                <w:color w:val="auto"/>
              </w:rPr>
            </w:pPr>
            <w:r>
              <w:rPr>
                <w:rFonts w:ascii="Times New Roman" w:cs="Times New Roman" w:eastAsia="Times New Roman" w:hAnsi="Times New Roman"/>
                <w:sz w:val="14"/>
                <w:szCs w:val="14"/>
                <w:color w:val="auto"/>
              </w:rPr>
              <w:t>538,118</w:t>
            </w:r>
          </w:p>
        </w:tc>
        <w:tc>
          <w:tcPr>
            <w:tcW w:w="1200" w:type="dxa"/>
            <w:vAlign w:val="bottom"/>
          </w:tcPr>
          <w:p>
            <w:pPr>
              <w:jc w:val="right"/>
              <w:ind w:right="95"/>
              <w:spacing w:after="0" w:line="124"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72"/>
              <w:spacing w:after="0" w:line="124"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71"/>
              <w:spacing w:after="0" w:line="124" w:lineRule="exact"/>
              <w:rPr>
                <w:sz w:val="20"/>
                <w:szCs w:val="20"/>
                <w:color w:val="auto"/>
              </w:rPr>
            </w:pPr>
            <w:r>
              <w:rPr>
                <w:rFonts w:ascii="Times New Roman" w:cs="Times New Roman" w:eastAsia="Times New Roman" w:hAnsi="Times New Roman"/>
                <w:sz w:val="14"/>
                <w:szCs w:val="14"/>
                <w:color w:val="auto"/>
              </w:rPr>
              <w:t>204,187</w:t>
            </w:r>
          </w:p>
        </w:tc>
        <w:tc>
          <w:tcPr>
            <w:tcW w:w="1920" w:type="dxa"/>
            <w:vAlign w:val="bottom"/>
          </w:tcPr>
          <w:p>
            <w:pPr>
              <w:jc w:val="right"/>
              <w:ind w:right="332"/>
              <w:spacing w:after="0" w:line="124" w:lineRule="exact"/>
              <w:rPr>
                <w:sz w:val="20"/>
                <w:szCs w:val="20"/>
                <w:color w:val="auto"/>
              </w:rPr>
            </w:pPr>
            <w:r>
              <w:rPr>
                <w:rFonts w:ascii="Times New Roman" w:cs="Times New Roman" w:eastAsia="Times New Roman" w:hAnsi="Times New Roman"/>
                <w:sz w:val="14"/>
                <w:szCs w:val="14"/>
                <w:color w:val="auto"/>
              </w:rPr>
              <w:t>2,500</w:t>
            </w:r>
          </w:p>
        </w:tc>
        <w:tc>
          <w:tcPr>
            <w:tcW w:w="1120" w:type="dxa"/>
            <w:vAlign w:val="bottom"/>
          </w:tcPr>
          <w:p>
            <w:pPr>
              <w:jc w:val="right"/>
              <w:ind w:right="70"/>
              <w:spacing w:after="0" w:line="124" w:lineRule="exact"/>
              <w:rPr>
                <w:sz w:val="20"/>
                <w:szCs w:val="20"/>
                <w:color w:val="auto"/>
              </w:rPr>
            </w:pPr>
            <w:r>
              <w:rPr>
                <w:rFonts w:ascii="Times New Roman" w:cs="Times New Roman" w:eastAsia="Times New Roman" w:hAnsi="Times New Roman"/>
                <w:sz w:val="14"/>
                <w:szCs w:val="14"/>
                <w:color w:val="auto"/>
              </w:rPr>
              <w:t>744,805</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President and Chief Financial Officer</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525,888</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292,117</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389,251</w:t>
            </w:r>
          </w:p>
        </w:tc>
        <w:tc>
          <w:tcPr>
            <w:tcW w:w="15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218,264</w:t>
            </w:r>
          </w:p>
        </w:tc>
        <w:tc>
          <w:tcPr>
            <w:tcW w:w="19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2,500</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1,428,020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3742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14" w:lineRule="exact"/>
        <w:rPr>
          <w:sz w:val="20"/>
          <w:szCs w:val="20"/>
          <w:color w:val="auto"/>
        </w:rPr>
      </w:pPr>
    </w:p>
    <w:p>
      <w:pPr>
        <w:ind w:left="380" w:right="180" w:hanging="372"/>
        <w:spacing w:after="0" w:line="272"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this column represents the aggregate grant-date fair value of the award as computed as of the grant date of each restricted stock unit award and option awarded in fiscal 2024 in accordance with Financial Accounting Standard Board Accounting Standards Codification Topic 718, or ASC Topic 718, and the incremental fair value, computed as of the modification date, in accordance with ASC Topic 718, of stock options that were repriced during fiscal 2024. The assumptions used in calculating the grant-date fair value of the awards reported in this column are set forth in the notes to our financial statements included in our Annual Report on Form 10-K filed with the SEC on March 3, 2025.</w:t>
      </w:r>
    </w:p>
    <w:p>
      <w:pPr>
        <w:spacing w:after="0" w:line="77" w:lineRule="exact"/>
        <w:rPr>
          <w:rFonts w:ascii="Times New Roman" w:cs="Times New Roman" w:eastAsia="Times New Roman" w:hAnsi="Times New Roman"/>
          <w:sz w:val="16"/>
          <w:szCs w:val="16"/>
          <w:color w:val="auto"/>
        </w:rPr>
      </w:pPr>
    </w:p>
    <w:p>
      <w:pPr>
        <w:jc w:val="both"/>
        <w:ind w:left="380" w:right="220" w:hanging="372"/>
        <w:spacing w:after="0" w:line="275"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“all other compensation” includes the following: (i) reimbursement of costs of $88,639 for Dr. Farokhzad's travel between his primary residence and our office in Redwood City, California, and related tax gross up for Dr. Farokhzad of $109,155 and (ii) 401(k) plan matching contributions in the amount of $2,500 for each named executive officer. For 2024, “all other compensation” includes the following: (i) reimbursement of commuting costs of $93,569 and gross up allowance for Dr. Farokhzad of $77,123 and (ii) 401(k) plan matching contributions in the amount of $2,500 for each named executive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Borders>
              <w:bottom w:val="single" w:sz="8" w:color="auto"/>
            </w:tcBorders>
            <w:gridSpan w:val="3"/>
          </w:tcPr>
          <w:p>
            <w:pPr>
              <w:jc w:val="right"/>
              <w:ind w:right="107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Market Value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Number of Shares or</w:t>
            </w:r>
          </w:p>
        </w:tc>
        <w:tc>
          <w:tcPr>
            <w:tcW w:w="2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 Units of</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Grant Date</w:t>
            </w:r>
            <w:r>
              <w:rPr>
                <w:rFonts w:ascii="Times New Roman" w:cs="Times New Roman" w:eastAsia="Times New Roman" w:hAnsi="Times New Roman"/>
                <w:sz w:val="16"/>
                <w:szCs w:val="16"/>
                <w:b w:val="1"/>
                <w:bCs w:val="1"/>
                <w:color w:val="auto"/>
                <w:w w:val="95"/>
                <w:vertAlign w:val="superscript"/>
              </w:rPr>
              <w:t>(1)</w:t>
            </w:r>
          </w:p>
        </w:tc>
        <w:tc>
          <w:tcPr>
            <w:tcW w:w="100" w:type="dxa"/>
            <w:vAlign w:val="bottom"/>
          </w:tcPr>
          <w:p>
            <w:pPr>
              <w:spacing w:after="0"/>
              <w:rPr>
                <w:sz w:val="11"/>
                <w:szCs w:val="11"/>
                <w:color w:val="auto"/>
              </w:rPr>
            </w:pPr>
          </w:p>
        </w:tc>
        <w:tc>
          <w:tcPr>
            <w:tcW w:w="1480" w:type="dxa"/>
            <w:vAlign w:val="bottom"/>
            <w:gridSpan w:val="2"/>
          </w:tcPr>
          <w:p>
            <w:pPr>
              <w:jc w:val="center"/>
              <w:ind w:right="18"/>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40" w:type="dxa"/>
            <w:vAlign w:val="bottom"/>
          </w:tcPr>
          <w:p>
            <w:pPr>
              <w:jc w:val="center"/>
              <w:ind w:left="17"/>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 Options</w:t>
            </w:r>
          </w:p>
        </w:tc>
        <w:tc>
          <w:tcPr>
            <w:tcW w:w="520" w:type="dxa"/>
            <w:vAlign w:val="bottom"/>
          </w:tcPr>
          <w:p>
            <w:pPr>
              <w:spacing w:after="0"/>
              <w:rPr>
                <w:sz w:val="11"/>
                <w:szCs w:val="11"/>
                <w:color w:val="auto"/>
              </w:rPr>
            </w:pPr>
          </w:p>
        </w:tc>
        <w:tc>
          <w:tcPr>
            <w:tcW w:w="1140" w:type="dxa"/>
            <w:vAlign w:val="bottom"/>
          </w:tcPr>
          <w:p>
            <w:pPr>
              <w:jc w:val="right"/>
              <w:ind w:right="1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Option Exercise</w:t>
            </w:r>
          </w:p>
        </w:tc>
        <w:tc>
          <w:tcPr>
            <w:tcW w:w="1300" w:type="dxa"/>
            <w:vAlign w:val="bottom"/>
          </w:tcPr>
          <w:p>
            <w:pPr>
              <w:jc w:val="right"/>
              <w:ind w:right="117"/>
              <w:spacing w:after="0" w:line="128" w:lineRule="exact"/>
              <w:rPr>
                <w:sz w:val="20"/>
                <w:szCs w:val="20"/>
                <w:color w:val="auto"/>
              </w:rPr>
            </w:pPr>
            <w:r>
              <w:rPr>
                <w:rFonts w:ascii="Times New Roman" w:cs="Times New Roman" w:eastAsia="Times New Roman" w:hAnsi="Times New Roman"/>
                <w:sz w:val="13"/>
                <w:szCs w:val="13"/>
                <w:b w:val="1"/>
                <w:bCs w:val="1"/>
                <w:color w:val="auto"/>
              </w:rPr>
              <w:t>Option Expiration</w:t>
            </w:r>
          </w:p>
        </w:tc>
        <w:tc>
          <w:tcPr>
            <w:tcW w:w="120" w:type="dxa"/>
            <w:vAlign w:val="bottom"/>
          </w:tcPr>
          <w:p>
            <w:pPr>
              <w:spacing w:after="0"/>
              <w:rPr>
                <w:sz w:val="11"/>
                <w:szCs w:val="11"/>
                <w:color w:val="auto"/>
              </w:rPr>
            </w:pPr>
          </w:p>
        </w:tc>
        <w:tc>
          <w:tcPr>
            <w:tcW w:w="11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Units of Stock That</w:t>
            </w:r>
          </w:p>
        </w:tc>
        <w:tc>
          <w:tcPr>
            <w:tcW w:w="28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 That Have Not</w:t>
            </w:r>
          </w:p>
        </w:tc>
        <w:tc>
          <w:tcPr>
            <w:tcW w:w="0" w:type="dxa"/>
            <w:vAlign w:val="bottom"/>
          </w:tcPr>
          <w:p>
            <w:pPr>
              <w:spacing w:after="0"/>
              <w:rPr>
                <w:sz w:val="1"/>
                <w:szCs w:val="1"/>
                <w:color w:val="auto"/>
              </w:rPr>
            </w:pPr>
          </w:p>
        </w:tc>
      </w:tr>
      <w:tr>
        <w:trPr>
          <w:trHeight w:val="162"/>
        </w:trPr>
        <w:tc>
          <w:tcPr>
            <w:tcW w:w="1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 Exercisable</w:t>
            </w:r>
          </w:p>
        </w:tc>
        <w:tc>
          <w:tcPr>
            <w:tcW w:w="124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 Unexercisable</w:t>
            </w:r>
          </w:p>
        </w:tc>
        <w:tc>
          <w:tcPr>
            <w:tcW w:w="520" w:type="dxa"/>
            <w:vAlign w:val="bottom"/>
          </w:tcPr>
          <w:p>
            <w:pPr>
              <w:spacing w:after="0"/>
              <w:rPr>
                <w:sz w:val="14"/>
                <w:szCs w:val="14"/>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Have Not Vested (#)</w:t>
            </w:r>
          </w:p>
        </w:tc>
        <w:tc>
          <w:tcPr>
            <w:tcW w:w="28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3"/>
              </w:rPr>
              <w:t>Vested ($)</w:t>
            </w:r>
            <w:r>
              <w:rPr>
                <w:rFonts w:ascii="Times New Roman" w:cs="Times New Roman" w:eastAsia="Times New Roman" w:hAnsi="Times New Roman"/>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117"/>
        </w:trPr>
        <w:tc>
          <w:tcPr>
            <w:tcW w:w="15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Omid Farokhzad, M.D.</w:t>
            </w:r>
          </w:p>
        </w:tc>
        <w:tc>
          <w:tcPr>
            <w:tcW w:w="8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1/28/2020</w:t>
            </w:r>
          </w:p>
        </w:tc>
        <w:tc>
          <w:tcPr>
            <w:tcW w:w="12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878,375</w:t>
            </w:r>
          </w:p>
        </w:tc>
        <w:tc>
          <w:tcPr>
            <w:tcW w:w="3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1/27/2030</w:t>
            </w: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0"/>
                <w:szCs w:val="10"/>
                <w:color w:val="auto"/>
              </w:rPr>
            </w:pPr>
          </w:p>
        </w:tc>
        <w:tc>
          <w:tcPr>
            <w:tcW w:w="14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1/28/2020</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37,037</w:t>
            </w:r>
          </w:p>
        </w:tc>
        <w:tc>
          <w:tcPr>
            <w:tcW w:w="3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1/27/2030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8/21/2020</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3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8/21/2030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532,718</w:t>
            </w:r>
          </w:p>
        </w:tc>
        <w:tc>
          <w:tcPr>
            <w:tcW w:w="3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7/28/2030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584,265</w:t>
            </w:r>
          </w:p>
        </w:tc>
        <w:tc>
          <w:tcPr>
            <w:tcW w:w="3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12/3/2030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2/1/2021</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87,000</w:t>
            </w:r>
          </w:p>
        </w:tc>
        <w:tc>
          <w:tcPr>
            <w:tcW w:w="3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1/31/2031</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70,366</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3,059</w:t>
            </w:r>
          </w:p>
        </w:tc>
        <w:tc>
          <w:tcPr>
            <w:tcW w:w="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(4)</w:t>
            </w: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18.27</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70,366</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3,059</w:t>
            </w:r>
          </w:p>
        </w:tc>
        <w:tc>
          <w:tcPr>
            <w:tcW w:w="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(4)</w:t>
            </w: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19.10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70,366</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3,059</w:t>
            </w:r>
          </w:p>
        </w:tc>
        <w:tc>
          <w:tcPr>
            <w:tcW w:w="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(4)</w:t>
            </w: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70,366</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3,059</w:t>
            </w:r>
          </w:p>
        </w:tc>
        <w:tc>
          <w:tcPr>
            <w:tcW w:w="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(4)</w:t>
            </w: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20.76</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9,687</w:t>
            </w:r>
          </w:p>
        </w:tc>
        <w:tc>
          <w:tcPr>
            <w:tcW w:w="2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(5)</w:t>
            </w: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17,727</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650,000</w:t>
            </w:r>
          </w:p>
        </w:tc>
        <w:tc>
          <w:tcPr>
            <w:tcW w:w="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(6)</w:t>
            </w: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2/15/2033</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125,625</w:t>
            </w:r>
          </w:p>
        </w:tc>
        <w:tc>
          <w:tcPr>
            <w:tcW w:w="2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(7)</w:t>
            </w: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229,894</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1,032,901</w:t>
            </w:r>
          </w:p>
        </w:tc>
        <w:tc>
          <w:tcPr>
            <w:tcW w:w="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(8)</w:t>
            </w: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3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2/6/2034</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2/6/2024</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297,918</w:t>
            </w:r>
          </w:p>
        </w:tc>
        <w:tc>
          <w:tcPr>
            <w:tcW w:w="2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(9)</w:t>
            </w:r>
          </w:p>
        </w:tc>
        <w:tc>
          <w:tcPr>
            <w:tcW w:w="1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545,190</w:t>
            </w:r>
          </w:p>
        </w:tc>
        <w:tc>
          <w:tcPr>
            <w:tcW w:w="0" w:type="dxa"/>
            <w:vAlign w:val="bottom"/>
          </w:tcPr>
          <w:p>
            <w:pPr>
              <w:spacing w:after="0"/>
              <w:rPr>
                <w:sz w:val="1"/>
                <w:szCs w:val="1"/>
                <w:color w:val="auto"/>
              </w:rPr>
            </w:pPr>
          </w:p>
        </w:tc>
      </w:tr>
      <w:tr>
        <w:trPr>
          <w:trHeight w:val="117"/>
        </w:trPr>
        <w:tc>
          <w:tcPr>
            <w:tcW w:w="1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David Horn</w:t>
            </w:r>
          </w:p>
        </w:tc>
        <w:tc>
          <w:tcPr>
            <w:tcW w:w="12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4/1/2020</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566,547</w:t>
            </w:r>
          </w:p>
        </w:tc>
        <w:tc>
          <w:tcPr>
            <w:tcW w:w="3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0"/>
                <w:szCs w:val="10"/>
                <w:color w:val="auto"/>
              </w:rPr>
            </w:pPr>
          </w:p>
        </w:tc>
        <w:tc>
          <w:tcPr>
            <w:tcW w:w="114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4/1/2030</w:t>
            </w:r>
          </w:p>
        </w:tc>
        <w:tc>
          <w:tcPr>
            <w:tcW w:w="12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14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140,682</w:t>
            </w:r>
          </w:p>
        </w:tc>
        <w:tc>
          <w:tcPr>
            <w:tcW w:w="3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7/28/2030</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135,100</w:t>
            </w:r>
          </w:p>
        </w:tc>
        <w:tc>
          <w:tcPr>
            <w:tcW w:w="3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12/3/2030</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2/1/2021</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34,125</w:t>
            </w:r>
          </w:p>
        </w:tc>
        <w:tc>
          <w:tcPr>
            <w:tcW w:w="3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w:t>
            </w: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1/31/2031</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118,833</w:t>
            </w:r>
          </w:p>
        </w:tc>
        <w:tc>
          <w:tcPr>
            <w:tcW w:w="3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5,167</w:t>
            </w:r>
          </w:p>
        </w:tc>
        <w:tc>
          <w:tcPr>
            <w:tcW w:w="5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(4)</w:t>
            </w: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3,875</w:t>
            </w: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w:t>
            </w: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7,091</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w:t>
            </w:r>
          </w:p>
        </w:tc>
        <w:tc>
          <w:tcPr>
            <w:tcW w:w="5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(6)</w:t>
            </w: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2/15/2033</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21,875</w:t>
            </w: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(7)</w:t>
            </w: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40,031</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2/6/2024</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w:t>
            </w:r>
          </w:p>
        </w:tc>
        <w:tc>
          <w:tcPr>
            <w:tcW w:w="5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(10)</w:t>
            </w: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2/6/2034</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2/6/2024</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65,339</w:t>
            </w:r>
          </w:p>
        </w:tc>
        <w:tc>
          <w:tcPr>
            <w:tcW w:w="3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77,218</w:t>
            </w:r>
          </w:p>
        </w:tc>
        <w:tc>
          <w:tcPr>
            <w:tcW w:w="5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(11)</w:t>
            </w: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3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2/6/2034</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2/6/2024</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92,833</w:t>
            </w: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(9)</w:t>
            </w:r>
          </w:p>
        </w:tc>
        <w:tc>
          <w:tcPr>
            <w:tcW w:w="1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169,884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23742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33"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outstanding equity awards was granted pursuant to our 2017 Stock Incentive Plan, as amended and restated, 2020 Plan or 2020 RSU Equity Incentive Plan.</w:t>
      </w:r>
    </w:p>
    <w:p>
      <w:pPr>
        <w:spacing w:after="0" w:line="126" w:lineRule="exact"/>
        <w:rPr>
          <w:rFonts w:ascii="Times New Roman" w:cs="Times New Roman" w:eastAsia="Times New Roman" w:hAnsi="Times New Roman"/>
          <w:sz w:val="16"/>
          <w:szCs w:val="16"/>
          <w:color w:val="auto"/>
        </w:rPr>
      </w:pPr>
    </w:p>
    <w:p>
      <w:pPr>
        <w:ind w:left="380" w:right="240" w:hanging="372"/>
        <w:spacing w:after="0" w:line="298" w:lineRule="auto"/>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are based upon the last reported price of our Class A common stock on the Nasdaq Global Select Market on December 31, 2025, which was $1.83.</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are fully vested and immediately exercisable.</w:t>
      </w:r>
    </w:p>
    <w:p>
      <w:pPr>
        <w:spacing w:after="0" w:line="126" w:lineRule="exact"/>
        <w:rPr>
          <w:rFonts w:ascii="Times New Roman" w:cs="Times New Roman" w:eastAsia="Times New Roman" w:hAnsi="Times New Roman"/>
          <w:sz w:val="16"/>
          <w:szCs w:val="16"/>
          <w:color w:val="auto"/>
        </w:rPr>
      </w:pPr>
    </w:p>
    <w:p>
      <w:pPr>
        <w:ind w:left="380" w:right="500" w:hanging="372"/>
        <w:spacing w:after="0" w:line="298" w:lineRule="auto"/>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underlying the option vested on February 8, 2023,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15, 2023, subject to continued service to the Company.</w:t>
      </w:r>
    </w:p>
    <w:p>
      <w:pPr>
        <w:spacing w:after="0" w:line="126" w:lineRule="exact"/>
        <w:rPr>
          <w:rFonts w:ascii="Times New Roman" w:cs="Times New Roman" w:eastAsia="Times New Roman" w:hAnsi="Times New Roman"/>
          <w:sz w:val="16"/>
          <w:szCs w:val="16"/>
          <w:color w:val="auto"/>
        </w:rPr>
      </w:pPr>
    </w:p>
    <w:p>
      <w:pPr>
        <w:ind w:left="380" w:right="200" w:hanging="372"/>
        <w:spacing w:after="0" w:line="272" w:lineRule="auto"/>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is subject to vesting requirements based upon achievement of specified performance-based criteria (the Stock Price Hurdle) which requires that the Company achieves a stock price equal to or greater than 150% of the option exercise price during the period beginning on the grant date and ending on February 15, 2030 (the Performance Period). The option was modified during fiscal 2024 to have an exercise price per share of $2.00 and stock price hurdle of $3.00 per share. If the Stock Price Hurdle is achieved within the Performance Period, then one fourth of the shares subject to the option vest on the date that achievement of the Stock Price Hurdle is certified and the remaining shares vest annually thereafter in three equal installments, subject to continued service to the Company.</w:t>
      </w:r>
    </w:p>
    <w:p>
      <w:pPr>
        <w:spacing w:after="0" w:line="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15, 2024, subject to continued service to 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4" w:lineRule="exact"/>
        <w:rPr>
          <w:sz w:val="20"/>
          <w:szCs w:val="20"/>
          <w:color w:val="auto"/>
        </w:rPr>
      </w:pPr>
    </w:p>
    <w:p>
      <w:pPr>
        <w:ind w:left="380" w:hanging="372"/>
        <w:spacing w:after="0" w:line="272" w:lineRule="auto"/>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300%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15, 2025, subject to continued service to the Company.</w:t>
      </w:r>
    </w:p>
    <w:p>
      <w:pPr>
        <w:spacing w:after="0" w:line="126" w:lineRule="exact"/>
        <w:rPr>
          <w:rFonts w:ascii="Times New Roman" w:cs="Times New Roman" w:eastAsia="Times New Roman" w:hAnsi="Times New Roman"/>
          <w:sz w:val="16"/>
          <w:szCs w:val="16"/>
          <w:color w:val="auto"/>
        </w:rPr>
      </w:pPr>
    </w:p>
    <w:p>
      <w:pPr>
        <w:ind w:left="380" w:hanging="372"/>
        <w:spacing w:after="0" w:line="272" w:lineRule="auto"/>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200%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77" w:lineRule="exact"/>
        <w:rPr>
          <w:rFonts w:ascii="Times New Roman" w:cs="Times New Roman" w:eastAsia="Times New Roman" w:hAnsi="Times New Roman"/>
          <w:sz w:val="16"/>
          <w:szCs w:val="16"/>
          <w:color w:val="auto"/>
        </w:rPr>
      </w:pPr>
    </w:p>
    <w:p>
      <w:pPr>
        <w:ind w:left="380" w:right="600" w:hanging="372"/>
        <w:spacing w:after="0" w:line="298" w:lineRule="auto"/>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option vested on February 6, 2025 and 1/48th of the shares vest monthly thereafter, subject to continued service to the Company.</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Change in Control and Severance Agreement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(i) by the Company without “cause” and not by reason of his death or disability or (ii)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80" w:lineRule="exact"/>
        <w:rPr>
          <w:sz w:val="20"/>
          <w:szCs w:val="20"/>
          <w:color w:val="auto"/>
        </w:rPr>
      </w:pPr>
    </w:p>
    <w:p>
      <w:pPr>
        <w:ind w:left="1140" w:right="100" w:hanging="383"/>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175" w:lineRule="exact"/>
        <w:rPr>
          <w:rFonts w:ascii="Times New Roman" w:cs="Times New Roman" w:eastAsia="Times New Roman" w:hAnsi="Times New Roman"/>
          <w:sz w:val="18"/>
          <w:szCs w:val="18"/>
          <w:color w:val="auto"/>
        </w:rPr>
      </w:pPr>
    </w:p>
    <w:p>
      <w:pPr>
        <w:ind w:left="1140" w:right="260" w:hanging="383"/>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75"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75" w:lineRule="exact"/>
        <w:rPr>
          <w:rFonts w:ascii="Times New Roman" w:cs="Times New Roman" w:eastAsia="Times New Roman" w:hAnsi="Times New Roman"/>
          <w:sz w:val="18"/>
          <w:szCs w:val="18"/>
          <w:color w:val="auto"/>
        </w:rPr>
      </w:pPr>
    </w:p>
    <w:p>
      <w:pPr>
        <w:ind w:left="1140" w:right="80" w:hanging="383"/>
        <w:spacing w:after="0" w:line="261"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With respect to this acceleration of vesting provision, the Change in Control Period is extended to end on the two-year anniversary of the change in control.</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during the Change in Control Period, Dr. Farokhzad’s employment with the Company is terminated either (i) by the Company without cause and not by reason of his death or disability or (ii) by Dr. Farokhzad as a good reason termination, Dr. Farokhzad will receive the following benefits if he timely signs and does not revoke a separation agreement and release of claims in our favor:</w:t>
      </w:r>
    </w:p>
    <w:p>
      <w:pPr>
        <w:spacing w:after="0" w:line="176" w:lineRule="exact"/>
        <w:rPr>
          <w:sz w:val="20"/>
          <w:szCs w:val="20"/>
          <w:color w:val="auto"/>
        </w:rPr>
      </w:pPr>
    </w:p>
    <w:p>
      <w:pPr>
        <w:jc w:val="both"/>
        <w:ind w:left="114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175"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150% of Dr. Farokhzad’s annualized target bonus as in effect for the performance period in which such termination occurs, or, if greater and Dr. Farokhzad’s termination from employment occurs after the change in control, as in effect for the performance period in which the change in control occurs;</w:t>
      </w:r>
    </w:p>
    <w:p>
      <w:pPr>
        <w:spacing w:after="0" w:line="175" w:lineRule="exact"/>
        <w:rPr>
          <w:rFonts w:ascii="Times New Roman" w:cs="Times New Roman" w:eastAsia="Times New Roman" w:hAnsi="Times New Roman"/>
          <w:sz w:val="18"/>
          <w:szCs w:val="18"/>
          <w:color w:val="auto"/>
        </w:rPr>
      </w:pPr>
    </w:p>
    <w:p>
      <w:pPr>
        <w:jc w:val="both"/>
        <w:ind w:left="1140" w:right="160" w:hanging="383"/>
        <w:spacing w:after="0" w:line="312"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Dr. Farokhzad and his eligible dependents have qualifying health care at the time of such termination, then either reimbursements for or direct payments of premiums for coverage under COBRA, for Dr. Farokhzad and his eligible dependents, if any, for up to 18 months;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40" w:right="320" w:hanging="383"/>
        <w:spacing w:after="0" w:line="312"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vesting acceleration of 100% of the shares subject to Dr. Farokhzad’s outstanding time-based equity awards. With respect to this acceleration of vesting provision, the Change in Control Period is extended to end on the two-year anniversary of the change in control.</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but not below $1,000, our cash severance benefit obligations under the Severance Agreement, and we will have no obligation to provide COBRA benefits for medical, vision and dental coverage if the new employer provides such benefits to Dr. Farokhzad.</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our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when Dr. Farokhzad knows or should have known of the initial existence of the good reason condition, and such event or action must not have been reversed, remedied or cured within 30 days following our receipt of such written notice.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Severance Agreement, “change in control” generally has the same meaning as such term is defined in our 2020 Plan (as discussed further below).</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Under the terms of the Severance Agreement, a transition by Dr. Farokhzad to a role as the Company’s Executive Chair will not be considered a termination without cause or grounds for his resignation for good reason.</w:t>
      </w:r>
    </w:p>
    <w:p>
      <w:pPr>
        <w:spacing w:after="0" w:line="162"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The following table describes the potential payments that would have been provided to Dr. Farokhzad pursuant to the Severance Agreement in the event that he was terminated outside of the Change in Control Period, assuming such termination occurred on December 31, 2025 (except as otherwise noted).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00" w:type="dxa"/>
            <w:vAlign w:val="bottom"/>
            <w:gridSpan w:val="2"/>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020" w:type="dxa"/>
            <w:vAlign w:val="bottom"/>
          </w:tcPr>
          <w:p>
            <w:pPr>
              <w:jc w:val="right"/>
              <w:ind w:right="290"/>
              <w:spacing w:after="0"/>
              <w:rPr>
                <w:sz w:val="20"/>
                <w:szCs w:val="20"/>
                <w:color w:val="auto"/>
              </w:rPr>
            </w:pPr>
            <w:r>
              <w:rPr>
                <w:rFonts w:ascii="Times New Roman" w:cs="Times New Roman" w:eastAsia="Times New Roman" w:hAnsi="Times New Roman"/>
                <w:sz w:val="10"/>
                <w:szCs w:val="10"/>
                <w:b w:val="1"/>
                <w:bCs w:val="1"/>
                <w:color w:val="auto"/>
              </w:rPr>
              <w:t>(2)</w:t>
            </w:r>
          </w:p>
        </w:tc>
        <w:tc>
          <w:tcPr>
            <w:tcW w:w="13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2380" w:type="dxa"/>
            <w:vAlign w:val="bottom"/>
            <w:vMerge w:val="continue"/>
          </w:tcPr>
          <w:p>
            <w:pPr>
              <w:spacing w:after="0"/>
              <w:rPr>
                <w:sz w:val="13"/>
                <w:szCs w:val="13"/>
                <w:color w:val="auto"/>
              </w:rPr>
            </w:pPr>
          </w:p>
        </w:tc>
        <w:tc>
          <w:tcPr>
            <w:tcW w:w="2100" w:type="dxa"/>
            <w:vAlign w:val="bottom"/>
            <w:gridSpan w:val="2"/>
          </w:tcPr>
          <w:p>
            <w:pPr>
              <w:jc w:val="center"/>
              <w:ind w:left="302"/>
              <w:spacing w:after="0" w:line="15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60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42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Reimbursements ($)</w:t>
            </w:r>
          </w:p>
        </w:tc>
        <w:tc>
          <w:tcPr>
            <w:tcW w:w="380" w:type="dxa"/>
            <w:vAlign w:val="bottom"/>
          </w:tcPr>
          <w:p>
            <w:pPr>
              <w:spacing w:after="0"/>
              <w:rPr>
                <w:sz w:val="13"/>
                <w:szCs w:val="13"/>
                <w:color w:val="auto"/>
              </w:rPr>
            </w:pPr>
          </w:p>
        </w:tc>
        <w:tc>
          <w:tcPr>
            <w:tcW w:w="2020" w:type="dxa"/>
            <w:vAlign w:val="bottom"/>
          </w:tcPr>
          <w:p>
            <w:pPr>
              <w:jc w:val="right"/>
              <w:ind w:right="410"/>
              <w:spacing w:after="0" w:line="155" w:lineRule="exact"/>
              <w:rPr>
                <w:sz w:val="20"/>
                <w:szCs w:val="20"/>
                <w:color w:val="auto"/>
              </w:rPr>
            </w:pPr>
            <w:r>
              <w:rPr>
                <w:rFonts w:ascii="Times New Roman" w:cs="Times New Roman" w:eastAsia="Times New Roman" w:hAnsi="Times New Roman"/>
                <w:sz w:val="14"/>
                <w:szCs w:val="14"/>
                <w:b w:val="1"/>
                <w:bCs w:val="1"/>
                <w:color w:val="auto"/>
              </w:rPr>
              <w:t>Equity Acceleration ($)</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636,000</w:t>
            </w:r>
          </w:p>
        </w:tc>
        <w:tc>
          <w:tcPr>
            <w:tcW w:w="16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540,600</w:t>
            </w:r>
          </w:p>
        </w:tc>
        <w:tc>
          <w:tcPr>
            <w:tcW w:w="180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44,229</w:t>
            </w:r>
          </w:p>
        </w:tc>
        <w:tc>
          <w:tcPr>
            <w:tcW w:w="20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427,392</w:t>
            </w:r>
          </w:p>
        </w:tc>
        <w:tc>
          <w:tcPr>
            <w:tcW w:w="1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1,648,221</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240" w:hanging="372"/>
        <w:spacing w:after="0" w:line="281"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applicable 2025 group health plans.</w:t>
      </w:r>
    </w:p>
    <w:p>
      <w:pPr>
        <w:spacing w:after="0" w:line="69" w:lineRule="exact"/>
        <w:rPr>
          <w:rFonts w:ascii="Times New Roman" w:cs="Times New Roman" w:eastAsia="Times New Roman" w:hAnsi="Times New Roman"/>
          <w:sz w:val="16"/>
          <w:szCs w:val="16"/>
          <w:color w:val="auto"/>
        </w:rPr>
      </w:pPr>
    </w:p>
    <w:p>
      <w:pPr>
        <w:ind w:left="380" w:right="100" w:hanging="372"/>
        <w:spacing w:after="0" w:line="281"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accelerated RSUs in this table are calculated by multiplying the number of shares subject to acceleration by the closing price of our Class A common stock on December 31, 2025, which was $1.83 per share. The value of the accelerated stock options is calculated by multiplying (x) the number of shares subject to acceleration for each stock option by (y) the closing price per share minus the applicable exercise price per share.</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that would have been provided to Dr. Farokhzad pursuant to the Severance Agreement if, during the Change in Control Period, he was terminated either (i) by the Company without cause and not by reason of his death or disability or (ii) by Dr. Farokhzad as a good reason termination, assuming such termination occurred on December 31, 2025 (except as otherwise noted).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40" w:type="dxa"/>
            <w:vAlign w:val="bottom"/>
            <w:gridSpan w:val="2"/>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86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Equity Acceleration ($)</w:t>
            </w:r>
          </w:p>
        </w:tc>
        <w:tc>
          <w:tcPr>
            <w:tcW w:w="12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140" w:type="dxa"/>
            <w:vAlign w:val="bottom"/>
            <w:gridSpan w:val="2"/>
          </w:tcPr>
          <w:p>
            <w:pPr>
              <w:jc w:val="center"/>
              <w:ind w:left="262"/>
              <w:spacing w:after="0" w:line="13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66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8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2"/>
                <w:szCs w:val="12"/>
                <w:b w:val="1"/>
                <w:bCs w:val="1"/>
                <w:color w:val="auto"/>
              </w:rPr>
              <w:t>Reimbursements ($)</w:t>
            </w:r>
            <w:r>
              <w:rPr>
                <w:rFonts w:ascii="Times New Roman" w:cs="Times New Roman" w:eastAsia="Times New Roman" w:hAnsi="Times New Roman"/>
                <w:sz w:val="15"/>
                <w:szCs w:val="15"/>
                <w:b w:val="1"/>
                <w:bCs w:val="1"/>
                <w:color w:val="auto"/>
                <w:vertAlign w:val="superscript"/>
              </w:rPr>
              <w:t>(1)</w:t>
            </w:r>
          </w:p>
        </w:tc>
        <w:tc>
          <w:tcPr>
            <w:tcW w:w="1900" w:type="dxa"/>
            <w:vAlign w:val="bottom"/>
          </w:tcPr>
          <w:p>
            <w:pPr>
              <w:jc w:val="right"/>
              <w:ind w:right="910"/>
              <w:spacing w:after="0"/>
              <w:rPr>
                <w:sz w:val="20"/>
                <w:szCs w:val="20"/>
                <w:color w:val="auto"/>
              </w:rPr>
            </w:pPr>
            <w:r>
              <w:rPr>
                <w:rFonts w:ascii="Times New Roman" w:cs="Times New Roman" w:eastAsia="Times New Roman" w:hAnsi="Times New Roman"/>
                <w:sz w:val="10"/>
                <w:szCs w:val="10"/>
                <w:b w:val="1"/>
                <w:bCs w:val="1"/>
                <w:color w:val="auto"/>
              </w:rPr>
              <w:t>(2)</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954,000</w:t>
            </w:r>
          </w:p>
        </w:tc>
        <w:tc>
          <w:tcPr>
            <w:tcW w:w="16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810,900</w:t>
            </w:r>
          </w:p>
        </w:tc>
        <w:tc>
          <w:tcPr>
            <w:tcW w:w="18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rPr>
              <w:t>66,344</w:t>
            </w:r>
          </w:p>
        </w:tc>
        <w:tc>
          <w:tcPr>
            <w:tcW w:w="19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854,785</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2,686,029</w:t>
            </w:r>
          </w:p>
        </w:tc>
        <w:tc>
          <w:tcPr>
            <w:tcW w:w="0" w:type="dxa"/>
            <w:vAlign w:val="bottom"/>
          </w:tcPr>
          <w:p>
            <w:pPr>
              <w:spacing w:after="0"/>
              <w:rPr>
                <w:sz w:val="1"/>
                <w:szCs w:val="1"/>
                <w:color w:val="auto"/>
              </w:rPr>
            </w:pPr>
          </w:p>
        </w:tc>
      </w:tr>
      <w:tr>
        <w:trPr>
          <w:trHeight w:val="148"/>
        </w:trPr>
        <w:tc>
          <w:tcPr>
            <w:tcW w:w="2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240" w:hanging="372"/>
        <w:spacing w:after="0" w:line="281"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applicable 2025 group health plans.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4" w:lineRule="exact"/>
        <w:rPr>
          <w:sz w:val="20"/>
          <w:szCs w:val="20"/>
          <w:color w:val="auto"/>
        </w:rPr>
      </w:pPr>
    </w:p>
    <w:p>
      <w:pPr>
        <w:ind w:left="380" w:right="40" w:hanging="372"/>
        <w:spacing w:after="0" w:line="281" w:lineRule="auto"/>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of the accelerated RSUs in this table are calculated by multiplying the number of shares subject to acceleration by the closing price of our Class A common stock on December 31, 2025, which was $1.83 per share. The value of the accelerated stock options is calculated by multiplying (x) the number of shares subject to acceleration for each stock option by (y) the closing price per share minus the applicable exercise price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Executive Change in Control and Severance Plan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maintain a Key Executive Change in Control and Severance Plan (the Severance Plan), which we adopted in December 2020, in order to provide specified severance and change in control pay and benefits, to key executives selected by us. We have entered into a participation agreement with Mr. Horn (a Participation Agreement) under our Severance Plan.</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Severance Plan and related Participation Agreement provide that if Mr. Horn’s employment is terminated outside the period beginning on the date of a change in control and ending on the one-year anniversary date of such change in control (the Key Executive Change in Control Period) either (i) by the Company without “cause” and not by reason of his death or disability or (ii) by the named executive officer as a “good reason termination” (as such terms are defined in his Participation Agreement), the named executive officer will receive the following benefits if he timely signs and does not revoke a separation agreement and release of claims in our favor:</w:t>
      </w:r>
    </w:p>
    <w:p>
      <w:pPr>
        <w:spacing w:after="0" w:line="183" w:lineRule="exact"/>
        <w:rPr>
          <w:sz w:val="20"/>
          <w:szCs w:val="20"/>
          <w:color w:val="auto"/>
        </w:rPr>
      </w:pPr>
    </w:p>
    <w:p>
      <w:pPr>
        <w:jc w:val="both"/>
        <w:ind w:left="1140" w:right="120" w:hanging="38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175" w:lineRule="exact"/>
        <w:rPr>
          <w:rFonts w:ascii="Times New Roman" w:cs="Times New Roman" w:eastAsia="Times New Roman" w:hAnsi="Times New Roman"/>
          <w:sz w:val="18"/>
          <w:szCs w:val="18"/>
          <w:color w:val="auto"/>
        </w:rPr>
      </w:pPr>
    </w:p>
    <w:p>
      <w:pPr>
        <w:ind w:left="1140" w:right="800" w:hanging="38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during the Key Executive Change in Control Period, Mr. Horn’s employment with the Company is terminated either (i) by the Company without cause and not by reason of his death or disability or (ii) by the named executive officer as a good reason termination, the named executive officer will receive the following benefits if he timely signs and does not revoke a separation agreement and release of claims in our favor:</w:t>
      </w:r>
    </w:p>
    <w:p>
      <w:pPr>
        <w:spacing w:after="0" w:line="176" w:lineRule="exact"/>
        <w:rPr>
          <w:sz w:val="20"/>
          <w:szCs w:val="20"/>
          <w:color w:val="auto"/>
        </w:rPr>
      </w:pPr>
    </w:p>
    <w:p>
      <w:pPr>
        <w:ind w:left="1140" w:hanging="383"/>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7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161"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100% of the shares subject to a named executive officer’s outstanding time-based equity awards.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the named executive officer's receipt and retention of any severance benefits under the Participation Agreement is subject to his compliance with the terms of any confidentiality, information and inventions agreement or other written agreement with us under which he has a material duty or obligation to us. Under the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Mr. Horn begins employment or enters into a consultant relationship with a new employer during the period he is receiving severance benefits from us under the Severance Plan and a related Participation Agreement, then any cash compensation paid to the named executive officer by the new employer will reduce, but not below $1,000,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if, (i) during the time period beginning upon the consummation of a change in control and ending on the date immediately prior to the two year anniversary of the change in control (such two-year anniversary, the Retention Date), the employment of Mr. Horn with the Company (or any parent or subsidiary of the Company) is terminated either (a) by the Company without cause and not by reason of his death or disability, or (b) by the named executive officer as a good reason termination, or (ii) such named executive officer remains employed by the Company (or any parent or subsidiary of the Company) through the Retention Date, and if the named executive officer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Mr. Horn’s Participation Agreement, “cause” generally means the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spacing w:after="0" w:line="19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Under Mr. Horn’s Participation Agreement, “good reason termination” generally means that such named executive officer resigns from the Company within 60 days following the end of our cure period discussed below as a result of any of the following that occurs without the named executive officer's written consent: a material reduction in the named executive officer's base salary as compared to his base salary in effect immediately prior to such reduction; a material change in the geographic location of his primary work facility or location, provided, that a relocation that increases the named executive officer's commute by 50 miles or less or to his home as the executive’s primary work location will not be considered a material change in geographic location; or a material reduction of his authority, duties or responsibilities, unless the named executive officer is provided with a comparable position. For a resignation to qualify as a “good reason termination,” a named executive officer also must provide written notice within 60 days following the initial existence of the good reason condition, and such event or action must not have been reversed, remedied or cured within 30 days following our receipt of such written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Severance Plan, “change in control” generally has the same meaning as such term is defined in our 2020 Plan (as discussed further below).</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under the Severance Plan that would have been provided to the named executive officer participating in the Severance Plan as of the end of fiscal 2025, in the event that they were terminated outside of the Key Executive Change in Control Period, assuming such termination occurred on December 31, 2025 (except as otherwise noted).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90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Salary Severance Payments ($)</w:t>
            </w:r>
          </w:p>
        </w:tc>
        <w:tc>
          <w:tcPr>
            <w:tcW w:w="15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(1)</w:t>
            </w:r>
          </w:p>
        </w:tc>
        <w:tc>
          <w:tcPr>
            <w:tcW w:w="172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3900" w:type="dxa"/>
            <w:vAlign w:val="bottom"/>
            <w:vMerge w:val="continue"/>
          </w:tcPr>
          <w:p>
            <w:pPr>
              <w:spacing w:after="0"/>
              <w:rPr>
                <w:sz w:val="13"/>
                <w:szCs w:val="13"/>
                <w:color w:val="auto"/>
              </w:rPr>
            </w:pPr>
          </w:p>
        </w:tc>
        <w:tc>
          <w:tcPr>
            <w:tcW w:w="158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Reimbursements ($)</w:t>
            </w:r>
          </w:p>
        </w:tc>
        <w:tc>
          <w:tcPr>
            <w:tcW w:w="9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Horn</w:t>
            </w:r>
          </w:p>
        </w:tc>
        <w:tc>
          <w:tcPr>
            <w:tcW w:w="39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rPr>
              <w:t>405,000</w:t>
            </w:r>
          </w:p>
        </w:tc>
        <w:tc>
          <w:tcPr>
            <w:tcW w:w="1580" w:type="dxa"/>
            <w:vAlign w:val="bottom"/>
            <w:shd w:val="clear" w:color="auto" w:fill="CFF0FC"/>
          </w:tcPr>
          <w:p>
            <w:pPr>
              <w:spacing w:after="0"/>
              <w:rPr>
                <w:sz w:val="18"/>
                <w:szCs w:val="18"/>
                <w:color w:val="auto"/>
              </w:rPr>
            </w:pP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33,172</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438,172</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80" w:right="600" w:hanging="372"/>
        <w:spacing w:after="0" w:line="281"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this column represent estimates of the premiums to maintain group health insurance continuation benefits pursuant to COBRA for the executive and the executive’s respective eligible dependents for 9 months. The amount presented is based on estimates for maintaining group health insurance continuation benefits under our applicable 2025 group health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23742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under the Severance Plan that would have been provided to the named executive officer participating in the Severance Plan as of the end of fiscal 2025, in the event that they were terminated during the Key Executive Change in Control Period, assuming such termination occurred on December 31, 2025 (except as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320" w:type="dxa"/>
            <w:vAlign w:val="bottom"/>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6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8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Equity Acceleration</w:t>
            </w:r>
          </w:p>
        </w:tc>
        <w:tc>
          <w:tcPr>
            <w:tcW w:w="144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232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Reimbursements ($)</w:t>
            </w:r>
            <w:r>
              <w:rPr>
                <w:rFonts w:ascii="Times New Roman" w:cs="Times New Roman" w:eastAsia="Times New Roman" w:hAnsi="Times New Roman"/>
                <w:sz w:val="19"/>
                <w:szCs w:val="19"/>
                <w:b w:val="1"/>
                <w:bCs w:val="1"/>
                <w:color w:val="auto"/>
                <w:vertAlign w:val="superscript"/>
              </w:rPr>
              <w:t>(1)</w:t>
            </w:r>
          </w:p>
        </w:tc>
        <w:tc>
          <w:tcPr>
            <w:tcW w:w="1840" w:type="dxa"/>
            <w:vAlign w:val="bottom"/>
          </w:tcPr>
          <w:p>
            <w:pPr>
              <w:jc w:val="center"/>
              <w:ind w:right="822"/>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(2)</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Horn</w:t>
            </w:r>
          </w:p>
        </w:tc>
        <w:tc>
          <w:tcPr>
            <w:tcW w:w="2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540,000</w:t>
            </w:r>
          </w:p>
        </w:tc>
        <w:tc>
          <w:tcPr>
            <w:tcW w:w="16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297,000</w:t>
            </w:r>
          </w:p>
        </w:tc>
        <w:tc>
          <w:tcPr>
            <w:tcW w:w="16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44,229</w:t>
            </w:r>
          </w:p>
        </w:tc>
        <w:tc>
          <w:tcPr>
            <w:tcW w:w="184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233,960</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1,115,189</w:t>
            </w:r>
          </w:p>
        </w:tc>
        <w:tc>
          <w:tcPr>
            <w:tcW w:w="0" w:type="dxa"/>
            <w:vAlign w:val="bottom"/>
          </w:tcPr>
          <w:p>
            <w:pPr>
              <w:spacing w:after="0"/>
              <w:rPr>
                <w:sz w:val="1"/>
                <w:szCs w:val="1"/>
                <w:color w:val="auto"/>
              </w:rPr>
            </w:pPr>
          </w:p>
        </w:tc>
      </w:tr>
      <w:tr>
        <w:trPr>
          <w:trHeight w:val="149"/>
        </w:trPr>
        <w:tc>
          <w:tcPr>
            <w:tcW w:w="2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520" w:hanging="372"/>
        <w:spacing w:after="0" w:line="281"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this column represent estimates of the premiums to maintain group health insurance continuation benefits pursuant to COBRA for the executive and the executive’s respective eligible dependents for 12 months. The amount presented is based on estimates for maintaining group health insurance continuation benefits under our applicable 2025 group health plans.</w:t>
      </w:r>
    </w:p>
    <w:p>
      <w:pPr>
        <w:spacing w:after="0" w:line="69" w:lineRule="exact"/>
        <w:rPr>
          <w:rFonts w:ascii="Times New Roman" w:cs="Times New Roman" w:eastAsia="Times New Roman" w:hAnsi="Times New Roman"/>
          <w:sz w:val="16"/>
          <w:szCs w:val="16"/>
          <w:color w:val="auto"/>
        </w:rPr>
      </w:pPr>
    </w:p>
    <w:p>
      <w:pPr>
        <w:jc w:val="both"/>
        <w:ind w:left="380" w:right="140" w:hanging="372"/>
        <w:spacing w:after="0" w:line="269"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accelerated RSUs in this table is calculated by multiplying the number of shares subject to acceleration by the closing price of our Class A common stock on the Nasdaq Global Select Market on December 31, 2025, which was $1.83 per share. The value of the accelerated stock options is calculated by multiplying</w:t>
      </w: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the number of shares subject to acceleration for each stock option by (y) such closing price per share of $1.83 minus the applicable exercise price per share.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and Performance-Based Stock Option Acceleration Features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our 2017 Stock Incentive Plan, as amended and restated (the 2017 Plan), 2020 RSU Equity Incentive Plan (the RSU Plan) and 2020 Plan provides that in the event of a merger or “change in control” (or, with respect to the 2017 Plan, a “change in control transaction”) as defined thereunder, if a successor corporation or its parent or subsidiary does not assume or substitute an equivalent award for any outstanding award, then such award generally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2024, we implemented a stock option repricing program and also a reduction in the hurdle amounts applicable to performance-based stock options. In the repricing program, the exercise prices of underwater options were reset to $2.00 per share, which was the closing price of our Class A common stock on the repricing date. The repricing program had a retention component as well, providing that if the repriced option was exercised before the expiration of an up to 18-month retention period (which ended on the earlier of: (i) April 4, 2026; (ii) a Change in Control (as defined in the 2020 Plan); and (iii) the option holder’s death or Disability (as defined in the 2020 Plan)), in order to exercise the option, the option holder would have to pay a premium exercise price equal to the original exercise price of the option. In addition, certain option awards granted in 2023, including options covering 650,000 shares held by our CEO and options covering 140,000 shares held by our Chief Financial Officer, with a performance-based vesting condition based on the Company’s achieving a stock price of $6.89 were amended to reduce the stock price hurdle amount to $3.00 per share (which was 150% of then-current fair market value). Once the option has met the stock price target, it is considered a time-based equity award for purposes of Dr. Farokhzad’s Severance Agreement and Mr. Horn’s participation in the Severance Plan. In the event of a change in control, the achievement of this stock price goal is determined based on the change in control price and, if the stock price goal is achieved, any additional time-based vesting requirements are waived, and the options vest in full, as long as the named executive remains in service to us as of immediately prior to the completion of the change in control. However, for Dr. Farokhzad only, if, during the period that is three months prior to a change in control, his employment with us terminates either (i) by the Company without “cause” and not by reason of his death or disability or (ii) by Dr. Farokhzad as a “good reason termination” (as such terms are defined in the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 If a change in control had occurred on December 31, 2025, the stock price goal would not have been met and these performance-based options would have forfeited.</w:t>
      </w:r>
    </w:p>
    <w:p>
      <w:pPr>
        <w:spacing w:after="0" w:line="1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2020 Plan and RSU Plan, “change in control” generally means a change in our stock ownership upon a person or persons acting together acquiring our stock that results in their ownership of more than fifty percent (50%) of the total voting power of our stock; a change in our effective control that results in a majority of the members of our board of directors being replaced over twelve (12) months by directors not endorsed by a majority of the members of our board of directors prior to such appointment or election; or a change in ownership of fifty percent (50%) or more of our assets (based on total gross fair market value), in each case, subject to certain exceptions.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our 2017 Plan, “change in control transaction” generally means our merging or consolidating with another corporation whereby our stockholders no longer own at least fifty percent (50%) of the voting power of the Company or the surviving or resulting corporation, as applicable; stock with fifty percent (50%) or more of the voting power of the Company is transferred to an unrelated third party; or if we are liquidated, or sell or otherwise dispose of all or substantially all our assets.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Class A common stock that may be issued under our existing equity compensation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5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0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50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50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20" w:type="dxa"/>
            <w:vAlign w:val="bottom"/>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0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 and</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250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 ($)</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5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42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Stock Incentive Plan </w:t>
            </w:r>
            <w:r>
              <w:rPr>
                <w:rFonts w:ascii="Times New Roman" w:cs="Times New Roman" w:eastAsia="Times New Roman" w:hAnsi="Times New Roman"/>
                <w:sz w:val="24"/>
                <w:szCs w:val="24"/>
                <w:i w:val="1"/>
                <w:iCs w:val="1"/>
                <w:color w:val="auto"/>
                <w:vertAlign w:val="superscript"/>
              </w:rPr>
              <w:t>(1)</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spacing w:after="0"/>
              <w:rPr>
                <w:sz w:val="18"/>
                <w:szCs w:val="18"/>
                <w:color w:val="auto"/>
              </w:rPr>
            </w:pP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42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24"/>
                <w:szCs w:val="24"/>
                <w:i w:val="1"/>
                <w:iCs w:val="1"/>
                <w:color w:val="auto"/>
                <w:vertAlign w:val="superscript"/>
              </w:rPr>
              <w:t>(2)</w:t>
            </w:r>
          </w:p>
        </w:tc>
        <w:tc>
          <w:tcPr>
            <w:tcW w:w="2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16,045,140</w:t>
            </w:r>
          </w:p>
        </w:tc>
        <w:tc>
          <w:tcPr>
            <w:tcW w:w="2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2.83</w:t>
            </w:r>
          </w:p>
        </w:tc>
        <w:tc>
          <w:tcPr>
            <w:tcW w:w="2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3,591,506</w:t>
            </w:r>
          </w:p>
        </w:tc>
        <w:tc>
          <w:tcPr>
            <w:tcW w:w="0" w:type="dxa"/>
            <w:vAlign w:val="bottom"/>
          </w:tcPr>
          <w:p>
            <w:pPr>
              <w:spacing w:after="0"/>
              <w:rPr>
                <w:sz w:val="1"/>
                <w:szCs w:val="1"/>
                <w:color w:val="auto"/>
              </w:rPr>
            </w:pPr>
          </w:p>
        </w:tc>
      </w:tr>
      <w:tr>
        <w:trPr>
          <w:trHeight w:val="216"/>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42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24"/>
                <w:szCs w:val="24"/>
                <w:i w:val="1"/>
                <w:iCs w:val="1"/>
                <w:color w:val="auto"/>
                <w:vertAlign w:val="superscript"/>
              </w:rPr>
              <w:t>(3)</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spacing w:after="0"/>
              <w:rPr>
                <w:sz w:val="18"/>
                <w:szCs w:val="18"/>
                <w:color w:val="auto"/>
              </w:rPr>
            </w:pP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2,026,531</w:t>
            </w: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42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RSU Equity Incentive Plan </w:t>
            </w:r>
            <w:r>
              <w:rPr>
                <w:rFonts w:ascii="Times New Roman" w:cs="Times New Roman" w:eastAsia="Times New Roman" w:hAnsi="Times New Roman"/>
                <w:sz w:val="24"/>
                <w:szCs w:val="24"/>
                <w:i w:val="1"/>
                <w:iCs w:val="1"/>
                <w:color w:val="auto"/>
                <w:vertAlign w:val="superscript"/>
              </w:rPr>
              <w:t>(4)</w:t>
            </w:r>
          </w:p>
        </w:tc>
        <w:tc>
          <w:tcPr>
            <w:tcW w:w="2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00" w:type="dxa"/>
            <w:vAlign w:val="bottom"/>
            <w:gridSpan w:val="2"/>
          </w:tcPr>
          <w:p>
            <w:pPr>
              <w:jc w:val="center"/>
              <w:ind w:right="401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16,045,140</w:t>
            </w:r>
          </w:p>
        </w:tc>
        <w:tc>
          <w:tcPr>
            <w:tcW w:w="2020" w:type="dxa"/>
            <w:vAlign w:val="bottom"/>
          </w:tcPr>
          <w:p>
            <w:pPr>
              <w:spacing w:after="0"/>
              <w:rPr>
                <w:sz w:val="20"/>
                <w:szCs w:val="20"/>
                <w:color w:val="auto"/>
              </w:rPr>
            </w:pP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5,618,037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4" w:lineRule="exact"/>
        <w:rPr>
          <w:sz w:val="20"/>
          <w:szCs w:val="20"/>
          <w:color w:val="auto"/>
        </w:rPr>
      </w:pPr>
    </w:p>
    <w:p>
      <w:pPr>
        <w:ind w:left="380" w:right="140" w:hanging="372"/>
        <w:spacing w:after="0" w:line="275"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Class A common stock subject to such awards will become available for issuance under the 2020 Plan.</w:t>
      </w:r>
    </w:p>
    <w:p>
      <w:pPr>
        <w:spacing w:after="0" w:line="74" w:lineRule="exact"/>
        <w:rPr>
          <w:rFonts w:ascii="Times New Roman" w:cs="Times New Roman" w:eastAsia="Times New Roman" w:hAnsi="Times New Roman"/>
          <w:sz w:val="16"/>
          <w:szCs w:val="16"/>
          <w:color w:val="auto"/>
        </w:rPr>
      </w:pPr>
    </w:p>
    <w:p>
      <w:pPr>
        <w:ind w:left="380" w:right="60" w:hanging="372"/>
        <w:spacing w:after="0" w:line="275"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Class A common stock on the last day of the immediately preceding fiscal year or (iii) such other amount as our board of directors may determine.</w:t>
      </w:r>
    </w:p>
    <w:p>
      <w:pPr>
        <w:spacing w:after="0" w:line="74" w:lineRule="exact"/>
        <w:rPr>
          <w:rFonts w:ascii="Times New Roman" w:cs="Times New Roman" w:eastAsia="Times New Roman" w:hAnsi="Times New Roman"/>
          <w:sz w:val="16"/>
          <w:szCs w:val="16"/>
          <w:color w:val="auto"/>
        </w:rPr>
      </w:pPr>
    </w:p>
    <w:p>
      <w:pPr>
        <w:ind w:left="380" w:right="160" w:hanging="372"/>
        <w:spacing w:after="0" w:line="275"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Class A common stock on the last day of the immediately preceding fiscal year or (iii) such other amount as may be determined by our board of directors.</w:t>
      </w:r>
    </w:p>
    <w:p>
      <w:pPr>
        <w:spacing w:after="0" w:line="74" w:lineRule="exact"/>
        <w:rPr>
          <w:rFonts w:ascii="Times New Roman" w:cs="Times New Roman" w:eastAsia="Times New Roman" w:hAnsi="Times New Roman"/>
          <w:sz w:val="16"/>
          <w:szCs w:val="16"/>
          <w:color w:val="auto"/>
        </w:rPr>
      </w:pPr>
    </w:p>
    <w:p>
      <w:pPr>
        <w:ind w:left="380" w:right="40" w:hanging="372"/>
        <w:spacing w:after="0" w:line="298"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RSU Plan. In connection with our initial public offering, we no longer grant awards under the RSU Plan; however, all outstanding restricted stock units (RSUs) issued pursuant to the RSU Plan continue to be governed by their existing terms.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4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4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40" w:type="dxa"/>
            <w:vAlign w:val="bottom"/>
            <w:vMerge w:val="restart"/>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40" w:type="dxa"/>
            <w:vAlign w:val="bottom"/>
            <w:vMerge w:val="continue"/>
          </w:tcPr>
          <w:p>
            <w:pPr>
              <w:spacing w:after="0"/>
              <w:rPr>
                <w:sz w:val="12"/>
                <w:szCs w:val="12"/>
                <w:color w:val="auto"/>
              </w:rPr>
            </w:pPr>
          </w:p>
        </w:tc>
        <w:tc>
          <w:tcPr>
            <w:tcW w:w="1640" w:type="dxa"/>
            <w:vAlign w:val="bottom"/>
          </w:tcPr>
          <w:p>
            <w:pPr>
              <w:jc w:val="center"/>
              <w:ind w:right="4"/>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74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15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4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 ($)</w:t>
            </w:r>
          </w:p>
        </w:tc>
        <w:tc>
          <w:tcPr>
            <w:tcW w:w="17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1840" w:type="dxa"/>
            <w:vAlign w:val="bottom"/>
          </w:tcPr>
          <w:p>
            <w:pPr>
              <w:jc w:val="center"/>
              <w:ind w:left="41"/>
              <w:spacing w:after="0" w:line="135" w:lineRule="exact"/>
              <w:rPr>
                <w:sz w:val="20"/>
                <w:szCs w:val="20"/>
                <w:color w:val="auto"/>
              </w:rPr>
            </w:pPr>
            <w:r>
              <w:rPr>
                <w:rFonts w:ascii="Times New Roman" w:cs="Times New Roman" w:eastAsia="Times New Roman" w:hAnsi="Times New Roman"/>
                <w:sz w:val="12"/>
                <w:szCs w:val="12"/>
                <w:b w:val="1"/>
                <w:bCs w:val="1"/>
                <w:color w:val="auto"/>
              </w:rPr>
              <w:t>Total for PEO ($)</w:t>
            </w:r>
            <w:r>
              <w:rPr>
                <w:rFonts w:ascii="Times New Roman" w:cs="Times New Roman" w:eastAsia="Times New Roman" w:hAnsi="Times New Roman"/>
                <w:sz w:val="15"/>
                <w:szCs w:val="15"/>
                <w:b w:val="1"/>
                <w:bCs w:val="1"/>
                <w:color w:val="auto"/>
                <w:vertAlign w:val="superscript"/>
              </w:rPr>
              <w:t>(1)</w:t>
            </w: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(1)(2)(3)</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NEOs ($)</w:t>
            </w:r>
            <w:r>
              <w:rPr>
                <w:rFonts w:ascii="Times New Roman" w:cs="Times New Roman" w:eastAsia="Times New Roman" w:hAnsi="Times New Roman"/>
                <w:sz w:val="15"/>
                <w:szCs w:val="15"/>
                <w:b w:val="1"/>
                <w:bCs w:val="1"/>
                <w:color w:val="auto"/>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(1)(2)(3)</w:t>
            </w:r>
          </w:p>
        </w:tc>
        <w:tc>
          <w:tcPr>
            <w:tcW w:w="174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rPr>
              <w:t>TSR ($)</w:t>
            </w:r>
            <w:r>
              <w:rPr>
                <w:rFonts w:ascii="Times New Roman" w:cs="Times New Roman" w:eastAsia="Times New Roman" w:hAnsi="Times New Roman"/>
                <w:sz w:val="15"/>
                <w:szCs w:val="15"/>
                <w:b w:val="1"/>
                <w:bCs w:val="1"/>
                <w:color w:val="auto"/>
                <w:vertAlign w:val="superscript"/>
              </w:rPr>
              <w:t>(4)</w:t>
            </w:r>
          </w:p>
        </w:tc>
        <w:tc>
          <w:tcPr>
            <w:tcW w:w="1580" w:type="dxa"/>
            <w:vAlign w:val="bottom"/>
          </w:tcPr>
          <w:p>
            <w:pPr>
              <w:jc w:val="right"/>
              <w:ind w:right="317"/>
              <w:spacing w:after="0" w:line="135" w:lineRule="exact"/>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8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1,205,710</w:t>
            </w:r>
          </w:p>
        </w:tc>
        <w:tc>
          <w:tcPr>
            <w:tcW w:w="172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105,003</w:t>
            </w:r>
          </w:p>
        </w:tc>
        <w:tc>
          <w:tcPr>
            <w:tcW w:w="16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744,805</w:t>
            </w:r>
          </w:p>
        </w:tc>
        <w:tc>
          <w:tcPr>
            <w:tcW w:w="1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rPr>
              <w:t>456,589</w:t>
            </w:r>
          </w:p>
        </w:tc>
        <w:tc>
          <w:tcPr>
            <w:tcW w:w="174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31.55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4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3,549,950</w:t>
            </w:r>
          </w:p>
        </w:tc>
        <w:tc>
          <w:tcPr>
            <w:tcW w:w="172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4,581,646</w:t>
            </w:r>
          </w:p>
        </w:tc>
        <w:tc>
          <w:tcPr>
            <w:tcW w:w="164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1,118,658</w:t>
            </w:r>
          </w:p>
        </w:tc>
        <w:tc>
          <w:tcPr>
            <w:tcW w:w="164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790,704</w:t>
            </w: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39.83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(86,599)</w:t>
            </w: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5,197,331</w:t>
            </w:r>
          </w:p>
        </w:tc>
        <w:tc>
          <w:tcPr>
            <w:tcW w:w="17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rPr>
              <w:t>(136,662)</w:t>
            </w:r>
          </w:p>
        </w:tc>
        <w:tc>
          <w:tcPr>
            <w:tcW w:w="16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1,407,506</w:t>
            </w:r>
          </w:p>
        </w:tc>
        <w:tc>
          <w:tcPr>
            <w:tcW w:w="1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(320,892)</w:t>
            </w:r>
          </w:p>
        </w:tc>
        <w:tc>
          <w:tcPr>
            <w:tcW w:w="174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33.45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(86,277)</w:t>
            </w:r>
          </w:p>
        </w:tc>
        <w:tc>
          <w:tcPr>
            <w:tcW w:w="0" w:type="dxa"/>
            <w:vAlign w:val="bottom"/>
          </w:tcPr>
          <w:p>
            <w:pPr>
              <w:spacing w:after="0"/>
              <w:rPr>
                <w:sz w:val="1"/>
                <w:szCs w:val="1"/>
                <w:color w:val="auto"/>
              </w:rPr>
            </w:pPr>
          </w:p>
        </w:tc>
      </w:tr>
      <w:tr>
        <w:trPr>
          <w:trHeight w:val="652"/>
        </w:trPr>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jc w:val="right"/>
              <w:ind w:right="481"/>
              <w:spacing w:after="0"/>
              <w:rPr>
                <w:sz w:val="20"/>
                <w:szCs w:val="20"/>
                <w:color w:val="auto"/>
              </w:rPr>
            </w:pPr>
            <w:r>
              <w:rPr>
                <w:rFonts w:ascii="Arial" w:cs="Arial" w:eastAsia="Arial" w:hAnsi="Arial"/>
                <w:sz w:val="18"/>
                <w:szCs w:val="18"/>
                <w:color w:val="auto"/>
              </w:rPr>
              <w:t>48</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0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0" w:lineRule="exact"/>
        <w:rPr>
          <w:sz w:val="20"/>
          <w:szCs w:val="20"/>
          <w:color w:val="auto"/>
        </w:rPr>
      </w:pPr>
    </w:p>
    <w:p>
      <w:pPr>
        <w:ind w:left="160" w:hanging="152"/>
        <w:spacing w:after="0"/>
        <w:tabs>
          <w:tab w:leader="none" w:pos="16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Omid Farokhzad, M.D. was our PEO for each year presented. The individuals comprising the Non-PEO NEOs for each year presented are listed below:</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200" w:type="dxa"/>
            <w:vAlign w:val="bottom"/>
            <w:tcBorders>
              <w:top w:val="single" w:sz="8" w:color="auto"/>
              <w:left w:val="single" w:sz="8" w:color="auto"/>
              <w:bottom w:val="single" w:sz="8" w:color="auto"/>
              <w:right w:val="single" w:sz="8" w:color="auto"/>
            </w:tcBorders>
          </w:tcPr>
          <w:p>
            <w:pPr>
              <w:jc w:val="right"/>
              <w:ind w:right="2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2023 - 2024</w:t>
            </w:r>
          </w:p>
        </w:tc>
      </w:tr>
      <w:tr>
        <w:trPr>
          <w:trHeight w:val="179"/>
        </w:trPr>
        <w:tc>
          <w:tcPr>
            <w:tcW w:w="5200" w:type="dxa"/>
            <w:vAlign w:val="bottom"/>
            <w:tcBorders>
              <w:top w:val="single" w:sz="8" w:color="auto"/>
              <w:left w:val="single" w:sz="8" w:color="auto"/>
              <w:bottom w:val="single" w:sz="8" w:color="auto"/>
              <w:right w:val="single" w:sz="8" w:color="auto"/>
            </w:tcBorders>
            <w:shd w:val="clear" w:color="auto" w:fill="CFF0FC"/>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David Horn</w:t>
            </w:r>
          </w:p>
        </w:tc>
        <w:tc>
          <w:tcPr>
            <w:tcW w:w="6040" w:type="dxa"/>
            <w:vAlign w:val="bottom"/>
            <w:tcBorders>
              <w:top w:val="single" w:sz="8" w:color="CFF0FC"/>
              <w:bottom w:val="single" w:sz="8" w:color="auto"/>
              <w:right w:val="single" w:sz="8" w:color="auto"/>
            </w:tcBorders>
            <w:shd w:val="clear" w:color="auto" w:fill="CFF0FC"/>
          </w:tcPr>
          <w:p>
            <w:pPr>
              <w:jc w:val="center"/>
              <w:spacing w:after="0" w:line="179" w:lineRule="exact"/>
              <w:rPr>
                <w:sz w:val="20"/>
                <w:szCs w:val="20"/>
                <w:color w:val="auto"/>
              </w:rPr>
            </w:pPr>
            <w:r>
              <w:rPr>
                <w:rFonts w:ascii="Times New Roman" w:cs="Times New Roman" w:eastAsia="Times New Roman" w:hAnsi="Times New Roman"/>
                <w:sz w:val="16"/>
                <w:szCs w:val="16"/>
                <w:color w:val="auto"/>
              </w:rPr>
              <w:t>David Horn</w:t>
            </w:r>
          </w:p>
        </w:tc>
      </w:tr>
      <w:tr>
        <w:trPr>
          <w:trHeight w:val="196"/>
        </w:trPr>
        <w:tc>
          <w:tcPr>
            <w:tcW w:w="5200" w:type="dxa"/>
            <w:vAlign w:val="bottom"/>
            <w:tcBorders>
              <w:left w:val="single" w:sz="8" w:color="auto"/>
              <w:bottom w:val="single" w:sz="8" w:color="auto"/>
              <w:right w:val="single" w:sz="8" w:color="auto"/>
            </w:tcBorders>
          </w:tcPr>
          <w:p>
            <w:pPr>
              <w:spacing w:after="0"/>
              <w:rPr>
                <w:sz w:val="17"/>
                <w:szCs w:val="17"/>
                <w:color w:val="auto"/>
              </w:rPr>
            </w:pPr>
          </w:p>
        </w:tc>
        <w:tc>
          <w:tcPr>
            <w:tcW w:w="6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Elona Kogan</w:t>
            </w:r>
          </w:p>
        </w:tc>
      </w:tr>
    </w:tbl>
    <w:p>
      <w:pPr>
        <w:spacing w:after="0" w:line="121" w:lineRule="exact"/>
        <w:rPr>
          <w:sz w:val="20"/>
          <w:szCs w:val="20"/>
          <w:color w:val="auto"/>
        </w:rPr>
      </w:pPr>
    </w:p>
    <w:p>
      <w:pPr>
        <w:jc w:val="both"/>
        <w:ind w:right="220" w:firstLine="8"/>
        <w:spacing w:after="0" w:line="490" w:lineRule="auto"/>
        <w:tabs>
          <w:tab w:leader="none" w:pos="167"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5" w:lineRule="exact"/>
        <w:rPr>
          <w:rFonts w:ascii="Times New Roman" w:cs="Times New Roman" w:eastAsia="Times New Roman" w:hAnsi="Times New Roman"/>
          <w:sz w:val="20"/>
          <w:szCs w:val="20"/>
          <w:color w:val="auto"/>
          <w:vertAlign w:val="superscript"/>
        </w:rPr>
      </w:pPr>
    </w:p>
    <w:p>
      <w:pPr>
        <w:ind w:right="380" w:firstLine="8"/>
        <w:spacing w:after="0" w:line="264" w:lineRule="auto"/>
        <w:tabs>
          <w:tab w:leader="none" w:pos="167"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vMerge w:val="restart"/>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4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4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Exclusion of Stock Awards and</w:t>
            </w:r>
          </w:p>
        </w:tc>
        <w:tc>
          <w:tcPr>
            <w:tcW w:w="2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73"/>
        </w:trPr>
        <w:tc>
          <w:tcPr>
            <w:tcW w:w="1520" w:type="dxa"/>
            <w:vAlign w:val="bottom"/>
            <w:vMerge w:val="continue"/>
          </w:tcPr>
          <w:p>
            <w:pPr>
              <w:spacing w:after="0"/>
              <w:rPr>
                <w:sz w:val="15"/>
                <w:szCs w:val="15"/>
                <w:color w:val="auto"/>
              </w:rPr>
            </w:pPr>
          </w:p>
        </w:tc>
        <w:tc>
          <w:tcPr>
            <w:tcW w:w="2640" w:type="dxa"/>
            <w:vAlign w:val="bottom"/>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Total for PEO ($)</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for PEO ($)</w:t>
            </w:r>
          </w:p>
        </w:tc>
        <w:tc>
          <w:tcPr>
            <w:tcW w:w="2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PEO ($)</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2025</w:t>
            </w:r>
          </w:p>
        </w:tc>
        <w:tc>
          <w:tcPr>
            <w:tcW w:w="26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1,205,710</w:t>
            </w:r>
          </w:p>
        </w:tc>
        <w:tc>
          <w:tcPr>
            <w:tcW w:w="24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(1,100,707)</w:t>
            </w:r>
          </w:p>
        </w:tc>
        <w:tc>
          <w:tcPr>
            <w:tcW w:w="2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105,003</w:t>
            </w:r>
          </w:p>
        </w:tc>
        <w:tc>
          <w:tcPr>
            <w:tcW w:w="0" w:type="dxa"/>
            <w:vAlign w:val="bottom"/>
          </w:tcPr>
          <w:p>
            <w:pPr>
              <w:spacing w:after="0"/>
              <w:rPr>
                <w:sz w:val="1"/>
                <w:szCs w:val="1"/>
                <w:color w:val="auto"/>
              </w:rPr>
            </w:pPr>
          </w:p>
        </w:tc>
      </w:tr>
      <w:tr>
        <w:trPr>
          <w:trHeight w:val="216"/>
        </w:trPr>
        <w:tc>
          <w:tcPr>
            <w:tcW w:w="152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2024</w:t>
            </w:r>
          </w:p>
        </w:tc>
        <w:tc>
          <w:tcPr>
            <w:tcW w:w="26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3,549,950</w:t>
            </w:r>
          </w:p>
        </w:tc>
        <w:tc>
          <w:tcPr>
            <w:tcW w:w="24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(2,360,377)</w:t>
            </w:r>
          </w:p>
        </w:tc>
        <w:tc>
          <w:tcPr>
            <w:tcW w:w="23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3,392,073</w:t>
            </w:r>
          </w:p>
        </w:tc>
        <w:tc>
          <w:tcPr>
            <w:tcW w:w="2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4,581,646</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2023</w:t>
            </w:r>
          </w:p>
        </w:tc>
        <w:tc>
          <w:tcPr>
            <w:tcW w:w="26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5,197,331</w:t>
            </w:r>
          </w:p>
        </w:tc>
        <w:tc>
          <w:tcPr>
            <w:tcW w:w="2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(4,015,530)</w:t>
            </w:r>
          </w:p>
        </w:tc>
        <w:tc>
          <w:tcPr>
            <w:tcW w:w="23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(1,318,463)</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(136,662)</w:t>
            </w:r>
          </w:p>
        </w:tc>
        <w:tc>
          <w:tcPr>
            <w:tcW w:w="0" w:type="dxa"/>
            <w:vAlign w:val="bottom"/>
          </w:tcPr>
          <w:p>
            <w:pPr>
              <w:spacing w:after="0"/>
              <w:rPr>
                <w:sz w:val="1"/>
                <w:szCs w:val="1"/>
                <w:color w:val="auto"/>
              </w:rPr>
            </w:pPr>
          </w:p>
        </w:tc>
      </w:tr>
      <w:tr>
        <w:trPr>
          <w:trHeight w:val="340"/>
        </w:trPr>
        <w:tc>
          <w:tcPr>
            <w:tcW w:w="1520" w:type="dxa"/>
            <w:vAlign w:val="bottom"/>
          </w:tcPr>
          <w:p>
            <w:pPr>
              <w:spacing w:after="0"/>
              <w:rPr>
                <w:sz w:val="24"/>
                <w:szCs w:val="24"/>
                <w:color w:val="auto"/>
              </w:rPr>
            </w:pPr>
          </w:p>
        </w:tc>
        <w:tc>
          <w:tcPr>
            <w:tcW w:w="264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4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3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1520" w:type="dxa"/>
            <w:vAlign w:val="bottom"/>
            <w:vMerge w:val="restart"/>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40" w:type="dxa"/>
            <w:vAlign w:val="bottom"/>
          </w:tcPr>
          <w:p>
            <w:pPr>
              <w:jc w:val="center"/>
              <w:ind w:left="15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 for</w:t>
            </w:r>
          </w:p>
        </w:tc>
        <w:tc>
          <w:tcPr>
            <w:tcW w:w="24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 Awards for</w:t>
            </w:r>
          </w:p>
        </w:tc>
        <w:tc>
          <w:tcPr>
            <w:tcW w:w="234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20" w:type="dxa"/>
            <w:vAlign w:val="bottom"/>
            <w:vMerge w:val="continue"/>
          </w:tcPr>
          <w:p>
            <w:pPr>
              <w:spacing w:after="0"/>
              <w:rPr>
                <w:sz w:val="15"/>
                <w:szCs w:val="15"/>
                <w:color w:val="auto"/>
              </w:rPr>
            </w:pPr>
          </w:p>
        </w:tc>
        <w:tc>
          <w:tcPr>
            <w:tcW w:w="2640" w:type="dxa"/>
            <w:vAlign w:val="bottom"/>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3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Values for Non-PEO NEOs ($)</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to Non-PEO NEOs ($)</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2025</w:t>
            </w:r>
          </w:p>
        </w:tc>
        <w:tc>
          <w:tcPr>
            <w:tcW w:w="26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744,805</w:t>
            </w:r>
          </w:p>
        </w:tc>
        <w:tc>
          <w:tcPr>
            <w:tcW w:w="24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(288,216)</w:t>
            </w:r>
          </w:p>
        </w:tc>
        <w:tc>
          <w:tcPr>
            <w:tcW w:w="2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456,589</w:t>
            </w:r>
          </w:p>
        </w:tc>
        <w:tc>
          <w:tcPr>
            <w:tcW w:w="0" w:type="dxa"/>
            <w:vAlign w:val="bottom"/>
          </w:tcPr>
          <w:p>
            <w:pPr>
              <w:spacing w:after="0"/>
              <w:rPr>
                <w:sz w:val="1"/>
                <w:szCs w:val="1"/>
                <w:color w:val="auto"/>
              </w:rPr>
            </w:pPr>
          </w:p>
        </w:tc>
      </w:tr>
      <w:tr>
        <w:trPr>
          <w:trHeight w:val="216"/>
        </w:trPr>
        <w:tc>
          <w:tcPr>
            <w:tcW w:w="152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2024</w:t>
            </w:r>
          </w:p>
        </w:tc>
        <w:tc>
          <w:tcPr>
            <w:tcW w:w="26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1,118,658</w:t>
            </w:r>
          </w:p>
        </w:tc>
        <w:tc>
          <w:tcPr>
            <w:tcW w:w="24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(601,024)</w:t>
            </w:r>
          </w:p>
        </w:tc>
        <w:tc>
          <w:tcPr>
            <w:tcW w:w="23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273,070</w:t>
            </w:r>
          </w:p>
        </w:tc>
        <w:tc>
          <w:tcPr>
            <w:tcW w:w="2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790,704</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2023</w:t>
            </w:r>
          </w:p>
        </w:tc>
        <w:tc>
          <w:tcPr>
            <w:tcW w:w="26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1,407,506</w:t>
            </w:r>
          </w:p>
        </w:tc>
        <w:tc>
          <w:tcPr>
            <w:tcW w:w="2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(788,760)</w:t>
            </w:r>
          </w:p>
        </w:tc>
        <w:tc>
          <w:tcPr>
            <w:tcW w:w="23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(939,638)</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(320,892)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 (the Company has not paid dividends historically as a public company and does not sponsor any pension arrangements; thus no adjustments are made for these items):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82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Year-End Fair Value</w:t>
            </w:r>
          </w:p>
        </w:tc>
        <w:tc>
          <w:tcPr>
            <w:tcW w:w="1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82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 Day</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82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Year</w:t>
            </w:r>
          </w:p>
        </w:tc>
        <w:tc>
          <w:tcPr>
            <w:tcW w:w="17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Vesting Date</w:t>
            </w:r>
          </w:p>
        </w:tc>
        <w:tc>
          <w:tcPr>
            <w:tcW w:w="16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82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That Remained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 Equity</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of Equity</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82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 Day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82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of Outstanding</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 Vested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2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for PEO</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Equity</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PEO</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 Year</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 PEO</w:t>
            </w:r>
          </w:p>
        </w:tc>
        <w:tc>
          <w:tcPr>
            <w:tcW w:w="0" w:type="dxa"/>
            <w:vAlign w:val="bottom"/>
          </w:tcPr>
          <w:p>
            <w:pPr>
              <w:spacing w:after="0"/>
              <w:rPr>
                <w:sz w:val="1"/>
                <w:szCs w:val="1"/>
                <w:color w:val="auto"/>
              </w:rPr>
            </w:pPr>
          </w:p>
        </w:tc>
      </w:tr>
      <w:tr>
        <w:trPr>
          <w:trHeight w:val="173"/>
        </w:trPr>
        <w:tc>
          <w:tcPr>
            <w:tcW w:w="1040" w:type="dxa"/>
            <w:vAlign w:val="bottom"/>
            <w:vMerge w:val="continue"/>
          </w:tcPr>
          <w:p>
            <w:pPr>
              <w:spacing w:after="0"/>
              <w:rPr>
                <w:sz w:val="15"/>
                <w:szCs w:val="15"/>
                <w:color w:val="auto"/>
              </w:rPr>
            </w:pPr>
          </w:p>
        </w:tc>
        <w:tc>
          <w:tcPr>
            <w:tcW w:w="182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for PEO ($)</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72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820" w:type="dxa"/>
            <w:vAlign w:val="bottom"/>
            <w:shd w:val="clear" w:color="auto" w:fill="CFF0FC"/>
          </w:tcPr>
          <w:p>
            <w:pPr>
              <w:jc w:val="center"/>
              <w:ind w:left="123"/>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(1,107,996)</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FF0FC"/>
          </w:tcPr>
          <w:p>
            <w:pPr>
              <w:jc w:val="center"/>
              <w:ind w:left="3"/>
              <w:spacing w:after="0"/>
              <w:rPr>
                <w:sz w:val="20"/>
                <w:szCs w:val="20"/>
                <w:color w:val="auto"/>
              </w:rPr>
            </w:pPr>
            <w:r>
              <w:rPr>
                <w:rFonts w:ascii="Times New Roman" w:cs="Times New Roman" w:eastAsia="Times New Roman" w:hAnsi="Times New Roman"/>
                <w:sz w:val="18"/>
                <w:szCs w:val="18"/>
                <w:color w:val="auto"/>
                <w:w w:val="98"/>
              </w:rPr>
              <w:t>7,289</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(1,100,707)</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20" w:type="dxa"/>
            <w:vAlign w:val="bottom"/>
          </w:tcPr>
          <w:p>
            <w:pPr>
              <w:jc w:val="center"/>
              <w:ind w:left="143"/>
              <w:spacing w:after="0"/>
              <w:rPr>
                <w:sz w:val="20"/>
                <w:szCs w:val="20"/>
                <w:color w:val="auto"/>
              </w:rPr>
            </w:pPr>
            <w:r>
              <w:rPr>
                <w:rFonts w:ascii="Times New Roman" w:cs="Times New Roman" w:eastAsia="Times New Roman" w:hAnsi="Times New Roman"/>
                <w:sz w:val="18"/>
                <w:szCs w:val="18"/>
                <w:color w:val="auto"/>
                <w:w w:val="99"/>
              </w:rPr>
              <w:t>2,996,803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451,882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(56,612)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3,392,073</w:t>
            </w:r>
          </w:p>
        </w:tc>
        <w:tc>
          <w:tcPr>
            <w:tcW w:w="0" w:type="dxa"/>
            <w:vAlign w:val="bottom"/>
          </w:tcPr>
          <w:p>
            <w:pPr>
              <w:spacing w:after="0"/>
              <w:rPr>
                <w:sz w:val="1"/>
                <w:szCs w:val="1"/>
                <w:color w:val="auto"/>
              </w:rPr>
            </w:pPr>
          </w:p>
        </w:tc>
      </w:tr>
      <w:tr>
        <w:trPr>
          <w:trHeight w:val="216"/>
        </w:trPr>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20" w:type="dxa"/>
            <w:vAlign w:val="bottom"/>
            <w:shd w:val="clear" w:color="auto" w:fill="CFF0FC"/>
          </w:tcPr>
          <w:p>
            <w:pPr>
              <w:jc w:val="center"/>
              <w:ind w:left="143"/>
              <w:spacing w:after="0"/>
              <w:rPr>
                <w:sz w:val="20"/>
                <w:szCs w:val="20"/>
                <w:color w:val="auto"/>
              </w:rPr>
            </w:pPr>
            <w:r>
              <w:rPr>
                <w:rFonts w:ascii="Times New Roman" w:cs="Times New Roman" w:eastAsia="Times New Roman" w:hAnsi="Times New Roman"/>
                <w:sz w:val="18"/>
                <w:szCs w:val="18"/>
                <w:color w:val="auto"/>
                <w:w w:val="99"/>
              </w:rPr>
              <w:t>1,542,178</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(1,645,982)</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FF0FC"/>
          </w:tcPr>
          <w:p>
            <w:pPr>
              <w:jc w:val="center"/>
              <w:ind w:left="3"/>
              <w:spacing w:after="0"/>
              <w:rPr>
                <w:sz w:val="20"/>
                <w:szCs w:val="20"/>
                <w:color w:val="auto"/>
              </w:rPr>
            </w:pPr>
            <w:r>
              <w:rPr>
                <w:rFonts w:ascii="Times New Roman" w:cs="Times New Roman" w:eastAsia="Times New Roman" w:hAnsi="Times New Roman"/>
                <w:sz w:val="18"/>
                <w:szCs w:val="18"/>
                <w:color w:val="auto"/>
                <w:w w:val="99"/>
              </w:rPr>
              <w:t>(1,214,659)</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(1,318,463)</w:t>
            </w:r>
          </w:p>
        </w:tc>
        <w:tc>
          <w:tcPr>
            <w:tcW w:w="0" w:type="dxa"/>
            <w:vAlign w:val="bottom"/>
          </w:tcPr>
          <w:p>
            <w:pPr>
              <w:spacing w:after="0"/>
              <w:rPr>
                <w:sz w:val="1"/>
                <w:szCs w:val="1"/>
                <w:color w:val="auto"/>
              </w:rPr>
            </w:pPr>
          </w:p>
        </w:tc>
      </w:tr>
      <w:tr>
        <w:trPr>
          <w:trHeight w:val="652"/>
        </w:trPr>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jc w:val="right"/>
              <w:ind w:right="401"/>
              <w:spacing w:after="0"/>
              <w:rPr>
                <w:sz w:val="20"/>
                <w:szCs w:val="20"/>
                <w:color w:val="auto"/>
              </w:rPr>
            </w:pPr>
            <w:r>
              <w:rPr>
                <w:rFonts w:ascii="Arial" w:cs="Arial" w:eastAsia="Arial" w:hAnsi="Arial"/>
                <w:sz w:val="18"/>
                <w:szCs w:val="18"/>
                <w:color w:val="auto"/>
              </w:rPr>
              <w:t>49</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0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900" w:type="dxa"/>
            <w:vAlign w:val="bottom"/>
            <w:vMerge w:val="restart"/>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Average Year-End</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7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720" w:type="dxa"/>
            <w:vAlign w:val="bottom"/>
            <w:vMerge w:val="restart"/>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Average Fair Value at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900" w:type="dxa"/>
            <w:vAlign w:val="bottom"/>
          </w:tcPr>
          <w:p>
            <w:pPr>
              <w:jc w:val="center"/>
              <w:ind w:left="43"/>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Vesting-Date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7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90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70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90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7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90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Remained Outstanding</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7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90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as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 Vested</w:t>
            </w:r>
          </w:p>
        </w:tc>
        <w:tc>
          <w:tcPr>
            <w:tcW w:w="17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that Forfeited During</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Equity</w:t>
            </w:r>
          </w:p>
        </w:tc>
        <w:tc>
          <w:tcPr>
            <w:tcW w:w="0" w:type="dxa"/>
            <w:vAlign w:val="bottom"/>
          </w:tcPr>
          <w:p>
            <w:pPr>
              <w:spacing w:after="0"/>
              <w:rPr>
                <w:sz w:val="1"/>
                <w:szCs w:val="1"/>
                <w:color w:val="auto"/>
              </w:rPr>
            </w:pPr>
          </w:p>
        </w:tc>
      </w:tr>
      <w:tr>
        <w:trPr>
          <w:trHeight w:val="14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90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for</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7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 Non-PEO</w:t>
            </w:r>
          </w:p>
        </w:tc>
        <w:tc>
          <w:tcPr>
            <w:tcW w:w="0" w:type="dxa"/>
            <w:vAlign w:val="bottom"/>
          </w:tcPr>
          <w:p>
            <w:pPr>
              <w:spacing w:after="0"/>
              <w:rPr>
                <w:sz w:val="1"/>
                <w:szCs w:val="1"/>
                <w:color w:val="auto"/>
              </w:rPr>
            </w:pPr>
          </w:p>
        </w:tc>
      </w:tr>
      <w:tr>
        <w:trPr>
          <w:trHeight w:val="173"/>
        </w:trPr>
        <w:tc>
          <w:tcPr>
            <w:tcW w:w="1020" w:type="dxa"/>
            <w:vAlign w:val="bottom"/>
            <w:vMerge w:val="continue"/>
          </w:tcPr>
          <w:p>
            <w:pPr>
              <w:spacing w:after="0"/>
              <w:rPr>
                <w:sz w:val="15"/>
                <w:szCs w:val="15"/>
                <w:color w:val="auto"/>
              </w:rPr>
            </w:pPr>
          </w:p>
        </w:tc>
        <w:tc>
          <w:tcPr>
            <w:tcW w:w="190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 NEOs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900" w:type="dxa"/>
            <w:vAlign w:val="bottom"/>
            <w:shd w:val="clear" w:color="auto" w:fill="CFF0FC"/>
          </w:tcPr>
          <w:p>
            <w:pPr>
              <w:jc w:val="center"/>
              <w:ind w:left="83"/>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(260,227)</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(27,989)</w:t>
            </w: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(288,216)</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900" w:type="dxa"/>
            <w:vAlign w:val="bottom"/>
          </w:tcPr>
          <w:p>
            <w:pPr>
              <w:jc w:val="center"/>
              <w:ind w:left="83"/>
              <w:spacing w:after="0"/>
              <w:rPr>
                <w:sz w:val="20"/>
                <w:szCs w:val="20"/>
                <w:color w:val="auto"/>
              </w:rPr>
            </w:pPr>
            <w:r>
              <w:rPr>
                <w:rFonts w:ascii="Times New Roman" w:cs="Times New Roman" w:eastAsia="Times New Roman" w:hAnsi="Times New Roman"/>
                <w:sz w:val="18"/>
                <w:szCs w:val="18"/>
                <w:color w:val="auto"/>
                <w:w w:val="99"/>
              </w:rPr>
              <w:t>427,600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64,266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(18,866)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(199,930)</w:t>
            </w:r>
          </w:p>
        </w:tc>
        <w:tc>
          <w:tcPr>
            <w:tcW w:w="1600" w:type="dxa"/>
            <w:vAlign w:val="bottom"/>
          </w:tcPr>
          <w:p>
            <w:pPr>
              <w:jc w:val="right"/>
              <w:ind w:right="400"/>
              <w:spacing w:after="0"/>
              <w:rPr>
                <w:sz w:val="20"/>
                <w:szCs w:val="20"/>
                <w:color w:val="auto"/>
              </w:rPr>
            </w:pPr>
            <w:r>
              <w:rPr>
                <w:rFonts w:ascii="Times New Roman" w:cs="Times New Roman" w:eastAsia="Times New Roman" w:hAnsi="Times New Roman"/>
                <w:sz w:val="18"/>
                <w:szCs w:val="18"/>
                <w:color w:val="auto"/>
              </w:rPr>
              <w:t>273,070</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900" w:type="dxa"/>
            <w:vAlign w:val="bottom"/>
            <w:shd w:val="clear" w:color="auto" w:fill="CFF0FC"/>
          </w:tcPr>
          <w:p>
            <w:pPr>
              <w:jc w:val="center"/>
              <w:ind w:left="83"/>
              <w:spacing w:after="0"/>
              <w:rPr>
                <w:sz w:val="20"/>
                <w:szCs w:val="20"/>
                <w:color w:val="auto"/>
              </w:rPr>
            </w:pPr>
            <w:r>
              <w:rPr>
                <w:rFonts w:ascii="Times New Roman" w:cs="Times New Roman" w:eastAsia="Times New Roman" w:hAnsi="Times New Roman"/>
                <w:sz w:val="18"/>
                <w:szCs w:val="18"/>
                <w:color w:val="auto"/>
                <w:w w:val="99"/>
              </w:rPr>
              <w:t>299,987</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(733,276)</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(506,349)</w:t>
            </w: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(939,638)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0" w:firstLine="8"/>
        <w:spacing w:after="0" w:line="254" w:lineRule="auto"/>
        <w:tabs>
          <w:tab w:leader="none" w:pos="167"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Assumes $100 was invested in the Company for the period starting December 31, 2022, through the end of the listed year. Historical stock performance is not necessarily indicative of future stock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Company Total Shareholder Return (TSR)</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131445</wp:posOffset>
            </wp:positionV>
            <wp:extent cx="5254625" cy="2974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54625"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Net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114300</wp:posOffset>
            </wp:positionV>
            <wp:extent cx="5417820" cy="2922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1782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 OVERVIEW</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June 30, 2025, we qualify as a smaller reporting company and therefore this section includes disclosures on a voluntary basis given our status as a smaller reporting company and in recognition of the advisory vote on the compensation of our named executive officers being conducted at our 2026 annual meeting of shareholders.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Named Executive Officer Compensation Overview (NEOCO) describes the philosophy, objectives, and structure of our 2025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information set forth elsewhere in this proxy, including the executive compensation tables further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2025 were as follows:</w:t>
      </w:r>
    </w:p>
    <w:p>
      <w:pPr>
        <w:spacing w:after="0" w:line="225"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 M.D., our Chief Executive Officer and Chair of our board of directors (CEO); and</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Horn, our President and Chief Financial Officer (CFO).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7060" w:type="dxa"/>
            <w:vAlign w:val="bottom"/>
          </w:tcPr>
          <w:p>
            <w:pPr>
              <w:jc w:val="right"/>
              <w:ind w:right="4733"/>
              <w:spacing w:after="0"/>
              <w:rPr>
                <w:sz w:val="20"/>
                <w:szCs w:val="20"/>
                <w:color w:val="auto"/>
              </w:rPr>
            </w:pPr>
            <w:r>
              <w:rPr>
                <w:rFonts w:ascii="Times New Roman" w:cs="Times New Roman" w:eastAsia="Times New Roman" w:hAnsi="Times New Roman"/>
                <w:sz w:val="14"/>
                <w:szCs w:val="14"/>
                <w:b w:val="1"/>
                <w:bCs w:val="1"/>
                <w:color w:val="auto"/>
              </w:rPr>
              <w:t>NEOCO Reference Guide</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Summary</w:t>
            </w:r>
          </w:p>
        </w:tc>
        <w:tc>
          <w:tcPr>
            <w:tcW w:w="7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II</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Determination Process</w:t>
            </w:r>
          </w:p>
        </w:tc>
        <w:tc>
          <w:tcPr>
            <w:tcW w:w="7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III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 Components of Our Compensation Program</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IV</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Compensation Policies and Practices</w:t>
            </w:r>
          </w:p>
        </w:tc>
        <w:tc>
          <w:tcPr>
            <w:tcW w:w="7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V</w:t>
            </w:r>
          </w:p>
        </w:tc>
      </w:tr>
      <w:tr>
        <w:trPr>
          <w:trHeight w:val="47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 Executive Summary</w:t>
            </w:r>
          </w:p>
        </w:tc>
        <w:tc>
          <w:tcPr>
            <w:tcW w:w="706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Business and Financial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highlights for 2025 include:</w:t>
      </w:r>
    </w:p>
    <w:p>
      <w:pPr>
        <w:spacing w:after="0" w:line="225" w:lineRule="exact"/>
        <w:rPr>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revenue (measured on a GAAP basis) of $16.6 million for the full year 2025;</w:t>
      </w:r>
    </w:p>
    <w:p>
      <w:pPr>
        <w:spacing w:after="0" w:line="171"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installed base to 82 instruments, representing 67% year-over-year growth, with 33 total instruments installed during the full year 2025;</w:t>
      </w:r>
    </w:p>
    <w:p>
      <w:pPr>
        <w:spacing w:after="0" w:line="10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cumulative peer-reviewed publications, preprints and reviews to 70 in 2025 from 36 in 2024; and</w:t>
      </w:r>
    </w:p>
    <w:p>
      <w:pPr>
        <w:spacing w:after="0" w:line="171"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Returned capital to shareholder by repurchasing approximately 5.3 million shares of our Class A common stock at an average cost of $1.93 per share during the full year 2025, reducing net common shares outstanding by approximately 13%.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2025 Pay Decisions and Outcomes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seek to reward our named executive officers with competitive compensation packages that directly align pay with Company performance and with our stockholders' interests. The caliber of our performance in the areas of key milestones drives our compensation structure, specifically the degree to which named executive officers are granted equity and earn bonuses. Our talent and compensation committee regularly reviews our program design and actual pay outcomes to ensure that a meaningful portion of executive compensation is at risk and tied to the achievement of our financial, operational, and strategic objectives, taking into account our growth stage and evolving business profile. In line with our growth in 2025, the talent and compensation committee considered how our incentives provided appropriate levels of compensation considering our performance and growth stage.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decisions include:</w:t>
      </w:r>
    </w:p>
    <w:p>
      <w:pPr>
        <w:spacing w:after="0" w:line="22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Performance-based Bonuses </w:t>
      </w:r>
      <w:r>
        <w:rPr>
          <w:rFonts w:ascii="Times New Roman" w:cs="Times New Roman" w:eastAsia="Times New Roman" w:hAnsi="Times New Roman"/>
          <w:sz w:val="18"/>
          <w:szCs w:val="18"/>
          <w:color w:val="auto"/>
        </w:rPr>
        <w:t>– An annual bonus was paid to our named executive officers based on the achievement of corporate goals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important pre-established financial, commercial, product development, research and organizational milestones goals, most of which were successfully met and other considerations that our talent and compensation committee determined to be relevant to the achievement of our goals.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 The talent and compensation committee elected to forego new equity grants for the named executive officers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executive team in 2025. This decision reflects the reinvigoration of the incentive and retention value of our stock options as a result of the October 2024 stock option repricing and reduction in the hurdle amounts applicable to performance-based stock options, which the Committee believes remained an appropriate incentive for that period. The talent and compensation committee will continue to evaluate the timing, form, and size of future equity grants in light of Company performance, market practices, retention considerations and the need to maintain a robust, performance-oriented long-term incentive program for our leadership team.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Pay Mix</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and this pay mix may differ from year to year, or executive to executive, based on the talent and compensation committee’s assessment of our compensation program goals at that time and for the applicable individual. In considering the appropriate balance between various components of compensation, the talent and compensation committee considers many factors, which may change based on company performance, market factors and company objectives, among other considerations. Historically, a significant portion of our executives’ compensation typically is at-risk, performance-based compensation, in the form of long-term equity awards, and annual cash incentives that are only earned to the extent we achieve the various applicable corporate goals. In 2025, the talent and compensation committee decided that the repricing of named executive officer stock options in 2024 resulted in our named executive officers’ holding significant and sufficient at-risk, long-term incentives, and chose not to award any new equity grants for the named executive officers at that time. Therefore, for 2025, our named executive officer compensation was limited to annual performance-based cash incentives and base salary.</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Compensation Philosophy and Objectives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believes that executive compensation should be linked to our overall performance and strategic success.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spacing w:after="0" w:line="180"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performance that supports achievement of our corporate goals;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incentives with stockholder interests through the grant of long-term incentives;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performance and contributions towards achievement of measurable targets and a shared set of critical strategic priorities.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as developed and implemented achieves these objectives and is appropriate for a company in our industry and at our stage of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Compensation Determination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talent and compensation committee</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talent and compensation committee is responsible for the executive compensation programs for our executive officers and regularly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relative to such performance objectives and other factors they deem appropriate, and evaluating the competitiveness of our executive compensation program, which may include reviewing and approving any peer group for comparison purposes.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typically reviews and considers the recommendations of our CEO regarding the compensation of any named executive officers other than himself, which for 2025 consisted solely of Mr. Horn, any recommendations provided by other members of management, the talent and compensation committee’s independent compensation consultant, and any other data or factors that the talent and compensation committee deems relevant to its assessment and determinations.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2025, Mr. McGuire served as the chair of the talent and compensation committee and Mr. Hallal and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Roelofs served as members of the talent and compensation committee. Mr. Hallal left our board of directors on July 8,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of Say-on-Pay Results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2022 Annual Meeting of Stockholders, our stockholders approved, on a non-binding advisory vote basis, submission of the compensation of our named executive officers to a non-binding advisory vote of our stockholders (commonly referred to as a “say-on-pay” vote) every three years. Our first say-on-pay vote was conducted at our 2023 Annual Meeting of Stockholders and our stockholders approved, on a non-binding advisory basis, the compensation of our named executive officers, as disclosed in our 2023 proxy statement. The proposal was supported by approximately 83% of the total votes cast, not including abstentions. Many of the decisions relating to designing and setting the executive compensation for 2023 occurred prior to the vote at such annual meeting. Notwithstanding, our talent and compensation committee took the say-on-pay voting results into account and we continue to emphasize our performance-based pay philosophy in our executive officer compensation program and our overall compensation philosophy. The next say-on-pay vote after our 2026 Annual Meeting of Stockholders is scheduled to occur at the 2029 Annual Meeting of Stockholders.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Chief Executive Officer and Management</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CEO provides the talent and compensation committee with input and recommendations related to the compensation of our other named executive officers, which for 2025 was only David Horn, and any other executive officers who report to our CEO, including regarding short-term and long-term compensation for all executive officers (other than himself) based on our results and such other factors as he deems relevant. Our CEO does not make recommendations as to his own compensation. The CEO does not participate in, and is not present during, any deliberations or determinations of the talent and compensation committee or our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Compensation Consultant</w:t>
      </w:r>
    </w:p>
    <w:p>
      <w:pPr>
        <w:spacing w:after="0" w:line="227"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Our talent and compensation committee is authorized to retain the services of one or more executive compensation advisors, as it sees fit, in connection with the establishment of our compensation programs and related policies. In 2025, our talent and compensation committee continued to retain Aon's Human Capital Solutions practice, a division of Aon plc (Aon), to provide it with information, recommendations and other advice relating to executive compensation on an ongoing basis. Aon serves at the discretion of our talent and compensation committee. As part of its engagement, Aon assists our talent and compensation committee in developing a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 and that Aon was independent.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a peer group to provide a broad perspective on competitive pay levels and practices.</w:t>
      </w:r>
    </w:p>
    <w:p>
      <w:pPr>
        <w:spacing w:after="0" w:line="22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our 2025 peer group, the talent and compensation committee, with assistance from Aon, reviewed companies with respect to sector, stage of development, revenue, and market capitalization. In guiding the talent and compensation committee in identifying the companies that comprised the 2025 peer group, the talent and compensation committee considered the following key factors and parameters:</w:t>
      </w:r>
    </w:p>
    <w:p>
      <w:pPr>
        <w:spacing w:after="0" w:line="176" w:lineRule="exact"/>
        <w:rPr>
          <w:sz w:val="20"/>
          <w:szCs w:val="20"/>
          <w:color w:val="auto"/>
        </w:rPr>
      </w:pPr>
    </w:p>
    <w:p>
      <w:pPr>
        <w:ind w:left="114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Sector – pharmaceutical, biotechnology and life science companies, as well as healthcare equipment and services companies, generally with a primary focus on medical device/technology and a secondary focus on early commercial biotechnology companies.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 generally, less than $200 million in revenue.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 $40 million to $400 million market capitalization range.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 generally, companies with between 40 and 400 employees.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Based on the above criteria, the talent and compensation committee in October 2024 selected the following peer group of 20 companies that informed pay decisions for 2025:</w:t>
      </w:r>
    </w:p>
    <w:p>
      <w:pPr>
        <w:spacing w:after="0" w:line="325" w:lineRule="exact"/>
        <w:rPr>
          <w:sz w:val="20"/>
          <w:szCs w:val="20"/>
          <w:color w:val="auto"/>
        </w:rPr>
      </w:pPr>
    </w:p>
    <w:tbl>
      <w:tblPr>
        <w:tblLayout w:type="fixed"/>
        <w:tblInd w:w="1240" w:type="dxa"/>
        <w:tblCellMar>
          <w:top w:w="0" w:type="dxa"/>
          <w:left w:w="0" w:type="dxa"/>
          <w:bottom w:w="0" w:type="dxa"/>
          <w:right w:w="0" w:type="dxa"/>
        </w:tblCellMar>
      </w:tblPr>
      <w:tr>
        <w:trPr>
          <w:trHeight w:val="27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Aadi Bioscience, Inc. (AADI)</w:t>
            </w:r>
            <w:r>
              <w:rPr>
                <w:rFonts w:ascii="Times New Roman" w:cs="Times New Roman" w:eastAsia="Times New Roman" w:hAnsi="Times New Roman"/>
                <w:sz w:val="24"/>
                <w:szCs w:val="24"/>
                <w:color w:val="auto"/>
                <w:vertAlign w:val="superscript"/>
              </w:rPr>
              <w:t>(1)</w:t>
            </w:r>
          </w:p>
        </w:tc>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MacroGenics Inc. (MGNX)</w:t>
            </w:r>
            <w:r>
              <w:rPr>
                <w:rFonts w:ascii="Times New Roman" w:cs="Times New Roman" w:eastAsia="Times New Roman" w:hAnsi="Times New Roman"/>
                <w:sz w:val="24"/>
                <w:szCs w:val="24"/>
                <w:color w:val="auto"/>
                <w:vertAlign w:val="superscript"/>
              </w:rPr>
              <w:t>(1)</w:t>
            </w:r>
          </w:p>
        </w:tc>
      </w:tr>
      <w:tr>
        <w:trPr>
          <w:trHeight w:val="236"/>
        </w:trPr>
        <w:tc>
          <w:tcPr>
            <w:tcW w:w="41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Absci Corporation (ABSI)</w:t>
            </w:r>
            <w:r>
              <w:rPr>
                <w:rFonts w:ascii="Times New Roman" w:cs="Times New Roman" w:eastAsia="Times New Roman" w:hAnsi="Times New Roman"/>
                <w:sz w:val="24"/>
                <w:szCs w:val="24"/>
                <w:color w:val="auto"/>
                <w:vertAlign w:val="superscript"/>
              </w:rPr>
              <w:t>(1)</w:t>
            </w:r>
          </w:p>
        </w:tc>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Personalis, Inc. (PSNL)</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Adaptive Biotechnologies Corporation (ADPT)</w:t>
            </w:r>
          </w:p>
        </w:tc>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Quanterix Corporation (QTRX)</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Akoya Biosciences, Inc. (AKYA)</w:t>
            </w:r>
          </w:p>
        </w:tc>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Quantum-Si Incorporated (QSI)</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Alector, Inc. (ALEC)</w:t>
            </w:r>
          </w:p>
        </w:tc>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Rapid Micro Biosystems, Inc. (RPID)</w:t>
            </w:r>
          </w:p>
        </w:tc>
      </w:tr>
      <w:tr>
        <w:trPr>
          <w:trHeight w:val="196"/>
        </w:trPr>
        <w:tc>
          <w:tcPr>
            <w:tcW w:w="4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Bionano Genomics, Inc. (BNGO)</w:t>
            </w:r>
          </w:p>
        </w:tc>
        <w:tc>
          <w:tcPr>
            <w:tcW w:w="344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rPr>
              <w:t>RAPT Therapeutics, Inc. (RAPT)</w:t>
            </w:r>
          </w:p>
        </w:tc>
      </w:t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Butterfly Network, Inc. (BFLY)</w:t>
            </w:r>
          </w:p>
        </w:tc>
        <w:tc>
          <w:tcPr>
            <w:tcW w:w="3440" w:type="dxa"/>
            <w:vAlign w:val="bottom"/>
          </w:tcPr>
          <w:p>
            <w:pPr>
              <w:ind w:left="720"/>
              <w:spacing w:after="0" w:line="236" w:lineRule="exact"/>
              <w:rPr>
                <w:sz w:val="20"/>
                <w:szCs w:val="20"/>
                <w:color w:val="auto"/>
              </w:rPr>
            </w:pPr>
            <w:r>
              <w:rPr>
                <w:rFonts w:ascii="Times New Roman" w:cs="Times New Roman" w:eastAsia="Times New Roman" w:hAnsi="Times New Roman"/>
                <w:sz w:val="18"/>
                <w:szCs w:val="18"/>
                <w:color w:val="auto"/>
              </w:rPr>
              <w:t>Senseonics Holdings Inc. (SENS)</w:t>
            </w:r>
            <w:r>
              <w:rPr>
                <w:rFonts w:ascii="Times New Roman" w:cs="Times New Roman" w:eastAsia="Times New Roman" w:hAnsi="Times New Roman"/>
                <w:sz w:val="24"/>
                <w:szCs w:val="24"/>
                <w:color w:val="auto"/>
                <w:vertAlign w:val="superscript"/>
              </w:rPr>
              <w:t>(1)</w:t>
            </w:r>
          </w:p>
        </w:tc>
      </w:tr>
      <w:tr>
        <w:trPr>
          <w:trHeight w:val="196"/>
        </w:trPr>
        <w:tc>
          <w:tcPr>
            <w:tcW w:w="4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Codexis, Inc. (CDXS)</w:t>
            </w:r>
          </w:p>
        </w:tc>
        <w:tc>
          <w:tcPr>
            <w:tcW w:w="344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rPr>
              <w:t>SI-BONE, Inc. (SIBN)</w:t>
            </w: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Hyperfine Inc. (HYPR)</w:t>
            </w:r>
            <w:r>
              <w:rPr>
                <w:rFonts w:ascii="Times New Roman" w:cs="Times New Roman" w:eastAsia="Times New Roman" w:hAnsi="Times New Roman"/>
                <w:sz w:val="24"/>
                <w:szCs w:val="24"/>
                <w:color w:val="auto"/>
                <w:vertAlign w:val="superscript"/>
              </w:rPr>
              <w:t>(1)</w:t>
            </w:r>
          </w:p>
        </w:tc>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Standard BioTools Inc. (LAB)</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Kodiak Sciences Inc. (KOD)</w:t>
            </w:r>
          </w:p>
        </w:tc>
        <w:tc>
          <w:tcPr>
            <w:tcW w:w="3440" w:type="dxa"/>
            <w:vAlign w:val="bottom"/>
          </w:tcPr>
          <w:p>
            <w:pPr>
              <w:ind w:left="720"/>
              <w:spacing w:after="0" w:line="225" w:lineRule="exact"/>
              <w:rPr>
                <w:sz w:val="20"/>
                <w:szCs w:val="20"/>
                <w:color w:val="auto"/>
              </w:rPr>
            </w:pPr>
            <w:r>
              <w:rPr>
                <w:rFonts w:ascii="Times New Roman" w:cs="Times New Roman" w:eastAsia="Times New Roman" w:hAnsi="Times New Roman"/>
                <w:sz w:val="18"/>
                <w:szCs w:val="18"/>
                <w:color w:val="auto"/>
              </w:rPr>
              <w:t>X4 Pharmaceuticals Inc. (XFOR)</w:t>
            </w:r>
            <w:r>
              <w:rPr>
                <w:rFonts w:ascii="Times New Roman" w:cs="Times New Roman" w:eastAsia="Times New Roman" w:hAnsi="Times New Roman"/>
                <w:sz w:val="24"/>
                <w:szCs w:val="24"/>
                <w:color w:val="auto"/>
                <w:vertAlign w:val="superscript"/>
              </w:rPr>
              <w:t>(1)</w:t>
            </w:r>
          </w:p>
        </w:tc>
      </w:tr>
    </w:tbl>
    <w:p>
      <w:pPr>
        <w:ind w:left="1400" w:hanging="161"/>
        <w:spacing w:after="0" w:line="235" w:lineRule="auto"/>
        <w:tabs>
          <w:tab w:leader="none" w:pos="1400" w:val="left"/>
        </w:tabs>
        <w:numPr>
          <w:ilvl w:val="0"/>
          <w:numId w:val="51"/>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Addition to our peer group for 2025.</w:t>
      </w:r>
    </w:p>
    <w:p>
      <w:pPr>
        <w:spacing w:after="0" w:line="2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or consistency of the peer group or companies against which we compete for talent.</w:t>
      </w:r>
    </w:p>
    <w:p>
      <w:pPr>
        <w:spacing w:after="0" w:line="12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talent and compensation committee conducts an annual review of the peer group to ensure that the underlying criteria for peer selection remain appropriate, ensuring that we consider companies that have profiles similar to us, identifying new companies that may be appropriate for inclusion (as indicated above) and removing companies that have been acquired in the interim or that no longer satisfy the key metrics and parameters (for the peer group used for fiscal 2025, the following companies were removed for these reasons: Castle Biosciences, Nanostring Technologies, Silk Road Medical, SomaLogic, Twist Bioscience and Veracyte).</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2025, the talent and compensation committee approved, with assistance from Aon, an updated peer group to inform 2026 compensation decisions. This updated peer group was comprised of the same companies as the 2025 peer group noted above, except that, in order to align with our then current company profile and parameters for our peer group, Cytek Biosciences, MaxCyte and OmniAb were added, while Aadi Bioscience, Adaptive Biotechnologies, Akoya Biosciences and Bionano Genomics were removed.</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starting point, the talent and compensation committee set target cash compensation, when considering salary and bonus potential, after reviewing varying percentiles of compensation paid to executives within our compensation peer group, with generally greater focus on the median. We may deviate from setting actual compensation levels at levels comparable to our peer group companies given that our talent and compensation committee considers other factors that it deems appropriate, including for example our executives’ experience, performance levels, scope of responsibilities, tenure, and existing vested and unvested equity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246370" cy="22028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4637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talent and compensation committee regularly reviews best practices in executive compensation and uses the following guidelines to design our compensation programs:</w:t>
      </w:r>
    </w:p>
    <w:p>
      <w:pPr>
        <w:spacing w:after="0" w:line="50" w:lineRule="exact"/>
        <w:rPr>
          <w:sz w:val="20"/>
          <w:szCs w:val="20"/>
          <w:color w:val="auto"/>
        </w:rPr>
      </w:pPr>
    </w:p>
    <w:p>
      <w:pPr>
        <w:ind w:left="1140" w:hanging="383"/>
        <w:spacing w:after="0" w:line="273" w:lineRule="auto"/>
        <w:tabs>
          <w:tab w:leader="none" w:pos="1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Maintain independent compensation committee and engage an independent compensation consultant: </w:t>
      </w:r>
      <w:r>
        <w:rPr>
          <w:rFonts w:ascii="Times New Roman" w:cs="Times New Roman" w:eastAsia="Times New Roman" w:hAnsi="Times New Roman"/>
          <w:sz w:val="17"/>
          <w:szCs w:val="17"/>
          <w:color w:val="auto"/>
        </w:rPr>
        <w:t>It is important for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to have confidence that individuals serving on our talent and compensation committee are independent directors and that independent directors do not have a relationship with the listed Company that would impair their independence. The independence of each member of our talent and compensation committee is reviewed annually. Each member of our talent and compensation committee has been deemed to be independent in accordance with Nasdaq listing standards. Additionally, our talent and compensation committee engages its own independent compensation consultant, which provides the talent and compensation committee with valuable data regarding market compensation trends and provides guidance to the talent and compensation committee about executive compensation programs.</w:t>
      </w:r>
    </w:p>
    <w:p>
      <w:pPr>
        <w:spacing w:after="0" w:line="63" w:lineRule="exact"/>
        <w:rPr>
          <w:rFonts w:ascii="Times New Roman" w:cs="Times New Roman" w:eastAsia="Times New Roman" w:hAnsi="Times New Roman"/>
          <w:sz w:val="17"/>
          <w:szCs w:val="17"/>
          <w:color w:val="auto"/>
        </w:rPr>
      </w:pPr>
    </w:p>
    <w:p>
      <w:pPr>
        <w:ind w:left="1140" w:right="740" w:hanging="383"/>
        <w:spacing w:after="0" w:line="28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assessment</w:t>
      </w:r>
      <w:r>
        <w:rPr>
          <w:rFonts w:ascii="Times New Roman" w:cs="Times New Roman" w:eastAsia="Times New Roman" w:hAnsi="Times New Roman"/>
          <w:sz w:val="18"/>
          <w:szCs w:val="18"/>
          <w:color w:val="auto"/>
        </w:rPr>
        <w:t>: We believe the structure of our executive compensation program motivates our executives to make thoughtful,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decisions with measured risks balanced by appropriate rewards for the Company.</w:t>
      </w:r>
    </w:p>
    <w:p>
      <w:pPr>
        <w:spacing w:after="0" w:line="46" w:lineRule="exact"/>
        <w:rPr>
          <w:rFonts w:ascii="Times New Roman" w:cs="Times New Roman" w:eastAsia="Times New Roman" w:hAnsi="Times New Roman"/>
          <w:sz w:val="18"/>
          <w:szCs w:val="18"/>
          <w:color w:val="auto"/>
        </w:rPr>
      </w:pPr>
    </w:p>
    <w:p>
      <w:pPr>
        <w:ind w:left="1140" w:right="440" w:hanging="383"/>
        <w:spacing w:after="0" w:line="268"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against hedging and pledging</w:t>
      </w:r>
      <w:r>
        <w:rPr>
          <w:rFonts w:ascii="Times New Roman" w:cs="Times New Roman" w:eastAsia="Times New Roman" w:hAnsi="Times New Roman"/>
          <w:sz w:val="18"/>
          <w:szCs w:val="18"/>
          <w:color w:val="auto"/>
        </w:rPr>
        <w:t>: Our insider trading policy prohibits our executives from engaging in “hedging” or “pledging”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with respect to our Class A common stock. The Company annually distributes our insider trading policy for review and acknowledgment by our executive officers and other personnel.</w:t>
      </w:r>
    </w:p>
    <w:p>
      <w:pPr>
        <w:spacing w:after="0" w:line="62" w:lineRule="exact"/>
        <w:rPr>
          <w:rFonts w:ascii="Times New Roman" w:cs="Times New Roman" w:eastAsia="Times New Roman" w:hAnsi="Times New Roman"/>
          <w:sz w:val="18"/>
          <w:szCs w:val="18"/>
          <w:color w:val="auto"/>
        </w:rPr>
      </w:pPr>
    </w:p>
    <w:p>
      <w:pPr>
        <w:jc w:val="both"/>
        <w:ind w:left="1140" w:right="100" w:hanging="383"/>
        <w:spacing w:after="0" w:line="291" w:lineRule="auto"/>
        <w:tabs>
          <w:tab w:leader="none" w:pos="1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We maintain a Compensation Recovery Policy, to which each of our named executive officers is subject. The Policy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intended to further the Company’s pay-for-performance philosophy and to comply with applicable laws by providing rules relating to the reasonably prompt recovery of certain incentive compensation received by covered executives in the event of an accounting restatement.</w:t>
      </w:r>
    </w:p>
    <w:p>
      <w:pPr>
        <w:spacing w:after="0" w:line="44" w:lineRule="exact"/>
        <w:rPr>
          <w:rFonts w:ascii="Times New Roman" w:cs="Times New Roman" w:eastAsia="Times New Roman" w:hAnsi="Times New Roman"/>
          <w:sz w:val="17"/>
          <w:szCs w:val="17"/>
          <w:color w:val="auto"/>
        </w:rPr>
      </w:pPr>
    </w:p>
    <w:p>
      <w:pPr>
        <w:jc w:val="both"/>
        <w:ind w:left="1140" w:right="280" w:hanging="383"/>
        <w:spacing w:after="0" w:line="268"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guaranteed compensation: </w:t>
      </w:r>
      <w:r>
        <w:rPr>
          <w:rFonts w:ascii="Times New Roman" w:cs="Times New Roman" w:eastAsia="Times New Roman" w:hAnsi="Times New Roman"/>
          <w:sz w:val="18"/>
          <w:szCs w:val="18"/>
          <w:color w:val="auto"/>
        </w:rPr>
        <w:t>Although we have signed employment agreements with each of our named executive officers, all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provide for “at will” employment, and none of these agreements provides any guarantees relating to salary increases or the amounts of incentive pay or equity awards.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96" w:lineRule="exact"/>
        <w:rPr>
          <w:sz w:val="20"/>
          <w:szCs w:val="20"/>
          <w:color w:val="auto"/>
        </w:rPr>
      </w:pPr>
    </w:p>
    <w:p>
      <w:pPr>
        <w:ind w:left="1140" w:right="20" w:hanging="383"/>
        <w:spacing w:after="0" w:line="253"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 severance and change in control benefits</w:t>
      </w:r>
      <w:r>
        <w:rPr>
          <w:rFonts w:ascii="Times New Roman" w:cs="Times New Roman" w:eastAsia="Times New Roman" w:hAnsi="Times New Roman"/>
          <w:sz w:val="18"/>
          <w:szCs w:val="18"/>
          <w:color w:val="auto"/>
        </w:rPr>
        <w:t>: The change in control and severance agreement with Dr. Farokhzad and the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change in control and severance plan in which Mr. Horn participates does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 named executive officer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 In addition, the performance-based stock options granted to our named executive officers in 2024 do not waive performance-based requirements upon a change in control, and instead performance against the stock price goal is measured against the change in control price and the options vest if the applicable goal is met.</w:t>
      </w:r>
    </w:p>
    <w:p>
      <w:pPr>
        <w:spacing w:after="0" w:line="79" w:lineRule="exact"/>
        <w:rPr>
          <w:rFonts w:ascii="Times New Roman" w:cs="Times New Roman" w:eastAsia="Times New Roman" w:hAnsi="Times New Roman"/>
          <w:sz w:val="18"/>
          <w:szCs w:val="18"/>
          <w:color w:val="auto"/>
        </w:rPr>
      </w:pPr>
    </w:p>
    <w:p>
      <w:pPr>
        <w:ind w:left="1140" w:hanging="383"/>
        <w:spacing w:after="0" w:line="26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options granted below fair market value: </w:t>
      </w:r>
      <w:r>
        <w:rPr>
          <w:rFonts w:ascii="Times New Roman" w:cs="Times New Roman" w:eastAsia="Times New Roman" w:hAnsi="Times New Roman"/>
          <w:sz w:val="18"/>
          <w:szCs w:val="18"/>
          <w:color w:val="auto"/>
        </w:rPr>
        <w:t>Our board and talent and compensation committee are responsible for reviewing, approving,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administering the Company’s incentive compensation plans and equity compensation plans. In its administration of the plans, our board of directors and talent and compensation committee approve grants of stock options with per-share exercise prices that are at least 100% of the fair market value of the underlying shares on the date of grant.</w:t>
      </w:r>
    </w:p>
    <w:p>
      <w:pPr>
        <w:spacing w:after="0" w:line="68" w:lineRule="exact"/>
        <w:rPr>
          <w:rFonts w:ascii="Times New Roman" w:cs="Times New Roman" w:eastAsia="Times New Roman" w:hAnsi="Times New Roman"/>
          <w:sz w:val="18"/>
          <w:szCs w:val="18"/>
          <w:color w:val="auto"/>
        </w:rPr>
      </w:pPr>
    </w:p>
    <w:p>
      <w:pPr>
        <w:ind w:left="1140" w:right="180" w:hanging="383"/>
        <w:spacing w:after="0" w:line="259"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excessive perquisites</w:t>
      </w:r>
      <w:r>
        <w:rPr>
          <w:rFonts w:ascii="Times New Roman" w:cs="Times New Roman" w:eastAsia="Times New Roman" w:hAnsi="Times New Roman"/>
          <w:sz w:val="18"/>
          <w:szCs w:val="18"/>
          <w:color w:val="auto"/>
        </w:rPr>
        <w:t>: Personal benefits currently are not a significant component of our executive compensation program. We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Key Components of our Compensation Program</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talent and compensation committee has developed an executive compensation program that consists of three main components. The relative mix of these components is typically weighted more on incentives, particularly long-term incentives, rather than fixed compensation. The focus on incentive compensation ensures that the interests of our executives are aligned with those of our stockholders. Our compensation program historically has been made up of the following three key compensation components: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960" w:type="dxa"/>
            <w:vAlign w:val="bottom"/>
            <w:tcBorders>
              <w:top w:val="single" w:sz="8" w:color="auto"/>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5940" w:type="dxa"/>
            <w:vAlign w:val="bottom"/>
            <w:tcBorders>
              <w:top w:val="single" w:sz="8" w:color="auto"/>
              <w:bottom w:val="single" w:sz="8" w:color="auto"/>
              <w:right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Objective</w:t>
            </w:r>
          </w:p>
        </w:tc>
      </w:tr>
      <w:tr>
        <w:trPr>
          <w:trHeight w:val="177"/>
        </w:trPr>
        <w:tc>
          <w:tcPr>
            <w:tcW w:w="2960" w:type="dxa"/>
            <w:vAlign w:val="bottom"/>
            <w:tcBorders>
              <w:top w:val="single" w:sz="8" w:color="auto"/>
              <w:left w:val="single" w:sz="8" w:color="CFF0FC"/>
              <w:right w:val="single" w:sz="8" w:color="auto"/>
            </w:tcBorders>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Base Salary</w:t>
            </w:r>
          </w:p>
        </w:tc>
        <w:tc>
          <w:tcPr>
            <w:tcW w:w="2340" w:type="dxa"/>
            <w:vAlign w:val="bottom"/>
            <w:tcBorders>
              <w:top w:val="single" w:sz="8" w:color="CFF0FC"/>
              <w:right w:val="single" w:sz="8" w:color="auto"/>
            </w:tcBorders>
            <w:shd w:val="clear" w:color="auto" w:fill="CFF0FC"/>
          </w:tcPr>
          <w:p>
            <w:pPr>
              <w:jc w:val="center"/>
              <w:spacing w:after="0" w:line="177" w:lineRule="exact"/>
              <w:rPr>
                <w:sz w:val="20"/>
                <w:szCs w:val="20"/>
                <w:color w:val="auto"/>
              </w:rPr>
            </w:pPr>
            <w:r>
              <w:rPr>
                <w:rFonts w:ascii="Times New Roman" w:cs="Times New Roman" w:eastAsia="Times New Roman" w:hAnsi="Times New Roman"/>
                <w:sz w:val="18"/>
                <w:szCs w:val="18"/>
                <w:color w:val="auto"/>
              </w:rPr>
              <w:t>Annual</w:t>
            </w:r>
          </w:p>
        </w:tc>
        <w:tc>
          <w:tcPr>
            <w:tcW w:w="5940" w:type="dxa"/>
            <w:vAlign w:val="bottom"/>
            <w:tcBorders>
              <w:top w:val="single" w:sz="8" w:color="CFF0FC"/>
              <w:right w:val="single" w:sz="8" w:color="auto"/>
            </w:tcBorders>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Attract, retain, and reward top talent; reflects a named executive officer’s</w:t>
            </w:r>
          </w:p>
        </w:tc>
      </w:tr>
      <w:tr>
        <w:trPr>
          <w:trHeight w:val="234"/>
        </w:trPr>
        <w:tc>
          <w:tcPr>
            <w:tcW w:w="2960" w:type="dxa"/>
            <w:vAlign w:val="bottom"/>
            <w:tcBorders>
              <w:left w:val="single" w:sz="8" w:color="CFF0FC"/>
              <w:bottom w:val="single" w:sz="8" w:color="auto"/>
              <w:right w:val="single" w:sz="8" w:color="auto"/>
            </w:tcBorders>
            <w:shd w:val="clear" w:color="auto" w:fill="CFF0FC"/>
          </w:tcPr>
          <w:p>
            <w:pPr>
              <w:spacing w:after="0"/>
              <w:rPr>
                <w:sz w:val="20"/>
                <w:szCs w:val="20"/>
                <w:color w:val="auto"/>
              </w:rPr>
            </w:pPr>
          </w:p>
        </w:tc>
        <w:tc>
          <w:tcPr>
            <w:tcW w:w="2340" w:type="dxa"/>
            <w:vAlign w:val="bottom"/>
            <w:tcBorders>
              <w:bottom w:val="single" w:sz="8" w:color="auto"/>
              <w:right w:val="single" w:sz="8" w:color="auto"/>
            </w:tcBorders>
            <w:shd w:val="clear" w:color="auto" w:fill="CFF0FC"/>
          </w:tcPr>
          <w:p>
            <w:pPr>
              <w:spacing w:after="0"/>
              <w:rPr>
                <w:sz w:val="20"/>
                <w:szCs w:val="20"/>
                <w:color w:val="auto"/>
              </w:rPr>
            </w:pPr>
          </w:p>
        </w:tc>
        <w:tc>
          <w:tcPr>
            <w:tcW w:w="594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responsibilities, performance, and relevant market data.</w:t>
            </w:r>
          </w:p>
        </w:tc>
      </w:tr>
      <w:tr>
        <w:trPr>
          <w:trHeight w:val="210"/>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Cash Incentives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Annual</w:t>
            </w:r>
          </w:p>
        </w:tc>
        <w:tc>
          <w:tcPr>
            <w:tcW w:w="5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Incentivize achievement of annual Company goals.</w:t>
            </w:r>
          </w:p>
        </w:tc>
      </w:tr>
      <w:tr>
        <w:trPr>
          <w:trHeight w:val="191"/>
        </w:trPr>
        <w:tc>
          <w:tcPr>
            <w:tcW w:w="2960" w:type="dxa"/>
            <w:vAlign w:val="bottom"/>
            <w:tcBorders>
              <w:left w:val="single" w:sz="8" w:color="CFF0FC"/>
              <w:right w:val="single" w:sz="8" w:color="auto"/>
            </w:tcBorders>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Long-Term Equity Awards</w:t>
            </w:r>
          </w:p>
        </w:tc>
        <w:tc>
          <w:tcPr>
            <w:tcW w:w="2340" w:type="dxa"/>
            <w:vAlign w:val="bottom"/>
            <w:tcBorders>
              <w:right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Long-Term</w:t>
            </w:r>
          </w:p>
        </w:tc>
        <w:tc>
          <w:tcPr>
            <w:tcW w:w="5940" w:type="dxa"/>
            <w:vAlign w:val="bottom"/>
            <w:tcBorders>
              <w:right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Options incentivize the achievement of share price growth.</w:t>
            </w:r>
          </w:p>
        </w:tc>
      </w:tr>
      <w:tr>
        <w:trPr>
          <w:trHeight w:val="216"/>
        </w:trPr>
        <w:tc>
          <w:tcPr>
            <w:tcW w:w="296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(Historically consisting of a Mix of</w:t>
            </w:r>
          </w:p>
        </w:tc>
        <w:tc>
          <w:tcPr>
            <w:tcW w:w="2340" w:type="dxa"/>
            <w:vAlign w:val="bottom"/>
            <w:tcBorders>
              <w:right w:val="single" w:sz="8" w:color="auto"/>
            </w:tcBorders>
            <w:shd w:val="clear" w:color="auto" w:fill="CFF0FC"/>
          </w:tcPr>
          <w:p>
            <w:pPr>
              <w:spacing w:after="0"/>
              <w:rPr>
                <w:sz w:val="18"/>
                <w:szCs w:val="18"/>
                <w:color w:val="auto"/>
              </w:rPr>
            </w:pPr>
          </w:p>
        </w:tc>
        <w:tc>
          <w:tcPr>
            <w:tcW w:w="594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closely align the interests of management and stockholders and serve as an</w:t>
            </w:r>
          </w:p>
        </w:tc>
      </w:tr>
      <w:tr>
        <w:trPr>
          <w:trHeight w:val="216"/>
        </w:trPr>
        <w:tc>
          <w:tcPr>
            <w:tcW w:w="296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and RSUs)</w:t>
            </w:r>
          </w:p>
        </w:tc>
        <w:tc>
          <w:tcPr>
            <w:tcW w:w="2340" w:type="dxa"/>
            <w:vAlign w:val="bottom"/>
            <w:tcBorders>
              <w:right w:val="single" w:sz="8" w:color="auto"/>
            </w:tcBorders>
            <w:shd w:val="clear" w:color="auto" w:fill="CFF0FC"/>
          </w:tcPr>
          <w:p>
            <w:pPr>
              <w:spacing w:after="0"/>
              <w:rPr>
                <w:sz w:val="18"/>
                <w:szCs w:val="18"/>
                <w:color w:val="auto"/>
              </w:rPr>
            </w:pPr>
          </w:p>
        </w:tc>
        <w:tc>
          <w:tcPr>
            <w:tcW w:w="594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important retention vehicle. No long-term equity awards were granted to our</w:t>
            </w:r>
          </w:p>
        </w:tc>
      </w:tr>
      <w:tr>
        <w:trPr>
          <w:trHeight w:val="234"/>
        </w:trPr>
        <w:tc>
          <w:tcPr>
            <w:tcW w:w="2960" w:type="dxa"/>
            <w:vAlign w:val="bottom"/>
            <w:tcBorders>
              <w:left w:val="single" w:sz="8" w:color="CFF0FC"/>
              <w:bottom w:val="single" w:sz="8" w:color="auto"/>
              <w:right w:val="single" w:sz="8" w:color="auto"/>
            </w:tcBorders>
            <w:shd w:val="clear" w:color="auto" w:fill="CFF0FC"/>
          </w:tcPr>
          <w:p>
            <w:pPr>
              <w:spacing w:after="0"/>
              <w:rPr>
                <w:sz w:val="20"/>
                <w:szCs w:val="20"/>
                <w:color w:val="auto"/>
              </w:rPr>
            </w:pPr>
          </w:p>
        </w:tc>
        <w:tc>
          <w:tcPr>
            <w:tcW w:w="2340" w:type="dxa"/>
            <w:vAlign w:val="bottom"/>
            <w:tcBorders>
              <w:bottom w:val="single" w:sz="8" w:color="auto"/>
              <w:right w:val="single" w:sz="8" w:color="auto"/>
            </w:tcBorders>
            <w:shd w:val="clear" w:color="auto" w:fill="CFF0FC"/>
          </w:tcPr>
          <w:p>
            <w:pPr>
              <w:spacing w:after="0"/>
              <w:rPr>
                <w:sz w:val="20"/>
                <w:szCs w:val="20"/>
                <w:color w:val="auto"/>
              </w:rPr>
            </w:pPr>
          </w:p>
        </w:tc>
        <w:tc>
          <w:tcPr>
            <w:tcW w:w="594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named executive officers in 2025.</w:t>
            </w:r>
          </w:p>
        </w:tc>
      </w:tr>
      <w:tr>
        <w:trPr>
          <w:trHeight w:val="645"/>
        </w:trPr>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58</w:t>
            </w:r>
          </w:p>
        </w:tc>
      </w:tr>
      <w:tr>
        <w:trPr>
          <w:trHeight w:val="745"/>
        </w:trPr>
        <w:tc>
          <w:tcPr>
            <w:tcW w:w="29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design and implement an executive compensation program that combines both base salary, and short-term and long-term incentive elements based on annual performance objectives and long-term equity interests. The annual cash incentives and long-term equity awards elements of our executive compensation program are intended to align the interests of our executives and our shareholders. The talent and compensation committee has not, however, adopted any formal or informal policies or guidelines for allocating compensation between short-term and long-term compensation, between base salary and non-cash compensation, or among different forms of non-cash compensation.</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While our usual practice is to utilize all three components of our compensation program (base salary, annual cash incentives and long term equity awards), in 2025 we chose not to grant additional long-term equity awards to the named executive officers. This decision reflects the value provided to our named executive officers through the October 2024 stock option repricing and reduction in the hurdle amounts applicable to performance-based stock options, which the Committee believed provided appropriate retention and incentives for 2025 for the named executive officers.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of responsibilities, experience, and skill set. These considerations are supplemented by market data provided by the talent and compensation committee’s independent compensation consultant. In February 2025, our talent and compensation committee reviewed these annual base salary amounts and provided merit increases to our named executive officers, effective March 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considerations, our named executive officer’s annual base salaries for 2025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20" w:type="dxa"/>
            <w:vAlign w:val="bottom"/>
            <w:vMerge w:val="restart"/>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2024 Annual Base Salary ($)</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Merit Increase</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 Base Salary</w:t>
            </w: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8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(following March 2025 Merit Increases) ($)</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520" w:type="dxa"/>
            <w:vAlign w:val="bottom"/>
            <w:shd w:val="clear" w:color="auto" w:fill="CFF0FC"/>
          </w:tcPr>
          <w:p>
            <w:pPr>
              <w:jc w:val="center"/>
              <w:ind w:left="1336"/>
              <w:spacing w:after="0"/>
              <w:rPr>
                <w:sz w:val="20"/>
                <w:szCs w:val="20"/>
                <w:color w:val="auto"/>
              </w:rPr>
            </w:pPr>
            <w:r>
              <w:rPr>
                <w:rFonts w:ascii="Times New Roman" w:cs="Times New Roman" w:eastAsia="Times New Roman" w:hAnsi="Times New Roman"/>
                <w:sz w:val="18"/>
                <w:szCs w:val="18"/>
                <w:color w:val="auto"/>
                <w:w w:val="99"/>
              </w:rPr>
              <w:t>623,019</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286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8"/>
                <w:szCs w:val="18"/>
                <w:color w:val="auto"/>
                <w:w w:val="99"/>
              </w:rPr>
              <w:t>636,000</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3520" w:type="dxa"/>
            <w:vAlign w:val="bottom"/>
          </w:tcPr>
          <w:p>
            <w:pPr>
              <w:jc w:val="center"/>
              <w:ind w:left="1336"/>
              <w:spacing w:after="0"/>
              <w:rPr>
                <w:sz w:val="20"/>
                <w:szCs w:val="20"/>
                <w:color w:val="auto"/>
              </w:rPr>
            </w:pPr>
            <w:r>
              <w:rPr>
                <w:rFonts w:ascii="Times New Roman" w:cs="Times New Roman" w:eastAsia="Times New Roman" w:hAnsi="Times New Roman"/>
                <w:sz w:val="18"/>
                <w:szCs w:val="18"/>
                <w:color w:val="auto"/>
                <w:w w:val="99"/>
              </w:rPr>
              <w:t>529,125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2.06%</w:t>
            </w:r>
          </w:p>
        </w:tc>
        <w:tc>
          <w:tcPr>
            <w:tcW w:w="286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540,000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Incentives</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other employees who significantly impact our corporate results.</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Annual corporate goals are developed and recommended by management to our board of directors. Our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For each named executive officer, our talent and compensation committee sets the target bonus as a percentage of base salary, each of which remained the same for 2025 as in 2024 and is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40" w:type="dxa"/>
            <w:vAlign w:val="bottom"/>
          </w:tcPr>
          <w:p>
            <w:pPr>
              <w:jc w:val="center"/>
              <w:ind w:left="4717"/>
              <w:spacing w:after="0"/>
              <w:rPr>
                <w:sz w:val="20"/>
                <w:szCs w:val="20"/>
                <w:color w:val="auto"/>
              </w:rPr>
            </w:pPr>
            <w:r>
              <w:rPr>
                <w:rFonts w:ascii="Times New Roman" w:cs="Times New Roman" w:eastAsia="Times New Roman" w:hAnsi="Times New Roman"/>
                <w:sz w:val="14"/>
                <w:szCs w:val="14"/>
                <w:b w:val="1"/>
                <w:bCs w:val="1"/>
                <w:color w:val="auto"/>
              </w:rPr>
              <w:t>2025 Target Bonus (As a Percentage of Base</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7640" w:type="dxa"/>
            <w:vAlign w:val="bottom"/>
          </w:tcPr>
          <w:p>
            <w:pPr>
              <w:jc w:val="center"/>
              <w:ind w:left="4757"/>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7640" w:type="dxa"/>
            <w:vAlign w:val="bottom"/>
            <w:shd w:val="clear" w:color="auto" w:fill="CFF0FC"/>
          </w:tcPr>
          <w:p>
            <w:pPr>
              <w:jc w:val="center"/>
              <w:ind w:left="4757"/>
              <w:spacing w:after="0"/>
              <w:rPr>
                <w:sz w:val="20"/>
                <w:szCs w:val="20"/>
                <w:color w:val="auto"/>
              </w:rPr>
            </w:pPr>
            <w:r>
              <w:rPr>
                <w:rFonts w:ascii="Times New Roman" w:cs="Times New Roman" w:eastAsia="Times New Roman" w:hAnsi="Times New Roman"/>
                <w:sz w:val="18"/>
                <w:szCs w:val="18"/>
                <w:color w:val="auto"/>
                <w:w w:val="96"/>
              </w:rPr>
              <w:t>85%</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7640" w:type="dxa"/>
            <w:vAlign w:val="bottom"/>
          </w:tcPr>
          <w:p>
            <w:pPr>
              <w:jc w:val="center"/>
              <w:ind w:left="4757"/>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634"/>
        </w:trPr>
        <w:tc>
          <w:tcPr>
            <w:tcW w:w="3600" w:type="dxa"/>
            <w:vAlign w:val="bottom"/>
          </w:tcPr>
          <w:p>
            <w:pPr>
              <w:spacing w:after="0"/>
              <w:rPr>
                <w:sz w:val="24"/>
                <w:szCs w:val="24"/>
                <w:color w:val="auto"/>
              </w:rPr>
            </w:pPr>
          </w:p>
        </w:tc>
        <w:tc>
          <w:tcPr>
            <w:tcW w:w="7640" w:type="dxa"/>
            <w:vAlign w:val="bottom"/>
          </w:tcPr>
          <w:p>
            <w:pPr>
              <w:jc w:val="right"/>
              <w:ind w:right="5437"/>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745"/>
        </w:trPr>
        <w:tc>
          <w:tcPr>
            <w:tcW w:w="360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year, our talent and compensation committee sets the goals that will apply to that year’s executive bonuses, and the weightings attributable to such goals. The actual performance-based bonus paid, if any, is calculated by multiplying the executive’s annual base salary and target bonus percentage times percentage achievement of the applicable goals. For 2025, named executive officer bonuses were 100% based on corporate objectives, in order to focus our named executive officers on our most critical and strategic goals for the year, and the corporate objectives were divided into five categories as specified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Objectives</w:t>
            </w:r>
          </w:p>
        </w:tc>
        <w:tc>
          <w:tcPr>
            <w:tcW w:w="4800" w:type="dxa"/>
            <w:vAlign w:val="bottom"/>
          </w:tcPr>
          <w:p>
            <w:pPr>
              <w:jc w:val="center"/>
              <w:ind w:left="1913"/>
              <w:spacing w:after="0"/>
              <w:rPr>
                <w:sz w:val="20"/>
                <w:szCs w:val="20"/>
                <w:color w:val="auto"/>
              </w:rPr>
            </w:pPr>
            <w:r>
              <w:rPr>
                <w:rFonts w:ascii="Times New Roman" w:cs="Times New Roman" w:eastAsia="Times New Roman" w:hAnsi="Times New Roman"/>
                <w:sz w:val="14"/>
                <w:szCs w:val="14"/>
                <w:b w:val="1"/>
                <w:bCs w:val="1"/>
                <w:color w:val="auto"/>
              </w:rPr>
              <w:t>Weight</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Objectives</w:t>
            </w:r>
          </w:p>
        </w:tc>
        <w:tc>
          <w:tcPr>
            <w:tcW w:w="4800" w:type="dxa"/>
            <w:vAlign w:val="bottom"/>
            <w:shd w:val="clear" w:color="auto" w:fill="CFF0FC"/>
          </w:tcPr>
          <w:p>
            <w:pPr>
              <w:jc w:val="center"/>
              <w:ind w:left="1913"/>
              <w:spacing w:after="0"/>
              <w:rPr>
                <w:sz w:val="20"/>
                <w:szCs w:val="20"/>
                <w:color w:val="auto"/>
              </w:rPr>
            </w:pPr>
            <w:r>
              <w:rPr>
                <w:rFonts w:ascii="Times New Roman" w:cs="Times New Roman" w:eastAsia="Times New Roman" w:hAnsi="Times New Roman"/>
                <w:sz w:val="18"/>
                <w:szCs w:val="18"/>
                <w:color w:val="auto"/>
                <w:w w:val="96"/>
              </w:rPr>
              <w:t>25%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Expense Objectives</w:t>
            </w:r>
          </w:p>
        </w:tc>
        <w:tc>
          <w:tcPr>
            <w:tcW w:w="4800" w:type="dxa"/>
            <w:vAlign w:val="bottom"/>
          </w:tcPr>
          <w:p>
            <w:pPr>
              <w:jc w:val="center"/>
              <w:ind w:left="1913"/>
              <w:spacing w:after="0"/>
              <w:rPr>
                <w:sz w:val="20"/>
                <w:szCs w:val="20"/>
                <w:color w:val="auto"/>
              </w:rPr>
            </w:pPr>
            <w:r>
              <w:rPr>
                <w:rFonts w:ascii="Times New Roman" w:cs="Times New Roman" w:eastAsia="Times New Roman" w:hAnsi="Times New Roman"/>
                <w:sz w:val="18"/>
                <w:szCs w:val="18"/>
                <w:color w:val="auto"/>
                <w:w w:val="96"/>
              </w:rPr>
              <w:t>10%</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Objectives</w:t>
            </w:r>
          </w:p>
        </w:tc>
        <w:tc>
          <w:tcPr>
            <w:tcW w:w="4800" w:type="dxa"/>
            <w:vAlign w:val="bottom"/>
            <w:shd w:val="clear" w:color="auto" w:fill="CFF0FC"/>
          </w:tcPr>
          <w:p>
            <w:pPr>
              <w:jc w:val="center"/>
              <w:ind w:left="1913"/>
              <w:spacing w:after="0"/>
              <w:rPr>
                <w:sz w:val="20"/>
                <w:szCs w:val="20"/>
                <w:color w:val="auto"/>
              </w:rPr>
            </w:pPr>
            <w:r>
              <w:rPr>
                <w:rFonts w:ascii="Times New Roman" w:cs="Times New Roman" w:eastAsia="Times New Roman" w:hAnsi="Times New Roman"/>
                <w:sz w:val="18"/>
                <w:szCs w:val="18"/>
                <w:color w:val="auto"/>
                <w:w w:val="96"/>
              </w:rPr>
              <w:t>25%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Product Development Objectives</w:t>
            </w:r>
          </w:p>
        </w:tc>
        <w:tc>
          <w:tcPr>
            <w:tcW w:w="4800" w:type="dxa"/>
            <w:vAlign w:val="bottom"/>
          </w:tcPr>
          <w:p>
            <w:pPr>
              <w:jc w:val="center"/>
              <w:ind w:left="1913"/>
              <w:spacing w:after="0"/>
              <w:rPr>
                <w:sz w:val="20"/>
                <w:szCs w:val="20"/>
                <w:color w:val="auto"/>
              </w:rPr>
            </w:pPr>
            <w:r>
              <w:rPr>
                <w:rFonts w:ascii="Times New Roman" w:cs="Times New Roman" w:eastAsia="Times New Roman" w:hAnsi="Times New Roman"/>
                <w:sz w:val="18"/>
                <w:szCs w:val="18"/>
                <w:color w:val="auto"/>
                <w:w w:val="96"/>
              </w:rPr>
              <w:t>30%</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Organizational Objectives</w:t>
            </w:r>
          </w:p>
        </w:tc>
        <w:tc>
          <w:tcPr>
            <w:tcW w:w="4800" w:type="dxa"/>
            <w:vAlign w:val="bottom"/>
            <w:shd w:val="clear" w:color="auto" w:fill="CFF0FC"/>
          </w:tcPr>
          <w:p>
            <w:pPr>
              <w:jc w:val="center"/>
              <w:ind w:left="1913"/>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general, corporate objectives are set at levels that were considered difficult to achieve, but achievable with significant effort, and if achieved at 100% would have exceeded the Company’s operational expectations for the measurement period.</w:t>
      </w:r>
    </w:p>
    <w:p>
      <w:pPr>
        <w:spacing w:after="0" w:line="16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At the close of the applicable fiscal year, the talent and compensation committee evaluates whether the corporate goals overall were met, and whether there were any other factors that should be considered in determining the amount of bonus earned for the year. The talent and compensation committee evaluates whether the specified performance goals are not met and the Company’s performance throughout the year in meeting other objectives not contemplated at the beginning of the performance period. The talent and compensation committee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important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spacing w:after="0" w:line="1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3, 2026, the talent and compensation committee evaluated our achievement of the 2025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2025. After taking into consideration performance against corporate objectives as well as successes on other key Company’s projects, the talent and compensation committee approved a 68.75% of target achievement level for our named executive officers for our 2025 corporate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payments made for 2025 performance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19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2025 Bonus Payout</w:t>
            </w:r>
          </w:p>
        </w:tc>
        <w:tc>
          <w:tcPr>
            <w:tcW w:w="208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2025 Bonus Payout (% of</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3600" w:type="dxa"/>
            <w:vAlign w:val="bottom"/>
          </w:tcPr>
          <w:p>
            <w:pPr>
              <w:jc w:val="center"/>
              <w:ind w:left="151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6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8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600" w:type="dxa"/>
            <w:vAlign w:val="bottom"/>
            <w:shd w:val="clear" w:color="auto" w:fill="CFF0FC"/>
          </w:tcPr>
          <w:p>
            <w:pPr>
              <w:jc w:val="center"/>
              <w:ind w:left="1517"/>
              <w:spacing w:after="0"/>
              <w:rPr>
                <w:sz w:val="20"/>
                <w:szCs w:val="20"/>
                <w:color w:val="auto"/>
              </w:rPr>
            </w:pPr>
            <w:r>
              <w:rPr>
                <w:rFonts w:ascii="Times New Roman" w:cs="Times New Roman" w:eastAsia="Times New Roman" w:hAnsi="Times New Roman"/>
                <w:sz w:val="18"/>
                <w:szCs w:val="18"/>
                <w:color w:val="auto"/>
              </w:rPr>
              <w:t>540,600</w:t>
            </w:r>
          </w:p>
        </w:tc>
        <w:tc>
          <w:tcPr>
            <w:tcW w:w="196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8"/>
                <w:szCs w:val="18"/>
                <w:color w:val="auto"/>
                <w:w w:val="99"/>
              </w:rPr>
              <w:t>371,663</w:t>
            </w:r>
          </w:p>
        </w:tc>
        <w:tc>
          <w:tcPr>
            <w:tcW w:w="2080" w:type="dxa"/>
            <w:vAlign w:val="bottom"/>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3600" w:type="dxa"/>
            <w:vAlign w:val="bottom"/>
          </w:tcPr>
          <w:p>
            <w:pPr>
              <w:jc w:val="center"/>
              <w:ind w:left="1517"/>
              <w:spacing w:after="0"/>
              <w:rPr>
                <w:sz w:val="20"/>
                <w:szCs w:val="20"/>
                <w:color w:val="auto"/>
              </w:rPr>
            </w:pPr>
            <w:r>
              <w:rPr>
                <w:rFonts w:ascii="Times New Roman" w:cs="Times New Roman" w:eastAsia="Times New Roman" w:hAnsi="Times New Roman"/>
                <w:sz w:val="18"/>
                <w:szCs w:val="18"/>
                <w:color w:val="auto"/>
              </w:rPr>
              <w:t>297,000</w:t>
            </w:r>
          </w:p>
        </w:tc>
        <w:tc>
          <w:tcPr>
            <w:tcW w:w="1960" w:type="dxa"/>
            <w:vAlign w:val="bottom"/>
          </w:tcPr>
          <w:p>
            <w:pPr>
              <w:jc w:val="center"/>
              <w:ind w:left="59"/>
              <w:spacing w:after="0"/>
              <w:rPr>
                <w:sz w:val="20"/>
                <w:szCs w:val="20"/>
                <w:color w:val="auto"/>
              </w:rPr>
            </w:pPr>
            <w:r>
              <w:rPr>
                <w:rFonts w:ascii="Times New Roman" w:cs="Times New Roman" w:eastAsia="Times New Roman" w:hAnsi="Times New Roman"/>
                <w:sz w:val="18"/>
                <w:szCs w:val="18"/>
                <w:color w:val="auto"/>
                <w:w w:val="99"/>
              </w:rPr>
              <w:t>204,188</w:t>
            </w:r>
          </w:p>
        </w:tc>
        <w:tc>
          <w:tcPr>
            <w:tcW w:w="208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850"/>
        </w:trPr>
        <w:tc>
          <w:tcPr>
            <w:tcW w:w="3600" w:type="dxa"/>
            <w:vAlign w:val="bottom"/>
          </w:tcPr>
          <w:p>
            <w:pPr>
              <w:spacing w:after="0"/>
              <w:rPr>
                <w:sz w:val="24"/>
                <w:szCs w:val="24"/>
                <w:color w:val="auto"/>
              </w:rPr>
            </w:pPr>
          </w:p>
        </w:tc>
        <w:tc>
          <w:tcPr>
            <w:tcW w:w="3600" w:type="dxa"/>
            <w:vAlign w:val="bottom"/>
          </w:tcPr>
          <w:p>
            <w:pPr>
              <w:jc w:val="right"/>
              <w:ind w:right="1397"/>
              <w:spacing w:after="0"/>
              <w:rPr>
                <w:sz w:val="20"/>
                <w:szCs w:val="20"/>
                <w:color w:val="auto"/>
              </w:rPr>
            </w:pPr>
            <w:r>
              <w:rPr>
                <w:rFonts w:ascii="Arial" w:cs="Arial" w:eastAsia="Arial" w:hAnsi="Arial"/>
                <w:sz w:val="18"/>
                <w:szCs w:val="18"/>
                <w:color w:val="auto"/>
              </w:rPr>
              <w:t>60</w:t>
            </w:r>
          </w:p>
        </w:tc>
        <w:tc>
          <w:tcPr>
            <w:tcW w:w="1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6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Equity Grants</w:t>
      </w:r>
    </w:p>
    <w:p>
      <w:pPr>
        <w:spacing w:after="0" w:line="22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Although stock options have historically been a critical component of our executive compensation program, the talent and compensation committee chose not to grant new equity to our CEO or CFO, or other members of our executive team in 2025. The decision not to award new equity grants to them in 2025 was made after careful consideration of their then-current equity holdings and their participation in stock option repricing conducted in October 2024. This stock option repricing reinvigorated the retention and incentive value of our stock options and provided immediate and potential future value to our named executive officers and other members of our executive who participated. In the repricing program, the exercise prices of underwater options were reset to $2.00 per share, which was the closing price of our Class A common stock on the repricing date. The repricing program had a retention component as well, providing that if the repriced option was exercised before the expiration of an up to 18-month retention period (which ended on the earlier of: (i) April 4, 2026; (ii) a Change in Control (as defined in the 2020 Plan); and (iii) the option holder’s death or Disability (as defined in the 2020 Plan)), in order to exercise the option, the option holder would have to pay a premium exercise price equal to the original exercise price of the option. In addition, certain option awards granted in 2023, including options covering 650,000 shares held by our CEO and options covering 140,000 shares held by our CFO, with a performance-based vesting condition based on the Company’s achieving a stock price of $6.89 were amended to reduce the stock price hurdle amount to $3.00 per share (which was 150% of then-current fair market value). Given these refreshed equity arrangements, the talent and compensation committee believed that no additional compensation in the form of equity was necessary in 2025 to meet the compensation goals for our named executive officers.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repriced options for our named executive officers were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476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40" w:type="dxa"/>
            <w:vAlign w:val="bottom"/>
            <w:tcBorders>
              <w:top w:val="single" w:sz="8" w:color="auto"/>
              <w:right w:val="single" w:sz="8" w:color="auto"/>
            </w:tcBorders>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Original Exercise Prices Per Share (Range)</w:t>
            </w:r>
          </w:p>
        </w:tc>
        <w:tc>
          <w:tcPr>
            <w:tcW w:w="3240" w:type="dxa"/>
            <w:vAlign w:val="bottom"/>
            <w:tcBorders>
              <w:top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 Number of Shares Subject to Repriced</w:t>
            </w:r>
          </w:p>
        </w:tc>
        <w:tc>
          <w:tcPr>
            <w:tcW w:w="0" w:type="dxa"/>
            <w:vAlign w:val="bottom"/>
          </w:tcPr>
          <w:p>
            <w:pPr>
              <w:spacing w:after="0"/>
              <w:rPr>
                <w:sz w:val="1"/>
                <w:szCs w:val="1"/>
                <w:color w:val="auto"/>
              </w:rPr>
            </w:pPr>
          </w:p>
        </w:tc>
      </w:tr>
      <w:tr>
        <w:trPr>
          <w:trHeight w:val="214"/>
        </w:trPr>
        <w:tc>
          <w:tcPr>
            <w:tcW w:w="47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240" w:type="dxa"/>
            <w:vAlign w:val="bottom"/>
            <w:tcBorders>
              <w:bottom w:val="single" w:sz="8" w:color="auto"/>
              <w:right w:val="single" w:sz="8" w:color="auto"/>
            </w:tcBorders>
            <w:vMerge w:val="continue"/>
          </w:tcPr>
          <w:p>
            <w:pPr>
              <w:spacing w:after="0"/>
              <w:rPr>
                <w:sz w:val="18"/>
                <w:szCs w:val="18"/>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96"/>
        </w:trPr>
        <w:tc>
          <w:tcPr>
            <w:tcW w:w="4760" w:type="dxa"/>
            <w:vAlign w:val="bottom"/>
            <w:tcBorders>
              <w:top w:val="single" w:sz="8" w:color="auto"/>
              <w:left w:val="single" w:sz="8" w:color="CFF0FC"/>
              <w:bottom w:val="single" w:sz="8" w:color="auto"/>
              <w:right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Omid Farokhzad, M.D.</w:t>
            </w:r>
          </w:p>
        </w:tc>
        <w:tc>
          <w:tcPr>
            <w:tcW w:w="3240" w:type="dxa"/>
            <w:vAlign w:val="bottom"/>
            <w:tcBorders>
              <w:top w:val="single" w:sz="8" w:color="CFF0FC"/>
              <w:bottom w:val="single" w:sz="8" w:color="auto"/>
              <w:right w:val="single" w:sz="8" w:color="auto"/>
            </w:tcBorders>
            <w:shd w:val="clear" w:color="auto" w:fill="CFF0FC"/>
          </w:tcPr>
          <w:p>
            <w:pPr>
              <w:jc w:val="center"/>
              <w:ind w:right="16"/>
              <w:spacing w:after="0" w:line="196" w:lineRule="exact"/>
              <w:rPr>
                <w:sz w:val="20"/>
                <w:szCs w:val="20"/>
                <w:color w:val="auto"/>
              </w:rPr>
            </w:pPr>
            <w:r>
              <w:rPr>
                <w:rFonts w:ascii="Times New Roman" w:cs="Times New Roman" w:eastAsia="Times New Roman" w:hAnsi="Times New Roman"/>
                <w:sz w:val="18"/>
                <w:szCs w:val="18"/>
                <w:color w:val="auto"/>
              </w:rPr>
              <w:t>$2.70 to $60.15</w:t>
            </w:r>
          </w:p>
        </w:tc>
        <w:tc>
          <w:tcPr>
            <w:tcW w:w="3240" w:type="dxa"/>
            <w:vAlign w:val="bottom"/>
            <w:tcBorders>
              <w:top w:val="single" w:sz="8" w:color="CFF0FC"/>
              <w:bottom w:val="single" w:sz="8" w:color="auto"/>
              <w:right w:val="single" w:sz="8" w:color="auto"/>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2,732,470</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Horn</w:t>
            </w:r>
          </w:p>
        </w:tc>
        <w:tc>
          <w:tcPr>
            <w:tcW w:w="324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rPr>
              <w:t>$2.70 to $60.15</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1,140,454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expect that in future years, stock options will again function as a critical component of our executive compensation program, as the granting of stock options is consistent with our peer companies, links executive pay to stockholder return, motivates our named executive officers’ performance toward our long-term success, and encourages our executive officers to continue their employment with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Additional Compensation Policies and Practices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Other Service Arrangements with our Named Executive Officers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Each of our named executive officers has executed our standard form of confidential information, invention assignment and arbitration agreement.</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Dr. Farokhzad, his employment letter provides for reimbursement of reasonable travel and lodging expenses incurred by him for his travel between his primary residence and our office in Redwood City, California, as well as for additional payments sufficient to make such reimbursements tax neutral to Dr. Farokhzad.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Benefits, including Change in Control</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we adopted the Severance Plan, in which Mr. Horn participates. In addition, Dr. Farokhzad is subject to the Severance Agreement, which provides for certain severance and change in control benefits.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offer the severance and other termination benefits, to the named executive officers under these arrangements if their employment is terminated without cause or they resign for good reason in certain circumstances, both within and outside the context of a change in control,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income and benefits. We believe the level of severance and change in control benefits provided is appropriate and is necessary to attract and retain key employees.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These arrangements are described more fully under the section of this proxy statement entitled “CEO Change in Control and Severance Agreement” (with respect to Dr. Farokhzad’s agreement) and “Key Executive Change in Control and Severance Plan” (with respect to the arrangement for Mr. Horn).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Broad-based Employee Benefits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Personal benefits currently are not a significant component of our executive compensation program. Accordingly,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duties, to enable him or her to achieve greater work efficiency or effectiveness, or to recruit or retain him or her. Please see “Employment and Other Service Arrangements with our Named Executive Officers” above for a discussion of certain travel and lodging reimbursements we have provided to Dr. Farokhzad.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Policies; Stock Ownership Guidelines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executives from engaging in “hedging” or “pledging” transactions with respect to our Class A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Recovery (“Clawback”) Policy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November 14, 2023, the talent and compensation committee adopted the clawback policy (the Clawback Policy). </w:t>
      </w:r>
      <w:r>
        <w:rPr>
          <w:rFonts w:ascii="Times New Roman" w:cs="Times New Roman" w:eastAsia="Times New Roman" w:hAnsi="Times New Roman"/>
          <w:sz w:val="18"/>
          <w:szCs w:val="18"/>
          <w:color w:val="3F3F3F"/>
        </w:rPr>
        <w:t>The Clawback Policy is intended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F3F3F"/>
        </w:rPr>
        <w:t xml:space="preserve">comply with Section 10D of the Exchange Act, with Exchange Act Rule 10D-1 and with the listing standards of Nasdaq, and to further the Company’s pay-for-performance philosophy by providing rules relating to the reasonably prompt recovery of certain </w:t>
      </w:r>
      <w:r>
        <w:rPr>
          <w:rFonts w:ascii="Times New Roman" w:cs="Times New Roman" w:eastAsia="Times New Roman" w:hAnsi="Times New Roman"/>
          <w:sz w:val="18"/>
          <w:szCs w:val="18"/>
          <w:color w:val="000000"/>
        </w:rPr>
        <w:t>incentive-based</w:t>
      </w:r>
      <w:r>
        <w:rPr>
          <w:rFonts w:ascii="Times New Roman" w:cs="Times New Roman" w:eastAsia="Times New Roman" w:hAnsi="Times New Roman"/>
          <w:sz w:val="18"/>
          <w:szCs w:val="18"/>
          <w:color w:val="3F3F3F"/>
        </w:rPr>
        <w:t xml:space="preserve"> compensation received by Covered Executives (as defined in the policy), which includes our named executive officers, in the event of an Accounting Restatement (as defined in the policy). The application of the Clawback Policy to Covered Executives is not discretionary, except to the limited extent permitted by Exchange Act rules and Nasdaq listing standards, and applies without regard to whether a Covered Executive was at fault.</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are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adopted insider trading policies and procedures that govern the purchase, sale and other disposition of our securities by directors, officers and employees that we believe are reasonably designed to promote compliance with insider trading laws, rules and regulations and any applicable listing standards. A copy of our insider trading policy was filed as an exhibit to our Annual Report on Form 10-K for the year ended December 31, 2025, filed with the Securities and Exchange Commission on March 2, 2026. We comply with insider trading laws, rules and regulations and any applicable listing standards in any transactions involving our own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do not take material nonpublic information into account when determining the timing or terms of executive awards, and we have not timed the disclosure of material nonpublic information for the purpose of affecting the value of executive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and Tax Consideration and Treatment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2025 fiscal year, the Company generally is eligible to receive a federal income tax deduction for compensation paid to our CEO and certain other current and former executives only for the amount that is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May 11, 2026 for:</w:t>
      </w:r>
    </w:p>
    <w:p>
      <w:pPr>
        <w:spacing w:after="0" w:line="225" w:lineRule="exact"/>
        <w:rPr>
          <w:sz w:val="20"/>
          <w:szCs w:val="20"/>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be the beneficial owner of more than 5% of our Class A common stock.</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54,981,551 shares of our Class A common stock outstanding as of May 11, 2026. We have deemed shares of our Class A common stock subject to stock options that are currently exercisable or exercisable within 60 days of May 11,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220" w:type="dxa"/>
            <w:vAlign w:val="bottom"/>
            <w:tcBorders>
              <w:bottom w:val="single" w:sz="8" w:color="auto"/>
            </w:tcBorders>
            <w:gridSpan w:val="2"/>
          </w:tcPr>
          <w:p>
            <w:pPr>
              <w:jc w:val="right"/>
              <w:ind w:right="119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2340" w:type="dxa"/>
            <w:vAlign w:val="bottom"/>
          </w:tcPr>
          <w:p>
            <w:pPr>
              <w:jc w:val="right"/>
              <w:ind w:right="1013"/>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8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3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Omid Farokhzad, M.D.</w:t>
            </w:r>
            <w:r>
              <w:rPr>
                <w:rFonts w:ascii="Times New Roman" w:cs="Times New Roman" w:eastAsia="Times New Roman" w:hAnsi="Times New Roman"/>
                <w:sz w:val="24"/>
                <w:szCs w:val="24"/>
                <w:color w:val="auto"/>
                <w:vertAlign w:val="superscript"/>
              </w:rPr>
              <w:t>(1)</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6,918,732</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Horn</w:t>
            </w:r>
            <w:r>
              <w:rPr>
                <w:rFonts w:ascii="Times New Roman" w:cs="Times New Roman" w:eastAsia="Times New Roman" w:hAnsi="Times New Roman"/>
                <w:sz w:val="24"/>
                <w:szCs w:val="24"/>
                <w:color w:val="auto"/>
                <w:vertAlign w:val="superscript"/>
              </w:rPr>
              <w:t>(2)</w:t>
            </w:r>
          </w:p>
        </w:tc>
        <w:tc>
          <w:tcPr>
            <w:tcW w:w="23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1,428,455</w:t>
            </w:r>
          </w:p>
        </w:tc>
        <w:tc>
          <w:tcPr>
            <w:tcW w:w="188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Meeta Gulyani</w:t>
            </w:r>
            <w:r>
              <w:rPr>
                <w:rFonts w:ascii="Times New Roman" w:cs="Times New Roman" w:eastAsia="Times New Roman" w:hAnsi="Times New Roman"/>
                <w:sz w:val="24"/>
                <w:szCs w:val="24"/>
                <w:color w:val="auto"/>
                <w:vertAlign w:val="superscript"/>
              </w:rPr>
              <w:t>(3)</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218,937</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4"/>
                <w:szCs w:val="24"/>
                <w:color w:val="auto"/>
                <w:vertAlign w:val="superscript"/>
              </w:rPr>
              <w:t>(4)</w:t>
            </w:r>
          </w:p>
        </w:tc>
        <w:tc>
          <w:tcPr>
            <w:tcW w:w="23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1,260,587</w:t>
            </w:r>
          </w:p>
        </w:tc>
        <w:tc>
          <w:tcPr>
            <w:tcW w:w="188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4"/>
                <w:szCs w:val="24"/>
                <w:color w:val="auto"/>
                <w:vertAlign w:val="superscript"/>
              </w:rPr>
              <w:t>(5)</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694,950</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Dipchand (Deep) Nishar</w:t>
            </w:r>
            <w:r>
              <w:rPr>
                <w:rFonts w:ascii="Times New Roman" w:cs="Times New Roman" w:eastAsia="Times New Roman" w:hAnsi="Times New Roman"/>
                <w:sz w:val="24"/>
                <w:szCs w:val="24"/>
                <w:color w:val="auto"/>
                <w:vertAlign w:val="superscript"/>
              </w:rPr>
              <w:t>(6)</w:t>
            </w:r>
          </w:p>
        </w:tc>
        <w:tc>
          <w:tcPr>
            <w:tcW w:w="23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173,300</w:t>
            </w:r>
          </w:p>
        </w:tc>
        <w:tc>
          <w:tcPr>
            <w:tcW w:w="188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Isaac Ro</w:t>
            </w:r>
            <w:r>
              <w:rPr>
                <w:rFonts w:ascii="Times New Roman" w:cs="Times New Roman" w:eastAsia="Times New Roman" w:hAnsi="Times New Roman"/>
                <w:sz w:val="24"/>
                <w:szCs w:val="24"/>
                <w:color w:val="auto"/>
                <w:vertAlign w:val="superscript"/>
              </w:rPr>
              <w:t>(7)</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Nicolas Roelofs, Ph.D.</w:t>
            </w:r>
            <w:r>
              <w:rPr>
                <w:rFonts w:ascii="Times New Roman" w:cs="Times New Roman" w:eastAsia="Times New Roman" w:hAnsi="Times New Roman"/>
                <w:sz w:val="24"/>
                <w:szCs w:val="24"/>
                <w:color w:val="auto"/>
                <w:vertAlign w:val="superscript"/>
              </w:rPr>
              <w:t>(8)</w:t>
            </w:r>
          </w:p>
        </w:tc>
        <w:tc>
          <w:tcPr>
            <w:tcW w:w="23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92,312</w:t>
            </w:r>
          </w:p>
        </w:tc>
        <w:tc>
          <w:tcPr>
            <w:tcW w:w="188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executive officers and directors as a group (8 persons)</w:t>
            </w:r>
            <w:r>
              <w:rPr>
                <w:rFonts w:ascii="Times New Roman" w:cs="Times New Roman" w:eastAsia="Times New Roman" w:hAnsi="Times New Roman"/>
                <w:sz w:val="24"/>
                <w:szCs w:val="24"/>
                <w:color w:val="auto"/>
                <w:vertAlign w:val="superscript"/>
              </w:rPr>
              <w:t>(9)</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10,787,273</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3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SoftBank SB Global Advisers Limited</w:t>
            </w:r>
            <w:r>
              <w:rPr>
                <w:rFonts w:ascii="Times New Roman" w:cs="Times New Roman" w:eastAsia="Times New Roman" w:hAnsi="Times New Roman"/>
                <w:sz w:val="24"/>
                <w:szCs w:val="24"/>
                <w:color w:val="auto"/>
                <w:vertAlign w:val="superscript"/>
              </w:rPr>
              <w:t>(10)</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5,135,383</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aMoon Growth Fund Limited Partnership</w:t>
            </w:r>
            <w:r>
              <w:rPr>
                <w:rFonts w:ascii="Times New Roman" w:cs="Times New Roman" w:eastAsia="Times New Roman" w:hAnsi="Times New Roman"/>
                <w:sz w:val="24"/>
                <w:szCs w:val="24"/>
                <w:color w:val="auto"/>
                <w:vertAlign w:val="superscript"/>
              </w:rPr>
              <w:t>(11)</w:t>
            </w:r>
          </w:p>
        </w:tc>
        <w:tc>
          <w:tcPr>
            <w:tcW w:w="23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4,923,196</w:t>
            </w:r>
          </w:p>
        </w:tc>
        <w:tc>
          <w:tcPr>
            <w:tcW w:w="188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1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Bradley L. Radoff and related entities and individuals</w:t>
            </w:r>
            <w:r>
              <w:rPr>
                <w:rFonts w:ascii="Times New Roman" w:cs="Times New Roman" w:eastAsia="Times New Roman" w:hAnsi="Times New Roman"/>
                <w:sz w:val="24"/>
                <w:szCs w:val="24"/>
                <w:color w:val="auto"/>
                <w:vertAlign w:val="superscript"/>
              </w:rPr>
              <w:t>(12)</w:t>
            </w:r>
          </w:p>
        </w:tc>
        <w:tc>
          <w:tcPr>
            <w:tcW w:w="23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4,277,528</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9030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23" w:lineRule="exact"/>
        <w:rPr>
          <w:sz w:val="20"/>
          <w:szCs w:val="20"/>
          <w:color w:val="auto"/>
        </w:rPr>
      </w:pPr>
    </w:p>
    <w:p>
      <w:pPr>
        <w:ind w:left="380" w:right="120" w:hanging="372"/>
        <w:spacing w:after="0" w:line="275" w:lineRule="auto"/>
        <w:tabs>
          <w:tab w:leader="none" w:pos="3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2,286,586 shares of Class A common stock held of record by Dr. Farokhzad; (ii) 2,117,138 shares of Class A common stock held of record by SAF-BND Trust for which Dr. Farokhzad’s spouse serves as trustee; (iii) 2,413,207 shares of Class A common stock subject to options exercisable within 60 days of May 11, 2026 and (iv) 101,801 shares of Class A common stock issuable upon settlement of RSUs within 60 days of May 11, 2026. Dr. Farokhzad disclaims beneficial ownership of the shares held by the SAF-BND Trust.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4" w:lineRule="exact"/>
        <w:rPr>
          <w:sz w:val="20"/>
          <w:szCs w:val="20"/>
          <w:color w:val="auto"/>
        </w:rPr>
      </w:pPr>
    </w:p>
    <w:p>
      <w:pPr>
        <w:ind w:left="380" w:right="40" w:hanging="372"/>
        <w:spacing w:after="0" w:line="29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322,244 shares of Class A common stock held of record by Mr. Horn; (ii) 1,086,583 shares of Class A common stock subject to options exercisable within 60 days of May 11, 2026 and (iii) 19,628 shares of Class A common stock issuable upon settlement of RSUs within 60 days of May 11, 2026.</w:t>
      </w:r>
    </w:p>
    <w:p>
      <w:pPr>
        <w:spacing w:after="0" w:line="56" w:lineRule="exact"/>
        <w:rPr>
          <w:rFonts w:ascii="Times New Roman" w:cs="Times New Roman" w:eastAsia="Times New Roman" w:hAnsi="Times New Roman"/>
          <w:sz w:val="16"/>
          <w:szCs w:val="16"/>
          <w:color w:val="auto"/>
        </w:rPr>
      </w:pPr>
    </w:p>
    <w:p>
      <w:pPr>
        <w:ind w:left="380" w:right="40" w:hanging="372"/>
        <w:spacing w:after="0" w:line="29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87,043 shares of Class A common stock held of record by Ms. Gulyani; (ii) 111,394 shares of Class A common stock subject to options exercisable within 60 days of May 11, 2026 and (iii) 20,500 shares of Class A common stock issuable upon settlement of RSUs within 60 days of May 11, 2026.</w:t>
      </w:r>
    </w:p>
    <w:p>
      <w:pPr>
        <w:spacing w:after="0" w:line="56" w:lineRule="exact"/>
        <w:rPr>
          <w:rFonts w:ascii="Times New Roman" w:cs="Times New Roman" w:eastAsia="Times New Roman" w:hAnsi="Times New Roman"/>
          <w:sz w:val="16"/>
          <w:szCs w:val="16"/>
          <w:color w:val="auto"/>
        </w:rPr>
      </w:pPr>
    </w:p>
    <w:p>
      <w:pPr>
        <w:ind w:left="380" w:right="60" w:hanging="372"/>
        <w:spacing w:after="0" w:line="29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784,025 shares of Class A common stock held of record by Dr. Langer; (ii) 456,062 shares of Class A common stock subject to options exercisable within 60 days of May 11, 2026 and (iii) 20,500 shares of Class A common stock issuable upon settlement of RSUs within 60 days of May 11, 2026.</w:t>
      </w:r>
    </w:p>
    <w:p>
      <w:pPr>
        <w:spacing w:after="0" w:line="56" w:lineRule="exact"/>
        <w:rPr>
          <w:rFonts w:ascii="Times New Roman" w:cs="Times New Roman" w:eastAsia="Times New Roman" w:hAnsi="Times New Roman"/>
          <w:sz w:val="16"/>
          <w:szCs w:val="16"/>
          <w:color w:val="auto"/>
        </w:rPr>
      </w:pPr>
    </w:p>
    <w:p>
      <w:pPr>
        <w:ind w:left="380" w:right="80" w:hanging="372"/>
        <w:spacing w:after="0" w:line="275"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91,566 shares of Class A common stock held of record by Mr. McGuire; (ii) 215,070 shares of Class A common stock held of record by Strong Bridge, LLC for which Mr. McGuire serves as an operating manager; (iii) 78,947 shares of Class A common stock held of record by Polaris Founders Capital Fund I, L.P. for which Mr. McGuire serves as general partner of the managing member; (iv) 288,867 shares of Class A common stock subject to options exercisable within 60 days of May 11, 2026 and (v) 20,500 shares of Class A common stock issuable upon settlement of RSUs within 60 days of May 11, 2026.</w:t>
      </w:r>
    </w:p>
    <w:p>
      <w:pPr>
        <w:spacing w:after="0" w:line="74" w:lineRule="exact"/>
        <w:rPr>
          <w:rFonts w:ascii="Times New Roman" w:cs="Times New Roman" w:eastAsia="Times New Roman" w:hAnsi="Times New Roman"/>
          <w:sz w:val="16"/>
          <w:szCs w:val="16"/>
          <w:color w:val="auto"/>
        </w:rPr>
      </w:pPr>
    </w:p>
    <w:p>
      <w:pPr>
        <w:ind w:left="380" w:right="140" w:hanging="372"/>
        <w:spacing w:after="0" w:line="29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27,925 shares of Class A common stock held of record by Mr. Nishar; (ii) 124,875 shares of Class A common stock subject to options exercisable within 60 days of May 11, 2026 and (iii) 20,500 shares of Class A common stock issuable upon settlement of RSUs within 60 days of May 11, 2026.</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Ro joined our board of directors in September 2025.</w:t>
      </w:r>
    </w:p>
    <w:p>
      <w:pPr>
        <w:spacing w:after="0" w:line="126" w:lineRule="exact"/>
        <w:rPr>
          <w:rFonts w:ascii="Times New Roman" w:cs="Times New Roman" w:eastAsia="Times New Roman" w:hAnsi="Times New Roman"/>
          <w:sz w:val="16"/>
          <w:szCs w:val="16"/>
          <w:color w:val="auto"/>
        </w:rPr>
      </w:pPr>
    </w:p>
    <w:p>
      <w:pPr>
        <w:ind w:left="380" w:right="180" w:hanging="372"/>
        <w:spacing w:after="0" w:line="29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26,656 shares of Class A common stock held of record by Dr. Roelofs; (ii) 48,573 shares of Class A common stock subject to options exercisable within 60 days of May 11, 2026 and (iii) 20,500 shares of Class A common stock issuable upon settlement of RSUs within 60 days of May 11, 2026.</w:t>
      </w:r>
    </w:p>
    <w:p>
      <w:pPr>
        <w:spacing w:after="0" w:line="56" w:lineRule="exact"/>
        <w:rPr>
          <w:rFonts w:ascii="Times New Roman" w:cs="Times New Roman" w:eastAsia="Times New Roman" w:hAnsi="Times New Roman"/>
          <w:sz w:val="16"/>
          <w:szCs w:val="16"/>
          <w:color w:val="auto"/>
        </w:rPr>
      </w:pPr>
    </w:p>
    <w:p>
      <w:pPr>
        <w:ind w:left="380" w:right="40" w:hanging="372"/>
        <w:spacing w:after="0" w:line="281"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6,037,200 shares of Class A common stock beneficially owned by our executive officers and directors; (ii) 4,529,561 shares of Class A common stock subject to options exercisable within 60 days of May 11, 2026 and (iii) 220,512 500 shares of Class A common stock issuable upon settlement of RSUs within 60 days of May 11, 2026.</w:t>
      </w:r>
    </w:p>
    <w:p>
      <w:pPr>
        <w:spacing w:after="0" w:line="69" w:lineRule="exact"/>
        <w:rPr>
          <w:rFonts w:ascii="Times New Roman" w:cs="Times New Roman" w:eastAsia="Times New Roman" w:hAnsi="Times New Roman"/>
          <w:sz w:val="16"/>
          <w:szCs w:val="16"/>
          <w:color w:val="auto"/>
        </w:rPr>
      </w:pPr>
    </w:p>
    <w:p>
      <w:pPr>
        <w:ind w:left="380" w:hanging="372"/>
        <w:spacing w:after="0" w:line="267"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entities is 251 Little Falls Drive, Wilmington, Delaware 19808.</w:t>
      </w:r>
    </w:p>
    <w:p>
      <w:pPr>
        <w:spacing w:after="0" w:line="86" w:lineRule="exact"/>
        <w:rPr>
          <w:rFonts w:ascii="Times New Roman" w:cs="Times New Roman" w:eastAsia="Times New Roman" w:hAnsi="Times New Roman"/>
          <w:sz w:val="16"/>
          <w:szCs w:val="16"/>
          <w:color w:val="auto"/>
        </w:rPr>
      </w:pPr>
    </w:p>
    <w:p>
      <w:pPr>
        <w:ind w:left="380" w:right="40" w:hanging="372"/>
        <w:spacing w:after="0" w:line="269"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4" w:lineRule="exact"/>
        <w:rPr>
          <w:sz w:val="20"/>
          <w:szCs w:val="20"/>
          <w:color w:val="auto"/>
        </w:rPr>
      </w:pPr>
    </w:p>
    <w:p>
      <w:pPr>
        <w:ind w:left="380" w:hanging="372"/>
        <w:spacing w:after="0" w:line="267" w:lineRule="auto"/>
        <w:tabs>
          <w:tab w:leader="none" w:pos="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on a Schedule 13D/A filed by Bradley L. Radoff with the SEC on April 13, 2026, Mr. Radoff holds sole voting and dispositive power with respect to 2,610,232 shares of common stock held directly by Mr. Radoff and shared voting power with respect to 500,000 shares of common stock held by the Radoff Family Foundation for which Mr. Radoff serves as a director. Michael Torok holds sole voting and dispositive power with respect to 285,000 shares of common stock held directly by Mr. Torok and shared voting and dispositive power with respect to 1,382,296 shares of common stock of which 1,167,296 shares are held by JEC II Associates, LLC for which Mr. Torok serves as Manager (JEC II) and 215,000 shares are held by the MOS Trust for which MOS PTC, LLC (MOS PTC) is trustee. Each reporting person may be deemed to be a member of a "group" with the other reporting persons for the purposes of Section 13(d)(3) of the Securities Exchange Act of 1934, as amended. The address for Mr. Radoff and the Radoff Family Foundation is 2727 Kirby Drive, Unit 29L, Houston, Texas 77098. The address for JEC II and Mr. Torok is 68 Mazzeo Drive, Randolph, Massachusetts 02368. The address for MOS Trust and MOS PTC is 270 W. Pearl, Suite 103, Jackson, Wyoming 83001. Based on this Schedule 13D/A, there have been no transactions in the Company’s securities by Mr. Radoff and the related entities and individuals since the filing of a Schedule 13D/A by Mr. Radoff with the SEC on March 2,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RELATIONSHIPS, RELATED PARTY AND OTHER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in our last fiscal year to which we were a party or will be a party, in which:</w:t>
      </w:r>
    </w:p>
    <w:p>
      <w:pPr>
        <w:spacing w:after="0" w:line="225" w:lineRule="exact"/>
        <w:rPr>
          <w:sz w:val="20"/>
          <w:szCs w:val="20"/>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RSUs to our executive officers and certain of our directors. See the sections titled “Executive Compensation - Outstanding Equity Awards at Fiscal Year-End” and “Director Compensation” for a description of these stock incentive awards.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2023, we were party to an amended and restated investors’ rights agreement (IRA), dated as of December 9, 2020, which provided,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and Other Transactions,” since January 1, 2023,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Class A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of our Class A common stock, file reports of ownership and changes of ownership with the SEC. Such directors, executive officers and 10% stockholders are required by SEC regulation to furnish us with copies of all Section 16(a) forms they file.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2025, all executive officers, directors and greater than 10% stockholders complied with all applicable SEC filing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Annual Report and SEC Filings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financial statements for our fiscal year ended December 31, 2025 are included in our Annual Report on Form 10-K filed with the SEC on March 2, 2026.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presented at the Annual Meeting. If any additional matters are properly presented at the Annual Meeting, your shares will be voted in the discretion of the named proxy holders.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of Class A common stock be represented at the Annual Meeting, regardless of the number of shares that you hold. You are, therefore, urged to vote over the Internet or by telephone as instructed on the enclosed BLUE proxy card or complete, sign, date and return, at your earliest convenience, the enclosed proxy card by mail in the postage-paid envelope provided.</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7856855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6300470" cy="7123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00470" cy="712343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57720" cy="7762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776224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February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COMPUTERSHARE TRUST COMPANY, N.A.,</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92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r>
      <w:tr>
        <w:trPr>
          <w:trHeight w:val="439"/>
        </w:trPr>
        <w:tc>
          <w:tcPr>
            <w:tcW w:w="13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2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16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Section 1. Certain Definitions</w:t>
            </w:r>
          </w:p>
        </w:tc>
        <w:tc>
          <w:tcPr>
            <w:tcW w:w="20" w:type="dxa"/>
            <w:vAlign w:val="bottom"/>
            <w:tcBorders>
              <w:bottom w:val="single" w:sz="8" w:color="0000EE"/>
            </w:tcBorders>
          </w:tcPr>
          <w:p>
            <w:pPr>
              <w:spacing w:after="0"/>
              <w:rPr>
                <w:sz w:val="16"/>
                <w:szCs w:val="16"/>
                <w:color w:val="auto"/>
              </w:rPr>
            </w:pPr>
          </w:p>
        </w:tc>
        <w:tc>
          <w:tcPr>
            <w:tcW w:w="7740" w:type="dxa"/>
            <w:vAlign w:val="bottom"/>
            <w:gridSpan w:val="28"/>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92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 Appointment of Rights Agent</w:t>
            </w:r>
          </w:p>
        </w:tc>
        <w:tc>
          <w:tcPr>
            <w:tcW w:w="7000" w:type="dxa"/>
            <w:vAlign w:val="bottom"/>
            <w:gridSpan w:val="2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98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3. Issuance of Rights Certificates</w:t>
            </w:r>
          </w:p>
        </w:tc>
        <w:tc>
          <w:tcPr>
            <w:tcW w:w="694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4. Form of Rights Certificates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5. Countersignature and Registration</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880" w:type="dxa"/>
            <w:vAlign w:val="bottom"/>
            <w:tcBorders>
              <w:bottom w:val="single" w:sz="8" w:color="0000FF"/>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6. Transfer, Split Up, Combination and Exchange of Rights Certificates; Mutilated, Destroyed, Lost or Stolen Rights Certificates</w:t>
            </w:r>
          </w:p>
        </w:tc>
        <w:tc>
          <w:tcPr>
            <w:tcW w:w="4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7. Exercise of Rights; Exercise Price; Prohibited Issuances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460" w:type="dxa"/>
            <w:vAlign w:val="bottom"/>
            <w:tcBorders>
              <w:top w:val="single" w:sz="8" w:color="0000FF"/>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8. Cancellation and Destruction of Rights Certificates</w:t>
            </w:r>
          </w:p>
        </w:tc>
        <w:tc>
          <w:tcPr>
            <w:tcW w:w="20" w:type="dxa"/>
            <w:vAlign w:val="bottom"/>
            <w:tcBorders>
              <w:top w:val="single" w:sz="8" w:color="0000FF"/>
              <w:bottom w:val="single" w:sz="8" w:color="0000EE"/>
            </w:tcBorders>
          </w:tcPr>
          <w:p>
            <w:pPr>
              <w:spacing w:after="0"/>
              <w:rPr>
                <w:sz w:val="17"/>
                <w:szCs w:val="17"/>
                <w:color w:val="auto"/>
              </w:rPr>
            </w:pPr>
          </w:p>
        </w:tc>
        <w:tc>
          <w:tcPr>
            <w:tcW w:w="320" w:type="dxa"/>
            <w:vAlign w:val="bottom"/>
            <w:tcBorders>
              <w:top w:val="single" w:sz="8" w:color="0000FF"/>
            </w:tcBorders>
            <w:gridSpan w:val="3"/>
          </w:tcPr>
          <w:p>
            <w:pPr>
              <w:spacing w:after="0"/>
              <w:rPr>
                <w:sz w:val="17"/>
                <w:szCs w:val="17"/>
                <w:color w:val="auto"/>
              </w:rPr>
            </w:pPr>
          </w:p>
        </w:tc>
        <w:tc>
          <w:tcPr>
            <w:tcW w:w="5120" w:type="dxa"/>
            <w:vAlign w:val="bottom"/>
            <w:gridSpan w:val="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4780" w:type="dxa"/>
            <w:vAlign w:val="bottom"/>
            <w:tcBorders>
              <w:bottom w:val="single" w:sz="8" w:color="0000FF"/>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 Reservation and Availability of Shares of Capital Stock</w:t>
            </w:r>
          </w:p>
        </w:tc>
        <w:tc>
          <w:tcPr>
            <w:tcW w:w="514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10. Record Date for Securities Issued</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11. Adjustment of Exercise Price, Number and Kind of Shares or Number of Rights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5140" w:type="dxa"/>
            <w:vAlign w:val="bottom"/>
            <w:tcBorders>
              <w:top w:val="single" w:sz="8" w:color="0000FF"/>
              <w:bottom w:val="single" w:sz="8" w:color="0000FF"/>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12. Certificate of Adjusted Exercise Price or Number of Shares</w:t>
            </w:r>
          </w:p>
        </w:tc>
        <w:tc>
          <w:tcPr>
            <w:tcW w:w="20" w:type="dxa"/>
            <w:vAlign w:val="bottom"/>
            <w:tcBorders>
              <w:top w:val="single" w:sz="8" w:color="0000FF"/>
              <w:bottom w:val="single" w:sz="8" w:color="0000EE"/>
            </w:tcBorders>
          </w:tcPr>
          <w:p>
            <w:pPr>
              <w:spacing w:after="0"/>
              <w:rPr>
                <w:sz w:val="17"/>
                <w:szCs w:val="17"/>
                <w:color w:val="auto"/>
              </w:rPr>
            </w:pPr>
          </w:p>
        </w:tc>
        <w:tc>
          <w:tcPr>
            <w:tcW w:w="1460" w:type="dxa"/>
            <w:vAlign w:val="bottom"/>
            <w:tcBorders>
              <w:top w:val="single" w:sz="8" w:color="0000FF"/>
            </w:tcBorders>
            <w:gridSpan w:val="3"/>
          </w:tcPr>
          <w:p>
            <w:pPr>
              <w:spacing w:after="0"/>
              <w:rPr>
                <w:sz w:val="17"/>
                <w:szCs w:val="17"/>
                <w:color w:val="auto"/>
              </w:rPr>
            </w:pPr>
          </w:p>
        </w:tc>
        <w:tc>
          <w:tcPr>
            <w:tcW w:w="330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6780" w:type="dxa"/>
            <w:vAlign w:val="bottom"/>
            <w:tcBorders>
              <w:bottom w:val="single" w:sz="8" w:color="0000FF"/>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 Consolidation, Merger or Sale or Transfer of Assets, Cash Flow or Earning Power</w:t>
            </w:r>
          </w:p>
        </w:tc>
        <w:tc>
          <w:tcPr>
            <w:tcW w:w="314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72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14. Fractional Rights and Fractional Shares</w:t>
            </w:r>
          </w:p>
        </w:tc>
        <w:tc>
          <w:tcPr>
            <w:tcW w:w="620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15. Rights of Action</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16. Agreement of Rights Holders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280" w:type="dxa"/>
            <w:vAlign w:val="bottom"/>
            <w:tcBorders>
              <w:bottom w:val="single" w:sz="8" w:color="0000FF"/>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17. Holder of Rights Certificate Not Deemed to be a Stockholder</w:t>
            </w:r>
          </w:p>
        </w:tc>
        <w:tc>
          <w:tcPr>
            <w:tcW w:w="464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18. Concerning the Rights Agent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160" w:type="dxa"/>
            <w:vAlign w:val="bottom"/>
            <w:tcBorders>
              <w:bottom w:val="single" w:sz="8" w:color="0000FF"/>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19. Merger, Consolidation or Change of Name of Rights Agent</w:t>
            </w:r>
          </w:p>
        </w:tc>
        <w:tc>
          <w:tcPr>
            <w:tcW w:w="476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20. Duties of Rights Agent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21. Change of Rights Agent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46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22. Issuance of New Rights Certificates</w:t>
            </w:r>
          </w:p>
        </w:tc>
        <w:tc>
          <w:tcPr>
            <w:tcW w:w="646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7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23. Redemption</w:t>
            </w:r>
          </w:p>
        </w:tc>
        <w:tc>
          <w:tcPr>
            <w:tcW w:w="8140" w:type="dxa"/>
            <w:vAlign w:val="bottom"/>
            <w:gridSpan w:val="3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5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24. Exchange</w:t>
            </w:r>
          </w:p>
        </w:tc>
        <w:tc>
          <w:tcPr>
            <w:tcW w:w="20" w:type="dxa"/>
            <w:vAlign w:val="bottom"/>
            <w:tcBorders>
              <w:bottom w:val="single" w:sz="8" w:color="0000EE"/>
            </w:tcBorders>
          </w:tcPr>
          <w:p>
            <w:pPr>
              <w:spacing w:after="0"/>
              <w:rPr>
                <w:sz w:val="17"/>
                <w:szCs w:val="17"/>
                <w:color w:val="auto"/>
              </w:rPr>
            </w:pPr>
          </w:p>
        </w:tc>
        <w:tc>
          <w:tcPr>
            <w:tcW w:w="8320" w:type="dxa"/>
            <w:vAlign w:val="bottom"/>
            <w:gridSpan w:val="4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700" w:type="dxa"/>
            <w:vAlign w:val="bottom"/>
            <w:tcBorders>
              <w:bottom w:val="single" w:sz="8" w:color="0000FF"/>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25. Process to Seek Exemption Prior to Triggering Event</w:t>
            </w:r>
          </w:p>
        </w:tc>
        <w:tc>
          <w:tcPr>
            <w:tcW w:w="522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26. Notice of Certain Events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27. Notices</w:t>
            </w:r>
          </w:p>
        </w:tc>
        <w:tc>
          <w:tcPr>
            <w:tcW w:w="20" w:type="dxa"/>
            <w:vAlign w:val="bottom"/>
            <w:tcBorders>
              <w:top w:val="single" w:sz="8" w:color="0000FF"/>
              <w:bottom w:val="single" w:sz="8" w:color="0000EE"/>
            </w:tcBorders>
          </w:tcPr>
          <w:p>
            <w:pPr>
              <w:spacing w:after="0"/>
              <w:rPr>
                <w:sz w:val="17"/>
                <w:szCs w:val="17"/>
                <w:color w:val="auto"/>
              </w:rPr>
            </w:pPr>
          </w:p>
        </w:tc>
        <w:tc>
          <w:tcPr>
            <w:tcW w:w="1200" w:type="dxa"/>
            <w:vAlign w:val="bottom"/>
            <w:tcBorders>
              <w:top w:val="single" w:sz="8" w:color="0000FF"/>
            </w:tcBorders>
            <w:gridSpan w:val="21"/>
          </w:tcPr>
          <w:p>
            <w:pPr>
              <w:spacing w:after="0"/>
              <w:rPr>
                <w:sz w:val="17"/>
                <w:szCs w:val="17"/>
                <w:color w:val="auto"/>
              </w:rPr>
            </w:pPr>
          </w:p>
        </w:tc>
        <w:tc>
          <w:tcPr>
            <w:tcW w:w="72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28. Supplements and Amendments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6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29. Successors</w:t>
            </w:r>
          </w:p>
        </w:tc>
        <w:tc>
          <w:tcPr>
            <w:tcW w:w="20" w:type="dxa"/>
            <w:vAlign w:val="bottom"/>
            <w:tcBorders>
              <w:top w:val="single" w:sz="8" w:color="0000FF"/>
              <w:bottom w:val="single" w:sz="8" w:color="0000EE"/>
            </w:tcBorders>
          </w:tcPr>
          <w:p>
            <w:pPr>
              <w:spacing w:after="0"/>
              <w:rPr>
                <w:sz w:val="17"/>
                <w:szCs w:val="17"/>
                <w:color w:val="auto"/>
              </w:rPr>
            </w:pPr>
          </w:p>
        </w:tc>
        <w:tc>
          <w:tcPr>
            <w:tcW w:w="1420" w:type="dxa"/>
            <w:vAlign w:val="bottom"/>
            <w:tcBorders>
              <w:top w:val="single" w:sz="8" w:color="0000FF"/>
            </w:tcBorders>
            <w:gridSpan w:val="21"/>
          </w:tcPr>
          <w:p>
            <w:pPr>
              <w:spacing w:after="0"/>
              <w:rPr>
                <w:sz w:val="17"/>
                <w:szCs w:val="17"/>
                <w:color w:val="auto"/>
              </w:rPr>
            </w:pPr>
          </w:p>
        </w:tc>
        <w:tc>
          <w:tcPr>
            <w:tcW w:w="6820" w:type="dxa"/>
            <w:vAlign w:val="bottom"/>
            <w:gridSpan w:val="1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386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 Determinations and Actions by the Board</w:t>
            </w:r>
          </w:p>
        </w:tc>
        <w:tc>
          <w:tcPr>
            <w:tcW w:w="606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31. Benefits of this Plan</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7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32. Severability</w:t>
            </w:r>
          </w:p>
        </w:tc>
        <w:tc>
          <w:tcPr>
            <w:tcW w:w="20" w:type="dxa"/>
            <w:vAlign w:val="bottom"/>
            <w:tcBorders>
              <w:top w:val="single" w:sz="8" w:color="0000FF"/>
              <w:bottom w:val="single" w:sz="8" w:color="0000EE"/>
            </w:tcBorders>
          </w:tcPr>
          <w:p>
            <w:pPr>
              <w:spacing w:after="0"/>
              <w:rPr>
                <w:sz w:val="17"/>
                <w:szCs w:val="17"/>
                <w:color w:val="auto"/>
              </w:rPr>
            </w:pPr>
          </w:p>
        </w:tc>
        <w:tc>
          <w:tcPr>
            <w:tcW w:w="560" w:type="dxa"/>
            <w:vAlign w:val="bottom"/>
            <w:tcBorders>
              <w:top w:val="single" w:sz="8" w:color="0000FF"/>
            </w:tcBorders>
            <w:gridSpan w:val="10"/>
          </w:tcPr>
          <w:p>
            <w:pPr>
              <w:spacing w:after="0"/>
              <w:rPr>
                <w:sz w:val="17"/>
                <w:szCs w:val="17"/>
                <w:color w:val="auto"/>
              </w:rPr>
            </w:pPr>
          </w:p>
        </w:tc>
        <w:tc>
          <w:tcPr>
            <w:tcW w:w="7600" w:type="dxa"/>
            <w:vAlign w:val="bottom"/>
            <w:gridSpan w:val="2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5260" w:type="dxa"/>
            <w:vAlign w:val="bottom"/>
            <w:tcBorders>
              <w:bottom w:val="single" w:sz="8" w:color="0000FF"/>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33. Governing Law; Exclusive Jurisdiction; Waiver of Jury Trial</w:t>
            </w:r>
          </w:p>
        </w:tc>
        <w:tc>
          <w:tcPr>
            <w:tcW w:w="466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8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34. Counterparts</w:t>
            </w:r>
          </w:p>
        </w:tc>
        <w:tc>
          <w:tcPr>
            <w:tcW w:w="20" w:type="dxa"/>
            <w:vAlign w:val="bottom"/>
            <w:tcBorders>
              <w:bottom w:val="single" w:sz="8" w:color="0000EE"/>
            </w:tcBorders>
          </w:tcPr>
          <w:p>
            <w:pPr>
              <w:spacing w:after="0"/>
              <w:rPr>
                <w:sz w:val="17"/>
                <w:szCs w:val="17"/>
                <w:color w:val="auto"/>
              </w:rPr>
            </w:pPr>
          </w:p>
        </w:tc>
        <w:tc>
          <w:tcPr>
            <w:tcW w:w="8100" w:type="dxa"/>
            <w:vAlign w:val="bottom"/>
            <w:gridSpan w:val="3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35. Interpretation</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860" w:type="dxa"/>
            <w:vAlign w:val="bottom"/>
            <w:tcBorders>
              <w:right w:val="single" w:sz="8" w:color="0000EE"/>
            </w:tcBorders>
            <w:gridSpan w:val="1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80" w:type="dxa"/>
            <w:vAlign w:val="bottom"/>
            <w:gridSpan w:val="2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4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36. Costs of Enforcement</w:t>
            </w:r>
          </w:p>
        </w:tc>
        <w:tc>
          <w:tcPr>
            <w:tcW w:w="7480" w:type="dxa"/>
            <w:vAlign w:val="bottom"/>
            <w:gridSpan w:val="2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9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37. Force Majeure</w:t>
            </w:r>
          </w:p>
        </w:tc>
        <w:tc>
          <w:tcPr>
            <w:tcW w:w="20" w:type="dxa"/>
            <w:vAlign w:val="bottom"/>
            <w:tcBorders>
              <w:bottom w:val="single" w:sz="8" w:color="0000EE"/>
            </w:tcBorders>
          </w:tcPr>
          <w:p>
            <w:pPr>
              <w:spacing w:after="0"/>
              <w:rPr>
                <w:sz w:val="17"/>
                <w:szCs w:val="17"/>
                <w:color w:val="auto"/>
              </w:rPr>
            </w:pPr>
          </w:p>
        </w:tc>
        <w:tc>
          <w:tcPr>
            <w:tcW w:w="7980" w:type="dxa"/>
            <w:vAlign w:val="bottom"/>
            <w:gridSpan w:val="3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92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Section 38. USA PATRIOT Act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215"/>
        </w:trPr>
        <w:tc>
          <w:tcPr>
            <w:tcW w:w="13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u w:val="single" w:color="auto"/>
          <w:color w:val="0000FF"/>
        </w:rPr>
        <w:t>Form of Certificate of Designation of Rights, Powers and Preferences of Series A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0831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u w:val="single" w:color="auto"/>
          <w:color w:val="0000FF"/>
        </w:rPr>
        <w:t>Form of Rights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12090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u w:val="single" w:color="auto"/>
          <w:color w:val="0000FF"/>
        </w:rPr>
        <w:t>Form of Summary of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1718945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-7620</wp:posOffset>
            </wp:positionV>
            <wp:extent cx="12947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9" w:name="page80"/>
    <w:bookmarkEnd w:id="79"/>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Tax Benefit Preservation Plan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dated as of February 26, 2026, is between Seer,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Trust Company, N.A., a federally chartered trust company, as rights agent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Each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Rights Agent are sometimes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All capitalized terms used in this Plan have the meanings given to them in Section 1.</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0" w:firstLine="757"/>
        <w:spacing w:after="0" w:line="256" w:lineRule="auto"/>
        <w:tabs>
          <w:tab w:leader="none" w:pos="11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26, 2026 (the “</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 adopted resolutions creating a series of preferred stock designated as “Series A Participating Preferred Stock,” (ii) adopted this Plan and (iii) authorized and declared a dividend of one preferred stock purchase right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for each share of Common Stock outstanding as of the Close of Business on March 9,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Upon the terms and subject to the conditions of this Plan, each Right initially represents the right to purchase one one-thousandth of a share of Preferred Stock (as such number may be adjusted pursuant to the provisions of this Plan) and has the rights, powers and preferences set forth in the form of Certificate of Designation of Rights, Powers and Preferences of Series A Participating Preferred Stock attached as Exhibit A.</w:t>
      </w:r>
    </w:p>
    <w:p>
      <w:pPr>
        <w:spacing w:after="0" w:line="186" w:lineRule="exact"/>
        <w:rPr>
          <w:rFonts w:ascii="Times New Roman" w:cs="Times New Roman" w:eastAsia="Times New Roman" w:hAnsi="Times New Roman"/>
          <w:sz w:val="18"/>
          <w:szCs w:val="18"/>
          <w:color w:val="auto"/>
        </w:rPr>
      </w:pPr>
    </w:p>
    <w:p>
      <w:pPr>
        <w:ind w:right="20" w:firstLine="757"/>
        <w:spacing w:after="0" w:line="266" w:lineRule="auto"/>
        <w:tabs>
          <w:tab w:leader="none" w:pos="11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further authorized and directed the issuance of one Right (as such number may be adjusted pursuant to the provisions of this Plan) with respect to each share of Common Stock that becomes outstanding (whether as an original issuance or from the Company’s treasury) between the Record Date and, subject to Section 22, the earlier of the Distribution Date and the Expiration Date.</w:t>
      </w:r>
    </w:p>
    <w:p>
      <w:pPr>
        <w:spacing w:after="0" w:line="175" w:lineRule="exact"/>
        <w:rPr>
          <w:rFonts w:ascii="Times New Roman" w:cs="Times New Roman" w:eastAsia="Times New Roman" w:hAnsi="Times New Roman"/>
          <w:sz w:val="18"/>
          <w:szCs w:val="18"/>
          <w:color w:val="auto"/>
        </w:rPr>
      </w:pPr>
    </w:p>
    <w:p>
      <w:pPr>
        <w:ind w:right="260" w:firstLine="757"/>
        <w:spacing w:after="0" w:line="282" w:lineRule="auto"/>
        <w:tabs>
          <w:tab w:leader="none" w:pos="11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experiences an “ownership change,” as defined in Section 382 of the Code, its ability to use Tax Benefits for income tax purposes could be substantially limited or lost altogether.</w:t>
      </w:r>
    </w:p>
    <w:p>
      <w:pPr>
        <w:spacing w:after="0" w:line="161"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views the Tax Benefits as highly valuable assets of the Company that are likely to inure to the benefit of the Company and its stockholders, and the Board believes that it is in the best interests of the Company and its stockholders that the Company provide for the protection of the Tax Benefits on the terms and conditions set forth in this Plan.</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Plan, the following terms have the meanings indicated:</w:t>
      </w:r>
    </w:p>
    <w:p>
      <w:pPr>
        <w:spacing w:after="0" w:line="223" w:lineRule="exact"/>
        <w:rPr>
          <w:sz w:val="20"/>
          <w:szCs w:val="20"/>
          <w:color w:val="auto"/>
        </w:rPr>
      </w:pPr>
    </w:p>
    <w:p>
      <w:pPr>
        <w:ind w:right="160" w:firstLine="1505"/>
        <w:spacing w:after="0" w:line="268" w:lineRule="auto"/>
        <w:tabs>
          <w:tab w:leader="none" w:pos="18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means any Person who or that, together with all Affiliates and Associates of such Person, is the Beneficial Owner of the Triggering Percentage or more of the shares of Common Stock then outstanding but will not include any Exempt Person. Notwithstanding anything in this definition of “Acquiring Person” to the contrary:</w:t>
      </w:r>
    </w:p>
    <w:p>
      <w:pPr>
        <w:spacing w:after="0" w:line="174" w:lineRule="exact"/>
        <w:rPr>
          <w:rFonts w:ascii="Times New Roman" w:cs="Times New Roman" w:eastAsia="Times New Roman" w:hAnsi="Times New Roman"/>
          <w:sz w:val="18"/>
          <w:szCs w:val="18"/>
          <w:color w:val="auto"/>
        </w:rPr>
      </w:pPr>
    </w:p>
    <w:p>
      <w:pPr>
        <w:ind w:right="60" w:firstLine="2629"/>
        <w:spacing w:after="0" w:line="254" w:lineRule="auto"/>
        <w:tabs>
          <w:tab w:leader="none" w:pos="298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who Beneficially Owns, as of the time of the public announcement of this Plan, the Triggering Percentage or more of the shares of Common Stock then outstanding will become an Acquiring Person unless such Person, after the time of the public announcement of this Plan, becomes the Beneficial Owner of any additional shares of Common Stock (other than pursuant to a dividend or distribution paid or made by the Company on the Common Stock in the form of shares of Common Stock or a split or subdivision of the Common Stock), unless, upon becoming the Beneficial Owner of such additional shares of Common Stock, such Person is not then the Beneficial Owner of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ind w:left="-380" w:right="20" w:firstLine="2629"/>
        <w:spacing w:after="0" w:line="253" w:lineRule="auto"/>
        <w:tabs>
          <w:tab w:leader="none" w:pos="26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deemed to be an Acquiring Person as the result of an acquisition of shares of Common Stock by an Exempt Person that, by reducing the number of shares of Common Stock then outstanding, increases the proportionate number of shares of Common Stock that are Beneficially Owned by such Person to the Triggering Percentage or more of the shares of Common Stock then outstanding, it being understood that if a Person becomes the Beneficial Owner of the Triggering Percentage or more of the shares of Common Stock then outstanding solely as the result of a reduction in the number of shares of Common Stock then outstanding due to an acquisition of shares of Common Stock by an Exempt Person and, after such acquisition by such Exempt Person, such Person becomes the Beneficial Owner of any additional shares of Common Stock (other than pursuant to a dividend or distribution paid or made by the Company on the Common Stock in the form of shares of Common Stock or pursuant to a split or subdivision of the Common Stock),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89" w:lineRule="exact"/>
        <w:rPr>
          <w:rFonts w:ascii="Times New Roman" w:cs="Times New Roman" w:eastAsia="Times New Roman" w:hAnsi="Times New Roman"/>
          <w:sz w:val="18"/>
          <w:szCs w:val="18"/>
          <w:color w:val="auto"/>
        </w:rPr>
      </w:pPr>
    </w:p>
    <w:p>
      <w:pPr>
        <w:ind w:left="-380" w:firstLine="2629"/>
        <w:spacing w:after="0" w:line="253" w:lineRule="auto"/>
        <w:tabs>
          <w:tab w:leader="none" w:pos="26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deemed to be an Acquiring Person solely as a result of any unilateral grant of any security by the Company, or through the exercise of any options, warrants, rights or similar interests (including restricted stock) granted by the Company to its directors, officers and employees, it being understood that if a Person becomes the Beneficial Owner of the Triggering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and such Person becomes the Beneficial Owner of any additional shares of Common Stock (other than (A) pursuant to a dividend or distribution paid or made by the Company on the Common Stock in shares of Common Stock or pursuant to a split or subdivision of the Common Stock; or (B) the unilateral grant of a security by the Company, or through the exercise of any options, warrants, rights or similar interest (including restricted stock) granted by the Company to its directors, officers and employees),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89" w:lineRule="exact"/>
        <w:rPr>
          <w:rFonts w:ascii="Times New Roman" w:cs="Times New Roman" w:eastAsia="Times New Roman" w:hAnsi="Times New Roman"/>
          <w:sz w:val="18"/>
          <w:szCs w:val="18"/>
          <w:color w:val="auto"/>
        </w:rPr>
      </w:pPr>
    </w:p>
    <w:p>
      <w:pPr>
        <w:ind w:left="-380" w:right="260" w:firstLine="2629"/>
        <w:spacing w:after="0" w:line="261" w:lineRule="auto"/>
        <w:tabs>
          <w:tab w:leader="none" w:pos="26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deemed to be an Acquiring Person as the result of the acquisition of Beneficial Ownership of shares of Common Stock from an individual who, as of the time of the public announcement of this Plan, is the Beneficial Owner of the Triggering Percentage or more of the shares of Common Stock then outstanding if such shares of Common Stock are received by such Person upon an individual’s death pursuant to such individual’s will or pursuant to a charitable trust created by such individual for estate planning purposes; and</w:t>
      </w:r>
    </w:p>
    <w:p>
      <w:pPr>
        <w:spacing w:after="0" w:line="179" w:lineRule="exact"/>
        <w:rPr>
          <w:rFonts w:ascii="Times New Roman" w:cs="Times New Roman" w:eastAsia="Times New Roman" w:hAnsi="Times New Roman"/>
          <w:sz w:val="18"/>
          <w:szCs w:val="18"/>
          <w:color w:val="auto"/>
        </w:rPr>
      </w:pPr>
    </w:p>
    <w:p>
      <w:pPr>
        <w:ind w:left="-380" w:right="20" w:firstLine="2629"/>
        <w:spacing w:after="0" w:line="254" w:lineRule="auto"/>
        <w:tabs>
          <w:tab w:leader="none" w:pos="26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determines in good faith that a Person who would otherwise be an Acquiring Person has become such inadvertently (including because (A) such Person was unaware that it Beneficially Owned a percentage of the shares of Common Stock then outstanding that would otherwise cause such Person to be an Acquiring Person or (B) such Person was aware of the extent of the shares of Common Stock then outstanding that it Beneficially Owned but had no actual knowledge of the consequences of such Beneficial Ownership pursuant to this Plan) and without any intention of changing or influencing control of the Company or negatively affecting the Tax Benefits, and if such Person divested or divests (including by entering into an agreement with the Company, which agreement is satisfactory to the Board (or a committee thereof) in its sole discretion, to divest and subsequently divests in accordance with the terms of such agreement, without exercising or retaining any power, including voting power, with respect to such shares of Common Stock) as promptly as practicable a sufficient number of shares of Common Stock so that such Person would no longer be an Acquiring Person, then such Person will not be deemed to be or to have become an Acquiring Person at any time for any purposes of this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81" w:name="page82"/>
    <w:bookmarkEnd w:id="81"/>
    <w:p>
      <w:pPr>
        <w:spacing w:after="0" w:line="194"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Plan to the contrary, the Board (or a committee thereof), in its sole discretion, may determine that any Person (whether or not including any Affiliates and Associates of such Person) is an Acquiring Person under this Plan if such Person becomes the Beneficial Owner of the Triggering Percentage or more of, in the aggregate, any of (i) the Company’s stock then outstanding (as the term “stock” is defined in Treasury Regulations § 1.382-2(a)(3) and § 1.382-2T(f)(18)); (ii) the Company’s preferred stock (other than preferred stock described in Section 1504(a)</w:t>
      </w:r>
    </w:p>
    <w:p>
      <w:pPr>
        <w:spacing w:after="0" w:line="3" w:lineRule="exact"/>
        <w:rPr>
          <w:sz w:val="20"/>
          <w:szCs w:val="20"/>
          <w:color w:val="auto"/>
        </w:rPr>
      </w:pPr>
    </w:p>
    <w:p>
      <w:pPr>
        <w:ind w:left="260" w:hanging="252"/>
        <w:spacing w:after="0"/>
        <w:tabs>
          <w:tab w:leader="none" w:pos="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(iii) the Company’s warrants, rights, convertible debt or options (including options within the meaning of Treasury Regulations § 1.382-</w:t>
      </w:r>
    </w:p>
    <w:p>
      <w:pPr>
        <w:spacing w:after="0" w:line="9" w:lineRule="exact"/>
        <w:rPr>
          <w:rFonts w:ascii="Times New Roman" w:cs="Times New Roman" w:eastAsia="Times New Roman" w:hAnsi="Times New Roman"/>
          <w:sz w:val="18"/>
          <w:szCs w:val="18"/>
          <w:color w:val="auto"/>
        </w:rPr>
      </w:pPr>
    </w:p>
    <w:p>
      <w:pPr>
        <w:ind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4(d)(9)) to purchase stock (other than preferred stock described in Section 1504(a)(4) of the Code); or (iv) any other interest that would be treated as “stock” of the Company pursuant to Treasury Regulation § 1.382-2T(f)(18) (any of the foregoing,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Shares</w:t>
      </w:r>
      <w:r>
        <w:rPr>
          <w:rFonts w:ascii="Times New Roman" w:cs="Times New Roman" w:eastAsia="Times New Roman" w:hAnsi="Times New Roman"/>
          <w:sz w:val="18"/>
          <w:szCs w:val="18"/>
          <w:color w:val="auto"/>
        </w:rPr>
        <w:t>” has the meaning set forth in Section 11(a)(ii).</w:t>
      </w:r>
    </w:p>
    <w:p>
      <w:pPr>
        <w:spacing w:after="0" w:line="225" w:lineRule="exact"/>
        <w:rPr>
          <w:rFonts w:ascii="Times New Roman" w:cs="Times New Roman" w:eastAsia="Times New Roman" w:hAnsi="Times New Roman"/>
          <w:sz w:val="18"/>
          <w:szCs w:val="18"/>
          <w:color w:val="auto"/>
        </w:rPr>
      </w:pPr>
    </w:p>
    <w:p>
      <w:pPr>
        <w:ind w:right="20" w:firstLine="1505"/>
        <w:spacing w:after="0" w:line="256" w:lineRule="auto"/>
        <w:tabs>
          <w:tab w:leader="none" w:pos="18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have the respective meanings ascribed to such terms in Rule 12b-2 of the General Rules and Regulations promulgated under the Exchange Act, as in effect on the date of this Plan, and, to the extent not included within the foregoing, will also include, with respect to any Person, any other Person (other than an Exempt Person) whose Stock: (i) would be deemed owned constructively or indirectly by such first Person for purposes of Section 382; (ii) would be deemed owned by a single “entity” as defined in Treasury Regulation § 1.382-3(a)(1) in which both such first Person and such other Person are included; or (iii) otherwise would be deemed aggregated with Stock owned by such first Person pursuant to the provisions of Section 382. Notwithstanding the foregoing, a Person will not be deemed to be an Affiliate or Associate of another Person solely because either or both such Persons are or were directors of the Company.</w:t>
      </w:r>
    </w:p>
    <w:p>
      <w:pPr>
        <w:spacing w:after="0" w:line="182" w:lineRule="exact"/>
        <w:rPr>
          <w:rFonts w:ascii="Times New Roman" w:cs="Times New Roman" w:eastAsia="Times New Roman" w:hAnsi="Times New Roman"/>
          <w:sz w:val="18"/>
          <w:szCs w:val="18"/>
          <w:color w:val="auto"/>
        </w:rPr>
      </w:pPr>
    </w:p>
    <w:p>
      <w:pPr>
        <w:ind w:right="360" w:firstLine="1505"/>
        <w:spacing w:after="0" w:line="286" w:lineRule="auto"/>
        <w:tabs>
          <w:tab w:leader="none" w:pos="18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Appropriate Officers</w:t>
      </w:r>
      <w:r>
        <w:rPr>
          <w:rFonts w:ascii="Times New Roman" w:cs="Times New Roman" w:eastAsia="Times New Roman" w:hAnsi="Times New Roman"/>
          <w:sz w:val="18"/>
          <w:szCs w:val="18"/>
          <w:color w:val="auto"/>
        </w:rPr>
        <w:t>” means the Company’s Chairman of the Board, Chief Executive Officer, President, Chief Financial Officer, Treasurer or Secretary, or any Vice President or Assistant Secretary.</w:t>
      </w:r>
    </w:p>
    <w:p>
      <w:pPr>
        <w:spacing w:after="0" w:line="154" w:lineRule="exact"/>
        <w:rPr>
          <w:rFonts w:ascii="Times New Roman" w:cs="Times New Roman" w:eastAsia="Times New Roman" w:hAnsi="Times New Roman"/>
          <w:sz w:val="18"/>
          <w:szCs w:val="18"/>
          <w:color w:val="auto"/>
        </w:rPr>
      </w:pPr>
    </w:p>
    <w:p>
      <w:pPr>
        <w:ind w:right="300" w:firstLine="1505"/>
        <w:spacing w:after="0" w:line="286" w:lineRule="auto"/>
        <w:tabs>
          <w:tab w:leader="none" w:pos="18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will be deemed to be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will be deemed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and have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of, any securities:</w:t>
      </w:r>
    </w:p>
    <w:p>
      <w:pPr>
        <w:spacing w:after="0" w:line="158" w:lineRule="exact"/>
        <w:rPr>
          <w:rFonts w:ascii="Times New Roman" w:cs="Times New Roman" w:eastAsia="Times New Roman" w:hAnsi="Times New Roman"/>
          <w:sz w:val="18"/>
          <w:szCs w:val="18"/>
          <w:color w:val="auto"/>
        </w:rPr>
      </w:pPr>
    </w:p>
    <w:p>
      <w:pPr>
        <w:ind w:firstLine="2629"/>
        <w:spacing w:after="0" w:line="261" w:lineRule="auto"/>
        <w:tabs>
          <w:tab w:leader="none" w:pos="2981"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spacing w:after="0" w:line="3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2" w:name="page83"/>
    <w:bookmarkEnd w:id="82"/>
    <w:p>
      <w:pPr>
        <w:spacing w:after="0" w:line="194" w:lineRule="exact"/>
        <w:rPr>
          <w:sz w:val="20"/>
          <w:szCs w:val="20"/>
          <w:color w:val="auto"/>
        </w:rPr>
      </w:pPr>
    </w:p>
    <w:p>
      <w:pPr>
        <w:ind w:left="-400" w:firstLine="2629"/>
        <w:spacing w:after="0" w:line="251" w:lineRule="auto"/>
        <w:tabs>
          <w:tab w:leader="none" w:pos="25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w:t>
      </w:r>
      <w:r>
        <w:rPr>
          <w:rFonts w:ascii="Times New Roman" w:cs="Times New Roman" w:eastAsia="Times New Roman" w:hAnsi="Times New Roman"/>
          <w:sz w:val="18"/>
          <w:szCs w:val="18"/>
          <w:b w:val="1"/>
          <w:bCs w:val="1"/>
          <w:color w:val="auto"/>
        </w:rPr>
        <w:t>Original Rights</w:t>
      </w:r>
      <w:r>
        <w:rPr>
          <w:rFonts w:ascii="Times New Roman" w:cs="Times New Roman" w:eastAsia="Times New Roman" w:hAnsi="Times New Roman"/>
          <w:sz w:val="18"/>
          <w:szCs w:val="18"/>
          <w:color w:val="auto"/>
        </w:rPr>
        <w:t>”)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spacing w:after="0" w:line="205" w:lineRule="exact"/>
        <w:rPr>
          <w:rFonts w:ascii="Times New Roman" w:cs="Times New Roman" w:eastAsia="Times New Roman" w:hAnsi="Times New Roman"/>
          <w:sz w:val="18"/>
          <w:szCs w:val="18"/>
          <w:color w:val="auto"/>
        </w:rPr>
      </w:pPr>
    </w:p>
    <w:p>
      <w:pPr>
        <w:ind w:left="-400" w:firstLine="2629"/>
        <w:spacing w:after="0" w:line="253" w:lineRule="auto"/>
        <w:tabs>
          <w:tab w:leader="none" w:pos="25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w:t>
      </w:r>
    </w:p>
    <w:p>
      <w:pPr>
        <w:spacing w:after="0" w:line="191" w:lineRule="exact"/>
        <w:rPr>
          <w:rFonts w:ascii="Times New Roman" w:cs="Times New Roman" w:eastAsia="Times New Roman" w:hAnsi="Times New Roman"/>
          <w:sz w:val="18"/>
          <w:szCs w:val="18"/>
          <w:color w:val="auto"/>
        </w:rPr>
      </w:pPr>
    </w:p>
    <w:p>
      <w:pPr>
        <w:ind w:left="-400" w:firstLine="2629"/>
        <w:spacing w:after="0" w:line="254" w:lineRule="auto"/>
        <w:tabs>
          <w:tab w:leader="none" w:pos="25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1(e)(iii)) or disposing of any securities of the Company,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20" w:top="1440" w:right="379" w:bottom="1440" w:gutter="0" w:footer="0" w:header="0"/>
        </w:sectPr>
      </w:pPr>
    </w:p>
    <w:bookmarkStart w:id="83" w:name="page84"/>
    <w:bookmarkEnd w:id="83"/>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each such stockholder to be the Beneficial Owner of the securities held by the other stockholder(s); or</w:t>
      </w:r>
    </w:p>
    <w:p>
      <w:pPr>
        <w:spacing w:after="0" w:line="189" w:lineRule="exact"/>
        <w:rPr>
          <w:sz w:val="20"/>
          <w:szCs w:val="20"/>
          <w:color w:val="auto"/>
        </w:rPr>
      </w:pPr>
    </w:p>
    <w:p>
      <w:pPr>
        <w:ind w:firstLine="2629"/>
        <w:spacing w:after="0" w:line="253" w:lineRule="auto"/>
        <w:tabs>
          <w:tab w:leader="none" w:pos="2981"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w:t>
      </w:r>
    </w:p>
    <w:p>
      <w:pPr>
        <w:spacing w:after="0" w:line="2" w:lineRule="exact"/>
        <w:rPr>
          <w:rFonts w:ascii="Times New Roman" w:cs="Times New Roman" w:eastAsia="Times New Roman" w:hAnsi="Times New Roman"/>
          <w:sz w:val="18"/>
          <w:szCs w:val="18"/>
          <w:color w:val="auto"/>
        </w:rPr>
      </w:pPr>
    </w:p>
    <w:p>
      <w:pPr>
        <w:ind w:right="220" w:firstLine="8"/>
        <w:spacing w:after="0" w:line="265" w:lineRule="auto"/>
        <w:tabs>
          <w:tab w:leader="none" w:pos="28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w:t>
      </w:r>
    </w:p>
    <w:p>
      <w:pPr>
        <w:ind w:right="2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spacing w:after="0" w:line="177" w:lineRule="exact"/>
        <w:rPr>
          <w:rFonts w:ascii="Times New Roman" w:cs="Times New Roman" w:eastAsia="Times New Roman" w:hAnsi="Times New Roman"/>
          <w:sz w:val="17"/>
          <w:szCs w:val="17"/>
          <w:color w:val="auto"/>
        </w:rPr>
      </w:pPr>
    </w:p>
    <w:p>
      <w:pPr>
        <w:ind w:left="1860" w:hanging="355"/>
        <w:spacing w:after="0"/>
        <w:tabs>
          <w:tab w:leader="none" w:pos="18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 Entry Shares</w:t>
      </w:r>
      <w:r>
        <w:rPr>
          <w:rFonts w:ascii="Times New Roman" w:cs="Times New Roman" w:eastAsia="Times New Roman" w:hAnsi="Times New Roman"/>
          <w:sz w:val="18"/>
          <w:szCs w:val="18"/>
          <w:color w:val="auto"/>
        </w:rPr>
        <w:t>” has the meaning set forth in Section 3(a).</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 day on which the Federal Reserve Bank of New York is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w:t>
      </w:r>
    </w:p>
    <w:p>
      <w:pPr>
        <w:spacing w:after="0" w:line="202" w:lineRule="exact"/>
        <w:rPr>
          <w:rFonts w:ascii="Times New Roman" w:cs="Times New Roman" w:eastAsia="Times New Roman" w:hAnsi="Times New Roman"/>
          <w:sz w:val="18"/>
          <w:szCs w:val="18"/>
          <w:color w:val="auto"/>
        </w:rPr>
      </w:pPr>
    </w:p>
    <w:p>
      <w:pPr>
        <w:ind w:right="220" w:firstLine="1505"/>
        <w:spacing w:after="0" w:line="286" w:lineRule="auto"/>
        <w:tabs>
          <w:tab w:leader="none" w:pos="18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on any given date means 5:00 p.m., New York City time, on such date. If such date is not a Business Day, then it means 5:00 p.m., New York City time, on the next succeeding Business Day.</w:t>
      </w:r>
    </w:p>
    <w:p>
      <w:pPr>
        <w:spacing w:after="0" w:line="15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or any successor statute.</w:t>
      </w:r>
    </w:p>
    <w:p>
      <w:pPr>
        <w:spacing w:after="0" w:line="200" w:lineRule="exact"/>
        <w:rPr>
          <w:sz w:val="20"/>
          <w:szCs w:val="20"/>
          <w:color w:val="auto"/>
        </w:rPr>
      </w:pPr>
    </w:p>
    <w:p>
      <w:pPr>
        <w:spacing w:after="0" w:line="2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jc w:val="both"/>
        <w:ind w:left="-380" w:right="60" w:firstLine="1505"/>
        <w:spacing w:after="0" w:line="262" w:lineRule="auto"/>
        <w:tabs>
          <w:tab w:leader="none" w:pos="14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unless otherwise specified, the shares of Class A Common Stock, par value $0.00001 per share, of the Company. When used with reference to any Person other than the Company, Common Stock means the capital stock with the greatest voting power, or the equity securities or other equity interest having power to control or direct the management, of such Person or, if such Person is a Subsidiary of another Person, of the Person that ultimately controls such first Person.</w:t>
      </w:r>
    </w:p>
    <w:p>
      <w:pPr>
        <w:spacing w:after="0" w:line="176"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 subject to the terms of Section 13(a).</w:t>
      </w:r>
    </w:p>
    <w:p>
      <w:pPr>
        <w:spacing w:after="0" w:line="225" w:lineRule="exact"/>
        <w:rPr>
          <w:rFonts w:ascii="Times New Roman" w:cs="Times New Roman" w:eastAsia="Times New Roman" w:hAnsi="Times New Roman"/>
          <w:sz w:val="18"/>
          <w:szCs w:val="18"/>
          <w:color w:val="auto"/>
        </w:rPr>
      </w:pPr>
    </w:p>
    <w:p>
      <w:pPr>
        <w:ind w:left="-380" w:firstLine="1505"/>
        <w:spacing w:after="0" w:line="251" w:lineRule="auto"/>
        <w:tabs>
          <w:tab w:leader="none" w:pos="14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If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consecutive Trading Day or 10 consecutive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Stock cannot be determined in the manner provided above or if the shares of Preferred Stock are not publicly held or not listed or traded in a manner described above, then the Current Per Share Market Price of the Preferred Stock will be conclusively deemed to be (x) the Current Per Share Market Price of the Common Stock as determined pursuant to this Section 1(n) multiplied by (y) 1,000 (as such number may be appropriately adjusted to reflect any subdivision, combination, consolidation, reverse stock split or reclassification of Common Stock occurring after the Rights Dividend Declaration Date). If the Security (other than the Preferred Stock)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whose determination will be described in a statement filed with the Rights Agent and will be conclusive and binding on the Rights Agent and the holders of the Rights.</w:t>
      </w:r>
    </w:p>
    <w:p>
      <w:pPr>
        <w:spacing w:after="0" w:line="202" w:lineRule="exact"/>
        <w:rPr>
          <w:rFonts w:ascii="Times New Roman" w:cs="Times New Roman" w:eastAsia="Times New Roman" w:hAnsi="Times New Roman"/>
          <w:sz w:val="18"/>
          <w:szCs w:val="18"/>
          <w:color w:val="auto"/>
        </w:rPr>
      </w:pPr>
    </w:p>
    <w:p>
      <w:pPr>
        <w:ind w:left="-380" w:right="100" w:firstLine="1505"/>
        <w:spacing w:after="0" w:line="268" w:lineRule="auto"/>
        <w:tabs>
          <w:tab w:leader="none" w:pos="14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Exchange Value</w:t>
      </w:r>
      <w:r>
        <w:rPr>
          <w:rFonts w:ascii="Times New Roman" w:cs="Times New Roman" w:eastAsia="Times New Roman" w:hAnsi="Times New Roman"/>
          <w:sz w:val="18"/>
          <w:szCs w:val="18"/>
          <w:color w:val="auto"/>
        </w:rPr>
        <w:t>” means the product of the Current Per Share Market Price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85" w:name="page86"/>
    <w:bookmarkEnd w:id="85"/>
    <w:p>
      <w:pPr>
        <w:spacing w:after="0" w:line="190" w:lineRule="exact"/>
        <w:rPr>
          <w:sz w:val="20"/>
          <w:szCs w:val="20"/>
          <w:color w:val="auto"/>
        </w:rPr>
      </w:pPr>
    </w:p>
    <w:p>
      <w:pPr>
        <w:ind w:left="1852" w:hanging="355"/>
        <w:spacing w:after="0"/>
        <w:tabs>
          <w:tab w:leader="none" w:pos="18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Value</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8" w:firstLine="1505"/>
        <w:spacing w:after="0" w:line="254" w:lineRule="auto"/>
        <w:tabs>
          <w:tab w:leader="none" w:pos="184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 means the earlier of (i) the Close of Business on the 10th Business Day (or such later date as may be determined by action of the Board, which action must be taken prior to the Distribution Date that otherwise would have occurred) after the Stock Acquisition Date (or, if the 10th Business Day after the Stock Acquisition Date occurs before the Record Date, then the Close of Business on the Record Date); or (ii) the Close of Business on the 10th Business Day (or, if such 10th Business Day occurs before the Record Date, then the Close of Business on the Record Date) (or such later date as may be determined by the Board) after the date that a tender or exchange offer by any Person (other than an Exempt Person) is first published, sent or given within the meaning of Rule 14d-2(a) of the General Rules and Regulations promulgated under the Exchange Act if, assuming the successful consummation thereof, such Person would be an Acquiring Person. If any tender or exchange offer referred to in the prior sentence is canceled, terminated or otherwise withdrawn prior to the Distribution Date without the purchase or exchange of any shares of Common Stock pursuant thereto, then such offer will be deemed, for purposes of this Section 1(q), never to have been made.</w:t>
      </w:r>
    </w:p>
    <w:p>
      <w:pPr>
        <w:spacing w:after="0" w:line="188" w:lineRule="exact"/>
        <w:rPr>
          <w:rFonts w:ascii="Times New Roman" w:cs="Times New Roman" w:eastAsia="Times New Roman" w:hAnsi="Times New Roman"/>
          <w:sz w:val="18"/>
          <w:szCs w:val="18"/>
          <w:color w:val="auto"/>
        </w:rPr>
      </w:pPr>
    </w:p>
    <w:p>
      <w:pPr>
        <w:ind w:left="-8" w:right="300" w:firstLine="1505"/>
        <w:spacing w:after="0" w:line="286" w:lineRule="auto"/>
        <w:tabs>
          <w:tab w:leader="none" w:pos="184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Equivalent Preferred Stock</w:t>
      </w:r>
      <w:r>
        <w:rPr>
          <w:rFonts w:ascii="Times New Roman" w:cs="Times New Roman" w:eastAsia="Times New Roman" w:hAnsi="Times New Roman"/>
          <w:sz w:val="18"/>
          <w:szCs w:val="18"/>
          <w:color w:val="auto"/>
        </w:rPr>
        <w:t>” means any class or series of capital stock of the Company having the same rights, powers and preferences as the Preferred Stock.</w:t>
      </w:r>
    </w:p>
    <w:p>
      <w:pPr>
        <w:spacing w:after="0" w:line="154"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Determination</w:t>
      </w:r>
      <w:r>
        <w:rPr>
          <w:rFonts w:ascii="Times New Roman" w:cs="Times New Roman" w:eastAsia="Times New Roman" w:hAnsi="Times New Roman"/>
          <w:sz w:val="18"/>
          <w:szCs w:val="18"/>
          <w:color w:val="auto"/>
        </w:rPr>
        <w:t>” has the meaning set forth in Section 24(a).</w:t>
      </w:r>
    </w:p>
    <w:p>
      <w:pPr>
        <w:spacing w:after="0" w:line="225"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has the meaning set forth in Section 24(a).</w:t>
      </w:r>
    </w:p>
    <w:p>
      <w:pPr>
        <w:spacing w:after="0" w:line="225"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Person</w:t>
      </w:r>
      <w:r>
        <w:rPr>
          <w:rFonts w:ascii="Times New Roman" w:cs="Times New Roman" w:eastAsia="Times New Roman" w:hAnsi="Times New Roman"/>
          <w:sz w:val="18"/>
          <w:szCs w:val="18"/>
          <w:color w:val="auto"/>
        </w:rPr>
        <w:t>” means (i) the Company or any Subsidiary of the Company, in each case including in any fiduciary capacity;</w:t>
      </w:r>
    </w:p>
    <w:p>
      <w:pPr>
        <w:spacing w:after="0" w:line="31" w:lineRule="exact"/>
        <w:rPr>
          <w:rFonts w:ascii="Times New Roman" w:cs="Times New Roman" w:eastAsia="Times New Roman" w:hAnsi="Times New Roman"/>
          <w:sz w:val="18"/>
          <w:szCs w:val="18"/>
          <w:color w:val="auto"/>
        </w:rPr>
      </w:pPr>
    </w:p>
    <w:p>
      <w:pPr>
        <w:ind w:left="-8" w:right="60" w:firstLine="8"/>
        <w:spacing w:after="0" w:line="252" w:lineRule="auto"/>
        <w:tabs>
          <w:tab w:leader="none" w:pos="2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any such plan or any other employee benefits for employees of the Company or any Subsidiary of the Company; or (iii) any Person determined to be an Exempt Person in accordance with Section 25 (but only to the extent so determined). No Person who is an officer, director or employee of an Exempt Person will be deemed, solely by reason of such Person’s status or authority as such, to be the Beneficial Owner of, to have Beneficial Ownership of or to Beneficially Own any securities that are Beneficially Owned (including in a fiduciary capacity) by an Exempt Person or by any other officer, director or employee of an Exempt Person.</w:t>
      </w:r>
    </w:p>
    <w:p>
      <w:pPr>
        <w:spacing w:after="0" w:line="185"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Exemption Request</w:t>
      </w:r>
      <w:r>
        <w:rPr>
          <w:rFonts w:ascii="Times New Roman" w:cs="Times New Roman" w:eastAsia="Times New Roman" w:hAnsi="Times New Roman"/>
          <w:sz w:val="18"/>
          <w:szCs w:val="18"/>
          <w:color w:val="auto"/>
        </w:rPr>
        <w:t>” has the meaning set forth in Section 25(a).</w:t>
      </w:r>
    </w:p>
    <w:p>
      <w:pPr>
        <w:spacing w:after="0" w:line="225" w:lineRule="exact"/>
        <w:rPr>
          <w:rFonts w:ascii="Times New Roman" w:cs="Times New Roman" w:eastAsia="Times New Roman" w:hAnsi="Times New Roman"/>
          <w:sz w:val="18"/>
          <w:szCs w:val="18"/>
          <w:color w:val="auto"/>
        </w:rPr>
      </w:pPr>
    </w:p>
    <w:p>
      <w:pPr>
        <w:ind w:left="-8" w:right="20" w:firstLine="1505"/>
        <w:spacing w:after="0" w:line="286" w:lineRule="auto"/>
        <w:tabs>
          <w:tab w:leader="none" w:pos="184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is initially $11.00 for each one one-thousandth of a share of Preferred Stock issuable pursuant to the exercise of a Right and is subject to adjustment from time to time as provided in Section 11 or Section 13.</w:t>
      </w:r>
    </w:p>
    <w:p>
      <w:pPr>
        <w:spacing w:after="0" w:line="154" w:lineRule="exact"/>
        <w:rPr>
          <w:rFonts w:ascii="Times New Roman" w:cs="Times New Roman" w:eastAsia="Times New Roman" w:hAnsi="Times New Roman"/>
          <w:sz w:val="18"/>
          <w:szCs w:val="18"/>
          <w:color w:val="auto"/>
        </w:rPr>
      </w:pPr>
    </w:p>
    <w:p>
      <w:pPr>
        <w:ind w:left="-8" w:firstLine="1505"/>
        <w:spacing w:after="0" w:line="255" w:lineRule="auto"/>
        <w:tabs>
          <w:tab w:leader="none" w:pos="184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earliest to occur of (i) the Close of Business on the Final Expiration Date; (ii) the Redemption Date; (iii) the time at which the Board orders the exchange of the Rights as provided in Section 24; (iv) the Close of Business on February 25, 2026, if Stockholder Approval has not otherwise been obtained by that date; (v) the Close of Business on the effective date of the repeal of Section 382 or Section 383 if the Board, in its sole discretion, determines that this Plan is no longer necessary or desirable for the preservation of the Tax Benefits; (vi) the Close of Business on the date on which the Board, in its sole discretion, determines that the Tax Benefits are fully utilized or no longer available pursuant to Section 382 or Section 383; (vii) the Close of Business on the first day of a taxable year of the Company to which the Board determines, in its sole discretion, that no Tax Benefits may be carried forward; or (viii) the Close of Business on the date on which the Board, in its sole discretion and prior to the Distribution Date, determines that this Plan and the Rights are no longer in the best interests of the Company and its stockholders.</w:t>
      </w:r>
    </w:p>
    <w:p>
      <w:pPr>
        <w:spacing w:after="0" w:line="184"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Expiration Date</w:t>
      </w:r>
      <w:r>
        <w:rPr>
          <w:rFonts w:ascii="Times New Roman" w:cs="Times New Roman" w:eastAsia="Times New Roman" w:hAnsi="Times New Roman"/>
          <w:sz w:val="18"/>
          <w:szCs w:val="18"/>
          <w:color w:val="auto"/>
        </w:rPr>
        <w:t>” means February 25, 2029.</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86" w:name="page87"/>
    <w:bookmarkEnd w:id="86"/>
    <w:p>
      <w:pPr>
        <w:spacing w:after="0" w:line="190" w:lineRule="exact"/>
        <w:rPr>
          <w:sz w:val="20"/>
          <w:szCs w:val="20"/>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Rights</w:t>
      </w:r>
      <w:r>
        <w:rPr>
          <w:rFonts w:ascii="Times New Roman" w:cs="Times New Roman" w:eastAsia="Times New Roman" w:hAnsi="Times New Roman"/>
          <w:sz w:val="18"/>
          <w:szCs w:val="18"/>
          <w:color w:val="auto"/>
        </w:rPr>
        <w:t>” has the meaning set forth in Section 1(e)(ii).</w:t>
      </w:r>
    </w:p>
    <w:p>
      <w:pPr>
        <w:spacing w:after="0" w:line="225" w:lineRule="exact"/>
        <w:rPr>
          <w:rFonts w:ascii="Times New Roman" w:cs="Times New Roman" w:eastAsia="Times New Roman" w:hAnsi="Times New Roman"/>
          <w:sz w:val="18"/>
          <w:szCs w:val="18"/>
          <w:color w:val="auto"/>
        </w:rPr>
      </w:pPr>
    </w:p>
    <w:p>
      <w:pPr>
        <w:ind w:left="-400" w:firstLine="1505"/>
        <w:spacing w:after="0" w:line="257" w:lineRule="auto"/>
        <w:tabs>
          <w:tab w:leader="none" w:pos="14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(general or limited), limited liability company, joint venture, business trust, trust, association, syndicate, group (as such term is used in Rule 13d-5 of the General Rules and Regulations promulgated under the Exchange Act, as in effect on the date of this Plan) or other entity, or any group of Persons having a formal or informal understanding among themselves to make a “coordinated acquisition” of Common Stock within the meaning of Treasury Regulation § 1.382-3(a)(1) or who are otherwise treated as an “entity” within the meaning of Treasury Regulation § 1.382-3(a)(1), and, in each case, will include any successor (by merger or otherwise) of any such Person, but will not include a Public Group (as defined in Section 1.382-2T(f)(13) of the Treasury Regulations).</w:t>
      </w:r>
    </w:p>
    <w:p>
      <w:pPr>
        <w:spacing w:after="0" w:line="182" w:lineRule="exact"/>
        <w:rPr>
          <w:rFonts w:ascii="Times New Roman" w:cs="Times New Roman" w:eastAsia="Times New Roman" w:hAnsi="Times New Roman"/>
          <w:sz w:val="18"/>
          <w:szCs w:val="18"/>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Post-Event Transferee</w:t>
      </w:r>
      <w:r>
        <w:rPr>
          <w:rFonts w:ascii="Times New Roman" w:cs="Times New Roman" w:eastAsia="Times New Roman" w:hAnsi="Times New Roman"/>
          <w:sz w:val="18"/>
          <w:szCs w:val="18"/>
          <w:color w:val="auto"/>
        </w:rPr>
        <w:t>” has the meaning set forth in Section 7(e).</w:t>
      </w:r>
    </w:p>
    <w:p>
      <w:pPr>
        <w:spacing w:after="0" w:line="225" w:lineRule="exact"/>
        <w:rPr>
          <w:rFonts w:ascii="Times New Roman" w:cs="Times New Roman" w:eastAsia="Times New Roman" w:hAnsi="Times New Roman"/>
          <w:sz w:val="18"/>
          <w:szCs w:val="18"/>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Pre-Event Transferee</w:t>
      </w:r>
      <w:r>
        <w:rPr>
          <w:rFonts w:ascii="Times New Roman" w:cs="Times New Roman" w:eastAsia="Times New Roman" w:hAnsi="Times New Roman"/>
          <w:sz w:val="18"/>
          <w:szCs w:val="18"/>
          <w:color w:val="auto"/>
        </w:rPr>
        <w:t>” has the meaning set forth in Section 7(e).</w:t>
      </w:r>
    </w:p>
    <w:p>
      <w:pPr>
        <w:spacing w:after="0" w:line="225" w:lineRule="exact"/>
        <w:rPr>
          <w:rFonts w:ascii="Times New Roman" w:cs="Times New Roman" w:eastAsia="Times New Roman" w:hAnsi="Times New Roman"/>
          <w:sz w:val="18"/>
          <w:szCs w:val="18"/>
          <w:color w:val="auto"/>
        </w:rPr>
      </w:pPr>
    </w:p>
    <w:p>
      <w:pPr>
        <w:ind w:left="-400" w:firstLine="1505"/>
        <w:spacing w:after="0" w:line="268" w:lineRule="auto"/>
        <w:tabs>
          <w:tab w:leader="none" w:pos="14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shares of Series A Participating Preferred Stock, par value $0.00001 per share, of the Company and, to the extent that there are not a sufficient number of shares of Preferred Stock authorized to permit the full exercise of the Rights, any other series of preferred stock of the Company designated for such purpose containing terms substantially similar to the terms of the Preferred Stock.</w:t>
      </w:r>
    </w:p>
    <w:p>
      <w:pPr>
        <w:spacing w:after="0" w:line="170" w:lineRule="exact"/>
        <w:rPr>
          <w:rFonts w:ascii="Times New Roman" w:cs="Times New Roman" w:eastAsia="Times New Roman" w:hAnsi="Times New Roman"/>
          <w:sz w:val="18"/>
          <w:szCs w:val="18"/>
          <w:color w:val="auto"/>
        </w:rPr>
      </w:pPr>
    </w:p>
    <w:p>
      <w:pPr>
        <w:ind w:left="-400" w:right="40" w:firstLine="1505"/>
        <w:spacing w:after="0" w:line="252" w:lineRule="auto"/>
        <w:tabs>
          <w:tab w:leader="none" w:pos="14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Party</w:t>
      </w:r>
      <w:r>
        <w:rPr>
          <w:rFonts w:ascii="Times New Roman" w:cs="Times New Roman" w:eastAsia="Times New Roman" w:hAnsi="Times New Roman"/>
          <w:sz w:val="18"/>
          <w:szCs w:val="18"/>
          <w:color w:val="auto"/>
        </w:rPr>
        <w:t>” means (i) in the case of any transaction described in clause (i) or (ii) of Section 13(a), (A) the Person that is the issuer of the securities into which the Common Stock are converted in the consolidation or merger, or, if there is more than one such issuer, the issuer whose Common Stock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Stock has the greatest aggregate market value of shares outstanding; (2) if the Person that is the other party to the consolidation or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Stock having the greatest aggregate market value of shares outstanding. For purposes of this definition, if the shares of Common Stock of such Person are not at such time, or have not been continuously over the preceding 12-month period, registered pursuant to Section 12 of the Exchange Act, then if such Person is (x) a direct or indirect Subsidiary of another Person whose Common Stock is and has been so registered, the term “Principal Party” will refer to such other Person, (y) a direct or indirect Subsidiary of more than one Person whose shares of Common Stock is and has been so registered, the term “Principal Party” will refer to whichever of such Persons is the issuer of Common Stock having the greatest aggregate market value of shares outstanding, or (z)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spacing w:after="0" w:line="189" w:lineRule="exact"/>
        <w:rPr>
          <w:rFonts w:ascii="Times New Roman" w:cs="Times New Roman" w:eastAsia="Times New Roman" w:hAnsi="Times New Roman"/>
          <w:sz w:val="18"/>
          <w:szCs w:val="18"/>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1460" w:hanging="355"/>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has the meaning set forth in Section 23(a).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20" w:top="1440" w:right="379" w:bottom="1440" w:gutter="0" w:footer="0" w:header="0"/>
        </w:sectPr>
      </w:pPr>
    </w:p>
    <w:bookmarkStart w:id="87" w:name="page88"/>
    <w:bookmarkEnd w:id="87"/>
    <w:p>
      <w:pPr>
        <w:spacing w:after="0" w:line="190" w:lineRule="exact"/>
        <w:rPr>
          <w:sz w:val="20"/>
          <w:szCs w:val="20"/>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has the meaning set forth in Section 23(a).</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Person</w:t>
      </w:r>
      <w:r>
        <w:rPr>
          <w:rFonts w:ascii="Times New Roman" w:cs="Times New Roman" w:eastAsia="Times New Roman" w:hAnsi="Times New Roman"/>
          <w:sz w:val="18"/>
          <w:szCs w:val="18"/>
          <w:color w:val="auto"/>
        </w:rPr>
        <w:t>” has the meaning set forth in Section 25(a).</w:t>
      </w:r>
    </w:p>
    <w:p>
      <w:pPr>
        <w:spacing w:after="0" w:line="225" w:lineRule="exact"/>
        <w:rPr>
          <w:rFonts w:ascii="Times New Roman" w:cs="Times New Roman" w:eastAsia="Times New Roman" w:hAnsi="Times New Roman"/>
          <w:sz w:val="18"/>
          <w:szCs w:val="18"/>
          <w:color w:val="auto"/>
        </w:rPr>
      </w:pPr>
    </w:p>
    <w:p>
      <w:pPr>
        <w:ind w:left="1840" w:hanging="715"/>
        <w:spacing w:after="0"/>
        <w:tabs>
          <w:tab w:leader="none" w:pos="1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means a certificate substantially in the form attached as Exhibit B.</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380" w:right="80" w:firstLine="1505"/>
        <w:spacing w:after="0" w:line="286" w:lineRule="auto"/>
        <w:tabs>
          <w:tab w:leader="none" w:pos="14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means a statement on Schedule 13D filing pursuant to Rule 13d-1(a), 13d-1(e), Rule 13d-1(f) or 13d-1(g) of the General Rules and Regulations under the Exchange Act, and any comparable or successor report.</w:t>
      </w:r>
    </w:p>
    <w:p>
      <w:pPr>
        <w:spacing w:after="0" w:line="154"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11(a)(ii) Event</w:t>
      </w:r>
      <w:r>
        <w:rPr>
          <w:rFonts w:ascii="Times New Roman" w:cs="Times New Roman" w:eastAsia="Times New Roman" w:hAnsi="Times New Roman"/>
          <w:sz w:val="18"/>
          <w:szCs w:val="18"/>
          <w:color w:val="auto"/>
        </w:rPr>
        <w:t>” has the meaning set forth in Section 11(a)(ii).</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11(a)(ii) Trigger Date</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13 Event</w:t>
      </w:r>
      <w:r>
        <w:rPr>
          <w:rFonts w:ascii="Times New Roman" w:cs="Times New Roman" w:eastAsia="Times New Roman" w:hAnsi="Times New Roman"/>
          <w:sz w:val="18"/>
          <w:szCs w:val="18"/>
          <w:color w:val="auto"/>
        </w:rPr>
        <w:t>” means any event described in clause (i), (ii) or (iii) of Section 13(a).</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382</w:t>
      </w:r>
      <w:r>
        <w:rPr>
          <w:rFonts w:ascii="Times New Roman" w:cs="Times New Roman" w:eastAsia="Times New Roman" w:hAnsi="Times New Roman"/>
          <w:sz w:val="18"/>
          <w:szCs w:val="18"/>
          <w:color w:val="auto"/>
        </w:rPr>
        <w:t>” means Section 382 of the Code.</w:t>
      </w:r>
    </w:p>
    <w:p>
      <w:pPr>
        <w:spacing w:after="0" w:line="225" w:lineRule="exact"/>
        <w:rPr>
          <w:rFonts w:ascii="Times New Roman" w:cs="Times New Roman" w:eastAsia="Times New Roman" w:hAnsi="Times New Roman"/>
          <w:sz w:val="18"/>
          <w:szCs w:val="18"/>
          <w:color w:val="auto"/>
        </w:rPr>
      </w:pPr>
    </w:p>
    <w:p>
      <w:pPr>
        <w:ind w:left="1840" w:hanging="715"/>
        <w:spacing w:after="0"/>
        <w:tabs>
          <w:tab w:leader="none" w:pos="1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383</w:t>
      </w:r>
      <w:r>
        <w:rPr>
          <w:rFonts w:ascii="Times New Roman" w:cs="Times New Roman" w:eastAsia="Times New Roman" w:hAnsi="Times New Roman"/>
          <w:sz w:val="18"/>
          <w:szCs w:val="18"/>
          <w:color w:val="auto"/>
        </w:rPr>
        <w:t>” means Section 383 of the Code.</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480" w:hanging="355"/>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has the meaning set forth in Section 1(n).</w:t>
      </w:r>
    </w:p>
    <w:p>
      <w:pPr>
        <w:spacing w:after="0" w:line="225" w:lineRule="exact"/>
        <w:rPr>
          <w:rFonts w:ascii="Times New Roman" w:cs="Times New Roman" w:eastAsia="Times New Roman" w:hAnsi="Times New Roman"/>
          <w:sz w:val="18"/>
          <w:szCs w:val="18"/>
          <w:color w:val="auto"/>
        </w:rPr>
      </w:pPr>
    </w:p>
    <w:p>
      <w:pPr>
        <w:ind w:left="-380" w:right="40" w:firstLine="1505"/>
        <w:spacing w:after="0" w:line="286" w:lineRule="auto"/>
        <w:tabs>
          <w:tab w:leader="none" w:pos="14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Guarantee</w:t>
      </w:r>
      <w:r>
        <w:rPr>
          <w:rFonts w:ascii="Times New Roman" w:cs="Times New Roman" w:eastAsia="Times New Roman" w:hAnsi="Times New Roman"/>
          <w:sz w:val="18"/>
          <w:szCs w:val="18"/>
          <w:color w:val="auto"/>
        </w:rPr>
        <w:t>” means a Signature Guarantee from an eligible guarantor institution participating in a signature guarantee program approved by the Securities Transfer Association.</w:t>
      </w:r>
    </w:p>
    <w:p>
      <w:pPr>
        <w:spacing w:after="0" w:line="155" w:lineRule="exact"/>
        <w:rPr>
          <w:sz w:val="20"/>
          <w:szCs w:val="20"/>
          <w:color w:val="auto"/>
        </w:rPr>
      </w:pPr>
    </w:p>
    <w:p>
      <w:pPr>
        <w:ind w:left="1840" w:hanging="715"/>
        <w:spacing w:after="0"/>
        <w:tabs>
          <w:tab w:leader="none" w:pos="1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means the excess of (i) the Current Value over (ii) the Exercise Price.</w:t>
      </w:r>
    </w:p>
    <w:p>
      <w:pPr>
        <w:spacing w:after="0" w:line="225" w:lineRule="exact"/>
        <w:rPr>
          <w:rFonts w:ascii="Times New Roman" w:cs="Times New Roman" w:eastAsia="Times New Roman" w:hAnsi="Times New Roman"/>
          <w:sz w:val="18"/>
          <w:szCs w:val="18"/>
          <w:color w:val="auto"/>
        </w:rPr>
      </w:pPr>
    </w:p>
    <w:p>
      <w:pPr>
        <w:ind w:left="-380" w:right="40" w:firstLine="1505"/>
        <w:spacing w:after="0" w:line="262" w:lineRule="auto"/>
        <w:tabs>
          <w:tab w:leader="none" w:pos="18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 Date</w:t>
      </w:r>
      <w:r>
        <w:rPr>
          <w:rFonts w:ascii="Times New Roman" w:cs="Times New Roman" w:eastAsia="Times New Roman" w:hAnsi="Times New Roman"/>
          <w:sz w:val="18"/>
          <w:szCs w:val="18"/>
          <w:color w:val="auto"/>
        </w:rPr>
        <w:t>” means (i) the first date of public announcement (which, for purposes of this definition, includes the filing or amending of a Schedule 13D) by the Company or an Acquiring Person that an Acquiring Person has become such or that discloses information that reveals the existence of an Acquiring Person or (ii) such earlier date as a majority of the Board shall become aware of the existence of an Acquiring Person.</w:t>
      </w:r>
    </w:p>
    <w:p>
      <w:pPr>
        <w:spacing w:after="0" w:line="176" w:lineRule="exact"/>
        <w:rPr>
          <w:rFonts w:ascii="Times New Roman" w:cs="Times New Roman" w:eastAsia="Times New Roman" w:hAnsi="Times New Roman"/>
          <w:sz w:val="18"/>
          <w:szCs w:val="18"/>
          <w:color w:val="auto"/>
        </w:rPr>
      </w:pPr>
    </w:p>
    <w:p>
      <w:pPr>
        <w:ind w:left="-380" w:right="100" w:firstLine="1505"/>
        <w:spacing w:after="0" w:line="262" w:lineRule="auto"/>
        <w:tabs>
          <w:tab w:leader="none" w:pos="18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means the ratification or approval of this Plan by the affirmative vote of a majority of the voting power of the shares of Common Stock present in person or represented by proxy and entitled to vote (excluding any votes cast by any Acquiring Person or its Affiliates or Associates) at a duly called meeting of stockholders of the Company (or any adjournment, postponement or other delay thereof) at which a quorum is present.</w:t>
      </w:r>
    </w:p>
    <w:p>
      <w:pPr>
        <w:spacing w:after="0" w:line="176" w:lineRule="exact"/>
        <w:rPr>
          <w:rFonts w:ascii="Times New Roman" w:cs="Times New Roman" w:eastAsia="Times New Roman" w:hAnsi="Times New Roman"/>
          <w:sz w:val="18"/>
          <w:szCs w:val="18"/>
          <w:color w:val="auto"/>
        </w:rPr>
      </w:pPr>
    </w:p>
    <w:p>
      <w:pPr>
        <w:ind w:left="1840" w:hanging="715"/>
        <w:spacing w:after="0"/>
        <w:tabs>
          <w:tab w:leader="none" w:pos="1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has the meaning set forth in Section 7(e).</w:t>
      </w:r>
    </w:p>
    <w:p>
      <w:pPr>
        <w:spacing w:after="0" w:line="225" w:lineRule="exact"/>
        <w:rPr>
          <w:rFonts w:ascii="Times New Roman" w:cs="Times New Roman" w:eastAsia="Times New Roman" w:hAnsi="Times New Roman"/>
          <w:sz w:val="18"/>
          <w:szCs w:val="18"/>
          <w:color w:val="auto"/>
        </w:rPr>
      </w:pPr>
    </w:p>
    <w:p>
      <w:pPr>
        <w:ind w:left="-380" w:firstLine="1505"/>
        <w:spacing w:after="0" w:line="268" w:lineRule="auto"/>
        <w:tabs>
          <w:tab w:leader="none" w:pos="18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any firm, corporation, partnership (general or limited), limited liability company, joint venture, business trust, trust, association, syndicate or other entity (whether or not incorporated) of which an amount of voting securities sufficient to elect a majority of the directors or Persons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88" w:name="page89"/>
    <w:bookmarkEnd w:id="88"/>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spacing w:after="0" w:line="172" w:lineRule="exact"/>
        <w:rPr>
          <w:sz w:val="20"/>
          <w:szCs w:val="20"/>
          <w:color w:val="auto"/>
        </w:rPr>
      </w:pPr>
    </w:p>
    <w:p>
      <w:pPr>
        <w:ind w:left="1860" w:hanging="355"/>
        <w:spacing w:after="0"/>
        <w:tabs>
          <w:tab w:leader="none" w:pos="1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Substitution Period</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2220" w:hanging="715"/>
        <w:spacing w:after="0"/>
        <w:tabs>
          <w:tab w:leader="none" w:pos="2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Summary of Rights</w:t>
      </w:r>
      <w:r>
        <w:rPr>
          <w:rFonts w:ascii="Times New Roman" w:cs="Times New Roman" w:eastAsia="Times New Roman" w:hAnsi="Times New Roman"/>
          <w:sz w:val="18"/>
          <w:szCs w:val="18"/>
          <w:color w:val="auto"/>
        </w:rPr>
        <w:t>” means a summary of this Plan substantially in the form attached as Exhibit C.</w:t>
      </w:r>
    </w:p>
    <w:p>
      <w:pPr>
        <w:spacing w:after="0" w:line="225" w:lineRule="exact"/>
        <w:rPr>
          <w:rFonts w:ascii="Times New Roman" w:cs="Times New Roman" w:eastAsia="Times New Roman" w:hAnsi="Times New Roman"/>
          <w:sz w:val="18"/>
          <w:szCs w:val="18"/>
          <w:color w:val="auto"/>
        </w:rPr>
      </w:pPr>
    </w:p>
    <w:p>
      <w:pPr>
        <w:ind w:firstLine="1505"/>
        <w:spacing w:after="0" w:line="268" w:lineRule="auto"/>
        <w:tabs>
          <w:tab w:leader="none" w:pos="22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Benefits</w:t>
      </w:r>
      <w:r>
        <w:rPr>
          <w:rFonts w:ascii="Times New Roman" w:cs="Times New Roman" w:eastAsia="Times New Roman" w:hAnsi="Times New Roman"/>
          <w:sz w:val="18"/>
          <w:szCs w:val="18"/>
          <w:color w:val="auto"/>
        </w:rPr>
        <w:t>” means net operating carryovers, capital loss carryovers, general business credit carryovers, Section 163(j) deferred interest carryovers, alternative minimum tax credit carryovers and foreign tax credit carryovers, as well as any loss or deduction (whether actual or prospective) attributable to a “net unrealized built-in loss” within the meaning of Section 382, in each case of the Company or any of its Subsidiaries.</w:t>
      </w:r>
    </w:p>
    <w:p>
      <w:pPr>
        <w:spacing w:after="0" w:line="170" w:lineRule="exact"/>
        <w:rPr>
          <w:rFonts w:ascii="Times New Roman" w:cs="Times New Roman" w:eastAsia="Times New Roman" w:hAnsi="Times New Roman"/>
          <w:sz w:val="18"/>
          <w:szCs w:val="18"/>
          <w:color w:val="auto"/>
        </w:rPr>
      </w:pPr>
    </w:p>
    <w:p>
      <w:pPr>
        <w:ind w:firstLine="1505"/>
        <w:spacing w:after="0" w:line="268" w:lineRule="auto"/>
        <w:tabs>
          <w:tab w:leader="none" w:pos="18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spacing w:after="0" w:line="170" w:lineRule="exact"/>
        <w:rPr>
          <w:rFonts w:ascii="Times New Roman" w:cs="Times New Roman" w:eastAsia="Times New Roman" w:hAnsi="Times New Roman"/>
          <w:sz w:val="18"/>
          <w:szCs w:val="18"/>
          <w:color w:val="auto"/>
        </w:rPr>
      </w:pPr>
    </w:p>
    <w:p>
      <w:pPr>
        <w:ind w:right="420" w:firstLine="1505"/>
        <w:spacing w:after="0" w:line="286" w:lineRule="auto"/>
        <w:tabs>
          <w:tab w:leader="none" w:pos="18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final, temporary and proposed income tax regulations promulgated by the United States Department of the Treasury pursuant to the Code, as amended or superseded from time to time.</w:t>
      </w:r>
    </w:p>
    <w:p>
      <w:pPr>
        <w:spacing w:after="0" w:line="154" w:lineRule="exact"/>
        <w:rPr>
          <w:rFonts w:ascii="Times New Roman" w:cs="Times New Roman" w:eastAsia="Times New Roman" w:hAnsi="Times New Roman"/>
          <w:sz w:val="18"/>
          <w:szCs w:val="18"/>
          <w:color w:val="auto"/>
        </w:rPr>
      </w:pPr>
    </w:p>
    <w:p>
      <w:pPr>
        <w:ind w:left="2220" w:hanging="715"/>
        <w:spacing w:after="0"/>
        <w:tabs>
          <w:tab w:leader="none" w:pos="2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any Section 11(a)(ii) Event or Section 13 Event.</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Percentage</w:t>
      </w:r>
      <w:r>
        <w:rPr>
          <w:rFonts w:ascii="Times New Roman" w:cs="Times New Roman" w:eastAsia="Times New Roman" w:hAnsi="Times New Roman"/>
          <w:sz w:val="18"/>
          <w:szCs w:val="18"/>
          <w:color w:val="auto"/>
        </w:rPr>
        <w:t>” means 4.9 percent.</w:t>
      </w:r>
    </w:p>
    <w:p>
      <w:pPr>
        <w:spacing w:after="0" w:line="225" w:lineRule="exact"/>
        <w:rPr>
          <w:rFonts w:ascii="Times New Roman" w:cs="Times New Roman" w:eastAsia="Times New Roman" w:hAnsi="Times New Roman"/>
          <w:sz w:val="18"/>
          <w:szCs w:val="18"/>
          <w:color w:val="auto"/>
        </w:rPr>
      </w:pPr>
    </w:p>
    <w:p>
      <w:pPr>
        <w:ind w:left="2220" w:hanging="715"/>
        <w:spacing w:after="0"/>
        <w:tabs>
          <w:tab w:leader="none" w:pos="2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has the meaning set forth in Section 24(b)(ii).</w:t>
      </w:r>
    </w:p>
    <w:p>
      <w:pPr>
        <w:spacing w:after="0" w:line="225" w:lineRule="exact"/>
        <w:rPr>
          <w:rFonts w:ascii="Times New Roman" w:cs="Times New Roman" w:eastAsia="Times New Roman" w:hAnsi="Times New Roman"/>
          <w:sz w:val="18"/>
          <w:szCs w:val="18"/>
          <w:color w:val="auto"/>
        </w:rPr>
      </w:pPr>
    </w:p>
    <w:p>
      <w:pPr>
        <w:ind w:left="2220" w:hanging="715"/>
        <w:spacing w:after="0"/>
        <w:tabs>
          <w:tab w:leader="none" w:pos="2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has the meaning set forth in Section 24(b)(ii).</w:t>
      </w:r>
    </w:p>
    <w:p>
      <w:pPr>
        <w:spacing w:after="0" w:line="225" w:lineRule="exact"/>
        <w:rPr>
          <w:rFonts w:ascii="Times New Roman" w:cs="Times New Roman" w:eastAsia="Times New Roman" w:hAnsi="Times New Roman"/>
          <w:sz w:val="18"/>
          <w:szCs w:val="18"/>
          <w:color w:val="auto"/>
        </w:rPr>
      </w:pPr>
    </w:p>
    <w:p>
      <w:pPr>
        <w:ind w:left="2220" w:hanging="715"/>
        <w:spacing w:after="0"/>
        <w:tabs>
          <w:tab w:leader="none" w:pos="2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Waiver Request</w:t>
      </w:r>
      <w:r>
        <w:rPr>
          <w:rFonts w:ascii="Times New Roman" w:cs="Times New Roman" w:eastAsia="Times New Roman" w:hAnsi="Times New Roman"/>
          <w:sz w:val="18"/>
          <w:szCs w:val="18"/>
          <w:color w:val="auto"/>
        </w:rPr>
        <w:t>” has the meaning set forth in Section 25(b).</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Appointment of Rights Agent</w:t>
      </w:r>
      <w:r>
        <w:rPr>
          <w:rFonts w:ascii="Times New Roman" w:cs="Times New Roman" w:eastAsia="Times New Roman" w:hAnsi="Times New Roman"/>
          <w:sz w:val="18"/>
          <w:szCs w:val="18"/>
          <w:color w:val="auto"/>
        </w:rPr>
        <w:t>. The Company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10 days prior written notice thereof to the Rights Agent. If the Company appoints one or more co-Rights Agents, then the respective duties of the Rights Agent and any co-Rights Agents will be as the Company reasonably determines provided that (a) such duties are consistent with the terms and conditions of this Plan; and (b) contemporaneously with such appointment the Company notifies, in writing, the Rights Agent and any co-Rights Agents of any such duties. The Rights Agent will have no duty to supervise and will in no event be liable for the acts or omissions of any co-Rights Agent.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Issuance of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505"/>
        <w:spacing w:after="0" w:line="257" w:lineRule="auto"/>
        <w:tabs>
          <w:tab w:leader="none" w:pos="185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Evidenced by Certificates for Shares of Common Stock and Book Entry Shares</w:t>
      </w:r>
      <w:r>
        <w:rPr>
          <w:rFonts w:ascii="Times New Roman" w:cs="Times New Roman" w:eastAsia="Times New Roman" w:hAnsi="Times New Roman"/>
          <w:sz w:val="18"/>
          <w:szCs w:val="18"/>
          <w:color w:val="auto"/>
        </w:rPr>
        <w:t>. Until the Distribution Date, (i)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earlier expired, redeemed or terminated) will be evidenced (subject to the provisions of Section 3(b) and Section 3(c)) by the certificates for shares of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b w:val="1"/>
          <w:bCs w:val="1"/>
          <w:color w:val="auto"/>
        </w:rPr>
        <w:t>Book Entry Shares</w:t>
      </w:r>
      <w:r>
        <w:rPr>
          <w:rFonts w:ascii="Times New Roman" w:cs="Times New Roman" w:eastAsia="Times New Roman" w:hAnsi="Times New Roman"/>
          <w:sz w:val="18"/>
          <w:szCs w:val="18"/>
          <w:color w:val="auto"/>
        </w:rPr>
        <w:t>”), by notation in book entry accounts reflecting the ownership of such shares of Common Stock (which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shares of Common Stock (including a transfer to the Company). As soon as practicable after the Distribution Date, the Company will prepare and execute, the Rights Agent will countersign and the Company will send or cause to be sent (and the Rights Agent will, if so requested</w:t>
      </w:r>
    </w:p>
    <w:p>
      <w:pPr>
        <w:spacing w:after="0" w:line="200" w:lineRule="exact"/>
        <w:rPr>
          <w:sz w:val="20"/>
          <w:szCs w:val="20"/>
          <w:color w:val="auto"/>
        </w:rPr>
      </w:pPr>
    </w:p>
    <w:p>
      <w:pPr>
        <w:spacing w:after="0" w:line="20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provided with all necessary information and documents, send) (by mailing, in accordance with Section 27 or by such means as may be selected by the Company) to each record holder of shares of Common Stock as of the Close of Business on the Distribution Date (other than any Acquiring Person or any of its Affiliates or Associates), at the address of such holder shown on the transfer books of the Company or the transfer agent for the Common Stock, one or more Rights Certificates evidencing one Right for each share of Common Stock so held, subject to adjustment as provided in this Plan. Receipt of a Rights Certificate by any Person will not preclude a later determination that all or part of the Rights represented by such Rights Certificate are void pursuant to Section 7(e). To the extent that a Section 11(a)(ii) Event has also occurred, the Company may implement such procedures as it deems appropriate in its sole discretion to minimize the possibility that Rights are received by any Person whose Rights are null and void pursuant to Section 7(e). If an adjustment in the number of Rights per share of Common Stock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by this Plan, separately and apart from any transfer of shares of Common Stock,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and, if such notification is given orally, the Company shall confirm the same in writing within two Business Days. Until such notice is provided to the Rights Agent, it may presume conclusively for all purposes that the Distribution Date has not occurred.</w:t>
      </w:r>
    </w:p>
    <w:p>
      <w:pPr>
        <w:spacing w:after="0" w:line="193" w:lineRule="exact"/>
        <w:rPr>
          <w:sz w:val="20"/>
          <w:szCs w:val="20"/>
          <w:color w:val="auto"/>
        </w:rPr>
      </w:pPr>
    </w:p>
    <w:p>
      <w:pPr>
        <w:ind w:right="100" w:firstLine="1505"/>
        <w:spacing w:after="0" w:line="254" w:lineRule="auto"/>
        <w:tabs>
          <w:tab w:leader="none" w:pos="18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Summary of Rights; Outstanding Shares of Common Stock</w:t>
      </w:r>
      <w:r>
        <w:rPr>
          <w:rFonts w:ascii="Times New Roman" w:cs="Times New Roman" w:eastAsia="Times New Roman" w:hAnsi="Times New Roman"/>
          <w:sz w:val="18"/>
          <w:szCs w:val="18"/>
          <w:color w:val="auto"/>
        </w:rPr>
        <w:t>. The Company will make available, or cause to be made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after the Record Date, a copy of the Summary of Rights to any holder of Rights who may so request from time to time prior to the Expiration Date. With respect to certificates representing shares of Common Stock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Stock will also be the registered holders of the associated Rights. Until the earlier of the Distribution Date or the Expiration Date, the surrender for transfer of any shares of Common Stock in respect of which Rights have been issued (with or without a copy of the Summary of Rights) will also constitute the transfer of the Rights associated with such shares of Common Stock.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Stock (including any shares of Common Stock issued pursuant to an exchange) at any time thereafter.</w:t>
      </w:r>
    </w:p>
    <w:p>
      <w:pPr>
        <w:spacing w:after="0" w:line="185" w:lineRule="exact"/>
        <w:rPr>
          <w:rFonts w:ascii="Times New Roman" w:cs="Times New Roman" w:eastAsia="Times New Roman" w:hAnsi="Times New Roman"/>
          <w:sz w:val="18"/>
          <w:szCs w:val="18"/>
          <w:color w:val="auto"/>
        </w:rPr>
      </w:pPr>
    </w:p>
    <w:p>
      <w:pPr>
        <w:ind w:right="100" w:firstLine="1505"/>
        <w:spacing w:after="0" w:line="261" w:lineRule="auto"/>
        <w:tabs>
          <w:tab w:leader="none" w:pos="18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w:t>
      </w:r>
      <w:r>
        <w:rPr>
          <w:rFonts w:ascii="Times New Roman" w:cs="Times New Roman" w:eastAsia="Times New Roman" w:hAnsi="Times New Roman"/>
          <w:sz w:val="18"/>
          <w:szCs w:val="18"/>
          <w:color w:val="auto"/>
        </w:rPr>
        <w:t>. Rights will be issued in respect of all shares of Common Stock that are issued (whether as an original issuance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treasury) after the Record Date but prior to the earlier of the Distribution Date or the Expiration Date. Certificates representing such shares of Common Stock will also be deemed to be certificates for Rights, and will bear substantially the following legend if such certificates are issued after the Record Date but prior to the earlier of the Distribution Date or the Expiration Date:</w:t>
      </w:r>
    </w:p>
    <w:p>
      <w:pPr>
        <w:spacing w:after="0" w:line="3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94" w:lineRule="exact"/>
        <w:rPr>
          <w:sz w:val="20"/>
          <w:szCs w:val="20"/>
          <w:color w:val="auto"/>
        </w:rPr>
      </w:pPr>
    </w:p>
    <w:p>
      <w:pPr>
        <w:ind w:left="760" w:right="800"/>
        <w:spacing w:after="0" w:line="268" w:lineRule="auto"/>
        <w:rPr>
          <w:sz w:val="20"/>
          <w:szCs w:val="20"/>
          <w:color w:val="auto"/>
        </w:rPr>
      </w:pPr>
      <w:r>
        <w:rPr>
          <w:rFonts w:ascii="Times New Roman" w:cs="Times New Roman" w:eastAsia="Times New Roman" w:hAnsi="Times New Roman"/>
          <w:sz w:val="17"/>
          <w:szCs w:val="17"/>
          <w:color w:val="auto"/>
        </w:rPr>
        <w:t>This certificate also evidences and entitles the holder to certain rights as set forth in a Tax Benefit Preservation Plan, dated as of February 26, 2026, between Seer,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Computershare Trust Company, N.A., as rights agent, as it may be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xml:space="preserve">”), the terms of which are incorporated by reference and a copy of which is on file at the principal executive offices of the Company. Under certain circumstances as set forth in the Plan, the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Times New Roman" w:cs="Times New Roman" w:eastAsia="Times New Roman" w:hAnsi="Times New Roman"/>
          <w:sz w:val="17"/>
          <w:szCs w:val="17"/>
          <w:b w:val="1"/>
          <w:bCs w:val="1"/>
          <w:color w:val="auto"/>
        </w:rPr>
        <w:t>Under certain circumstances as set forth in the</w:t>
      </w:r>
    </w:p>
    <w:p>
      <w:pPr>
        <w:ind w:left="760" w:right="760"/>
        <w:spacing w:after="0" w:line="255" w:lineRule="auto"/>
        <w:rPr>
          <w:sz w:val="20"/>
          <w:szCs w:val="20"/>
          <w:color w:val="auto"/>
        </w:rPr>
      </w:pPr>
      <w:r>
        <w:rPr>
          <w:rFonts w:ascii="Times New Roman" w:cs="Times New Roman" w:eastAsia="Times New Roman" w:hAnsi="Times New Roman"/>
          <w:sz w:val="18"/>
          <w:szCs w:val="18"/>
          <w:b w:val="1"/>
          <w:bCs w:val="1"/>
          <w:color w:val="auto"/>
        </w:rPr>
        <w:t>Plan, Rights that are beneficially owned by, transferred to or have been owned by an Acquiring Person (as defined in the Plan) or any of its Affiliates (as defined in the Plan) or Associates (as defined in the Plan) will be null and void and will no longer be transferable.</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respect to any Book Entry Shares, a legend in substantially similar form will be included in any appropriate ownership notice provided to the holder of such Book Entry Share or in a notice to the record holder of such Book Entry Share in accordance with applicable law. With respect to such certificates representing shares of Common Stock or Book Entry Shares, as applicable, containing the foregoing legend, until the earlier of the Distribution Date or the Expiration Date, (i) the Rights associated with the shares of Common Stock represented by such certificates or Book Entry Shares will be evidenced solely by such certificates or Book Entry Shares; (ii) the registered holders of the shares of Common Stock will also be the registered holders of the associated Rights; and (iii) the surrender for transfer of any such certificates or Book Entry Shares (with or without a copy of the Summary of Rights) will also constitute the transfer of the Rights associated with the shares of Common Stock represented thereby. Notwithstanding this Section 3(c), the omission of a required legend, the inclusion of a legend that makes reference to a stockholder rights plan other than this Plan or the failure to provide notice thereof will not affect the enforceability of any part of this Plan or the rights of any holder of Rights.</w:t>
      </w:r>
    </w:p>
    <w:p>
      <w:pPr>
        <w:spacing w:after="0" w:line="186" w:lineRule="exact"/>
        <w:rPr>
          <w:sz w:val="20"/>
          <w:szCs w:val="20"/>
          <w:color w:val="auto"/>
        </w:rPr>
      </w:pPr>
    </w:p>
    <w:p>
      <w:pPr>
        <w:ind w:firstLine="1505"/>
        <w:spacing w:after="0" w:line="261" w:lineRule="auto"/>
        <w:tabs>
          <w:tab w:leader="none" w:pos="18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 of Rights by the Company</w:t>
      </w:r>
      <w:r>
        <w:rPr>
          <w:rFonts w:ascii="Times New Roman" w:cs="Times New Roman" w:eastAsia="Times New Roman" w:hAnsi="Times New Roman"/>
          <w:sz w:val="18"/>
          <w:szCs w:val="18"/>
          <w:color w:val="auto"/>
        </w:rPr>
        <w:t>. If the Company purchases or acquires any shares of Common Stock after the Record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prior to the earlier of the Distribution Date or the Expiration Date, then any Rights associated with such shares of Common Stock will be deemed to be canceled and retired so that the Company will not be entitled to exercise any Rights associated with the shares of Common Stock that are no longer outstanding.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Form of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53" w:lineRule="auto"/>
        <w:tabs>
          <w:tab w:leader="none" w:pos="1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Certificates</w:t>
      </w:r>
      <w:r>
        <w:rPr>
          <w:rFonts w:ascii="Times New Roman" w:cs="Times New Roman" w:eastAsia="Times New Roman" w:hAnsi="Times New Roman"/>
          <w:sz w:val="18"/>
          <w:szCs w:val="18"/>
          <w:color w:val="auto"/>
        </w:rPr>
        <w:t>. The Rights Certificates (and the form of election to purchase and form of assignment,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certifications 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on which the Rights may from time to time be listed or quoted or of the Financial Industry Regulatory Authority, or to conform to customary usage. Subject to the provisions of Section 11 and Section 22, the Rights Certificates, whenever distributed, will be dated as of the Record Date (or in the case of Rights issued with respect to shares of Common Stock issued by the Company after the Record Date, as of the date of issuance of such Common Stock) and on their face will entitle the holders thereof to purchase such number of one one-thousandths of a share of Preferred Stock as will be set forth therein at the Exercise Price, but the number and type of securities purchasable upon the exercise of each Right and the Exercise Price will be subject to adjustment as provided in this Plan.</w:t>
      </w:r>
    </w:p>
    <w:p>
      <w:pPr>
        <w:spacing w:after="0" w:line="191" w:lineRule="exact"/>
        <w:rPr>
          <w:rFonts w:ascii="Times New Roman" w:cs="Times New Roman" w:eastAsia="Times New Roman" w:hAnsi="Times New Roman"/>
          <w:sz w:val="18"/>
          <w:szCs w:val="18"/>
          <w:color w:val="auto"/>
        </w:rPr>
      </w:pPr>
    </w:p>
    <w:p>
      <w:pPr>
        <w:ind w:right="180" w:firstLine="1505"/>
        <w:spacing w:after="0" w:line="261" w:lineRule="auto"/>
        <w:tabs>
          <w:tab w:leader="none" w:pos="1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Legends</w:t>
      </w:r>
      <w:r>
        <w:rPr>
          <w:rFonts w:ascii="Times New Roman" w:cs="Times New Roman" w:eastAsia="Times New Roman" w:hAnsi="Times New Roman"/>
          <w:sz w:val="18"/>
          <w:szCs w:val="18"/>
          <w:color w:val="auto"/>
        </w:rPr>
        <w:t>. Any Rights Certificate issued pursuant to Section 3(a), Section 11(h) or Section 22 that represents Rights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Beneficially Owned by an Acquiring Person, an Affiliate or Associate of an Acquiring Person, a Post-Event Transferee, a Pre-Event Transferee, a Subsequent Transferee or any nominee of any of the foregoing, and any Rights Certificate issued pursuant to Section 6 or Section 11 upon transfer, exchange,</w:t>
      </w:r>
    </w:p>
    <w:p>
      <w:pPr>
        <w:spacing w:after="0" w:line="3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replacement or adjustment of any other Rights Certificate referred to in this sentence, will contain (to the extent that the Rights Agent has notice thereof and to the extent feasible) substantially the following legend:</w:t>
      </w:r>
    </w:p>
    <w:p>
      <w:pPr>
        <w:spacing w:after="0" w:line="162" w:lineRule="exact"/>
        <w:rPr>
          <w:sz w:val="20"/>
          <w:szCs w:val="20"/>
          <w:color w:val="auto"/>
        </w:rPr>
      </w:pPr>
    </w:p>
    <w:p>
      <w:pPr>
        <w:jc w:val="both"/>
        <w:ind w:left="760" w:right="780"/>
        <w:spacing w:after="0" w:line="266" w:lineRule="auto"/>
        <w:rPr>
          <w:sz w:val="20"/>
          <w:szCs w:val="20"/>
          <w:color w:val="auto"/>
        </w:rPr>
      </w:pPr>
      <w:r>
        <w:rPr>
          <w:rFonts w:ascii="Times New Roman" w:cs="Times New Roman" w:eastAsia="Times New Roman" w:hAnsi="Times New Roman"/>
          <w:sz w:val="18"/>
          <w:szCs w:val="18"/>
          <w:color w:val="auto"/>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may become null and void in the circumstances specified in Section 7(e) of the Plan.</w:t>
      </w:r>
    </w:p>
    <w:p>
      <w:pPr>
        <w:spacing w:after="0" w:line="174" w:lineRule="exact"/>
        <w:rPr>
          <w:sz w:val="20"/>
          <w:szCs w:val="20"/>
          <w:color w:val="auto"/>
        </w:rPr>
      </w:pPr>
    </w:p>
    <w:p>
      <w:pPr>
        <w:ind w:right="100" w:firstLine="1505"/>
        <w:spacing w:after="0" w:line="284" w:lineRule="auto"/>
        <w:tabs>
          <w:tab w:leader="none" w:pos="18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Uncertificated Rights</w:t>
      </w:r>
      <w:r>
        <w:rPr>
          <w:rFonts w:ascii="Times New Roman" w:cs="Times New Roman" w:eastAsia="Times New Roman" w:hAnsi="Times New Roman"/>
          <w:sz w:val="18"/>
          <w:szCs w:val="18"/>
          <w:color w:val="auto"/>
        </w:rPr>
        <w:t>. Notwithstanding anything to the contrary in this Plan, the Company and the Rights Agent may amend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provide for uncertificated Rights in addition to or in place of Rights evidenced by Rights Certificates.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Countersignature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2" w:lineRule="auto"/>
        <w:tabs>
          <w:tab w:leader="none" w:pos="18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Countersignature</w:t>
      </w:r>
      <w:r>
        <w:rPr>
          <w:rFonts w:ascii="Times New Roman" w:cs="Times New Roman" w:eastAsia="Times New Roman" w:hAnsi="Times New Roman"/>
          <w:sz w:val="18"/>
          <w:szCs w:val="18"/>
          <w:color w:val="auto"/>
        </w:rPr>
        <w:t>. The Rights Certificates will be executed on behalf of the Company by one of its Appropriate Officers,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will be attested to by such officers as the Board may designate, in each case by manual, facsimile or other electronic signature, and will have affixed thereto the Company’s seal (if any) or a facsimile or other electronic copy thereof. The Rights Certificates will be countersigned, by manual, facsimile or other electronic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 In case any authorized signatory of the Rights Agent who has countersigned any Rights Certificate ceases to be an authorized signatory of the Rights Agent before issuance and delivery by the Company, such Rights Certificate, nevertheless, may be issued and delivered by the Company with the same force and effect as though the person who countersigned such Rights Certificate had not ceased to be an authorized signatory of the Rights Agent. Any Rights Certificate may be countersigned on behalf of the Rights Agent by any person who, at the actual date of the countersignature of such Rights Certificate, is properly authorized to countersign such Rights Certificate, although at the date of the execution of this Plan any such person was not so authorized.</w:t>
      </w:r>
    </w:p>
    <w:p>
      <w:pPr>
        <w:spacing w:after="0" w:line="194" w:lineRule="exact"/>
        <w:rPr>
          <w:rFonts w:ascii="Times New Roman" w:cs="Times New Roman" w:eastAsia="Times New Roman" w:hAnsi="Times New Roman"/>
          <w:sz w:val="18"/>
          <w:szCs w:val="18"/>
          <w:color w:val="auto"/>
        </w:rPr>
      </w:pPr>
    </w:p>
    <w:p>
      <w:pPr>
        <w:ind w:right="20" w:firstLine="1505"/>
        <w:spacing w:after="0" w:line="256" w:lineRule="auto"/>
        <w:tabs>
          <w:tab w:leader="none" w:pos="18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Books</w:t>
      </w:r>
      <w:r>
        <w:rPr>
          <w:rFonts w:ascii="Times New Roman" w:cs="Times New Roman" w:eastAsia="Times New Roman" w:hAnsi="Times New Roman"/>
          <w:sz w:val="18"/>
          <w:szCs w:val="18"/>
          <w:color w:val="auto"/>
        </w:rPr>
        <w:t>. Following the Distribution Date and receipt by the Rights Agent of written notice to that effect and all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and necessary information referred to in Section 3(a), the Rights Agent will keep or cause to be kept, at its office designated for such purposes, books for registration and transfer of the Rights Certificates issued under this Plan.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w:t>
      </w: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Transfer, Split Up, Combination and Exchange of Rights Certificates; Mutilated, Destroyed, Lost or Stolen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right="20" w:firstLine="1505"/>
        <w:spacing w:after="0" w:line="252" w:lineRule="auto"/>
        <w:tabs>
          <w:tab w:leader="none" w:pos="14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Split Up, Combination and Exchange of Rights Certificates</w:t>
      </w:r>
      <w:r>
        <w:rPr>
          <w:rFonts w:ascii="Times New Roman" w:cs="Times New Roman" w:eastAsia="Times New Roman" w:hAnsi="Times New Roman"/>
          <w:sz w:val="18"/>
          <w:szCs w:val="18"/>
          <w:color w:val="auto"/>
        </w:rPr>
        <w:t>. Subject to the provisions of Section 4(b), Section 7(e),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14 and 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one-thousandths of a share of Preferred Stock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of the Rights Agent designated for such purpose, along with a Signature Guarantee. The Rights Certificates are transferable only on the books and records of the Rights Agent. Notwithstanding anything in this Plan to the contrary, neither the Rights Agent nor the Company will be obligated to take any action whatsoever with respect to the transfer of any such surrendered Rights Certificate until the registered holder has properly completed and duly executed the certificate contained in the form of assignment on the reverse side of such Rights Certificate accompanied by a Signature Guarantee and such other documentation as the Rights Agent reasonably requests. Thereupon, subject to Section 4(b), Section 7(e), Section 14 and Section 24, the Rights Agent will countersign (by manual, facsimile or other electronic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governmental charge, the Company will provide the Rights Agent prompt written notice thereof and the Rights Agent will not deliver any Rights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Plan related to the issuance or delivery of Rights Certificates unless and until it is satisfied that all such taxes or charges have been paid.</w:t>
      </w:r>
    </w:p>
    <w:p>
      <w:pPr>
        <w:spacing w:after="0" w:line="187" w:lineRule="exact"/>
        <w:rPr>
          <w:rFonts w:ascii="Times New Roman" w:cs="Times New Roman" w:eastAsia="Times New Roman" w:hAnsi="Times New Roman"/>
          <w:sz w:val="18"/>
          <w:szCs w:val="18"/>
          <w:color w:val="auto"/>
        </w:rPr>
      </w:pPr>
    </w:p>
    <w:p>
      <w:pPr>
        <w:ind w:left="-380" w:firstLine="1505"/>
        <w:spacing w:after="0" w:line="253" w:lineRule="auto"/>
        <w:tabs>
          <w:tab w:leader="none" w:pos="14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Mutilated, Destroyed, Lost or Stolen Rights Certificates</w:t>
      </w:r>
      <w:r>
        <w:rPr>
          <w:rFonts w:ascii="Times New Roman" w:cs="Times New Roman" w:eastAsia="Times New Roman" w:hAnsi="Times New Roman"/>
          <w:sz w:val="18"/>
          <w:szCs w:val="18"/>
          <w:color w:val="auto"/>
        </w:rPr>
        <w:t>. Subject to the provisions of Section 7(e), Section 11(a)(ii) and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at any time after the Distribution Date and prior to the Expiration Date, upon receipt by the Company and the Rights Agent of evidence reasonably satisfactory to each of the Company and the Rights Agent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each of the Company and the Rights Agent, and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under this Plan.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Exercise of Rights; Exercise Price; Prohibited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80" w:right="60" w:firstLine="1505"/>
        <w:spacing w:after="0" w:line="258" w:lineRule="auto"/>
        <w:tabs>
          <w:tab w:leader="none" w:pos="14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Rights</w:t>
      </w:r>
      <w:r>
        <w:rPr>
          <w:rFonts w:ascii="Times New Roman" w:cs="Times New Roman" w:eastAsia="Times New Roman" w:hAnsi="Times New Roman"/>
          <w:sz w:val="18"/>
          <w:szCs w:val="18"/>
          <w:color w:val="auto"/>
        </w:rPr>
        <w:t>. Subject to Section 7(e), Section 23(b) and Section 24(a), the registered holder of any Rights Certificate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the Rights evidenced thereby (except as otherwise provided in this Plan)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accompanied by a Signature Guarantee and such other documentation 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93" w:name="page94"/>
    <w:bookmarkEnd w:id="93"/>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Rights Agent reasonably requests, together with payment of the Exercise Price for each one one-thousandth of a share of Preferred Stock (or, following a Triggering Event, other securities, cash or other assets, as the case may be) as to which the Rights are exercised.</w:t>
      </w:r>
    </w:p>
    <w:p>
      <w:pPr>
        <w:spacing w:after="0" w:line="160" w:lineRule="exact"/>
        <w:rPr>
          <w:sz w:val="20"/>
          <w:szCs w:val="20"/>
          <w:color w:val="auto"/>
        </w:rPr>
      </w:pPr>
    </w:p>
    <w:p>
      <w:pPr>
        <w:ind w:left="1860" w:hanging="355"/>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payable in accordance with Section 7(c).</w:t>
      </w:r>
    </w:p>
    <w:p>
      <w:pPr>
        <w:spacing w:after="0" w:line="225" w:lineRule="exact"/>
        <w:rPr>
          <w:rFonts w:ascii="Times New Roman" w:cs="Times New Roman" w:eastAsia="Times New Roman" w:hAnsi="Times New Roman"/>
          <w:sz w:val="18"/>
          <w:szCs w:val="18"/>
          <w:color w:val="auto"/>
        </w:rPr>
      </w:pPr>
    </w:p>
    <w:p>
      <w:pPr>
        <w:ind w:right="40" w:firstLine="1505"/>
        <w:spacing w:after="0" w:line="251" w:lineRule="auto"/>
        <w:tabs>
          <w:tab w:leader="none" w:pos="18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Except as otherwise provided in this Plan, upon receipt of a Rights Certificate representing exercisable Rights,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election to purchase and certificate properly completed and duly executed, accompanied by payment of the aggregate Exercise Price for the total number of one one-thousandths of a share of Preferred Stock (or, following a Triggering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20(m), thereupon promptly (i) (A) requisition from any transfer agent of the Preferred Stock (or make available, if the Rights Agent is the transfer agent for the Preferred Stock) a certificate for the total number of one one-thousandths of a share of Preferred Stock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irrevocably authorizes its transfer agent to comply with all such requests; or (B) if the Company has elected to deposit the total number of one one-thousandths of a share of Preferred Stock (or, following a Triggering Event, other securities, cash or other assets, as the case may be) issuable upon exercise of the Rights with a depositary agent, requisition from such depositary agent depositary receipts representing interests in such number of one one-thousandths of a share of Preferred Stock (or, following a Triggering Event, other securities, cash or other assets, as the case may be) as are to be purchased (in which case certificates representing shares of the Preferred Stock (or, following a Triggering Event, other securities, cash or other assets, as the case may be) represented by such receipts will be deposited by the transfer agent with such depositary agent) and the Company irrevocably directs such depositary agent to comply with such request; (ii) when necessary to comply with the terms of this Plan, requisition from the Company the amount of cash, if any, to be paid in lieu of the 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If the Company is obligated to issue securities of the Company other than Preferred Stock,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shares of Preferred Stock would be issued.</w:t>
      </w:r>
    </w:p>
    <w:p>
      <w:pPr>
        <w:spacing w:after="0" w:line="203" w:lineRule="exact"/>
        <w:rPr>
          <w:rFonts w:ascii="Times New Roman" w:cs="Times New Roman" w:eastAsia="Times New Roman" w:hAnsi="Times New Roman"/>
          <w:sz w:val="18"/>
          <w:szCs w:val="18"/>
          <w:color w:val="auto"/>
        </w:rPr>
      </w:pPr>
    </w:p>
    <w:p>
      <w:pPr>
        <w:ind w:right="40" w:firstLine="1505"/>
        <w:spacing w:after="0" w:line="267" w:lineRule="auto"/>
        <w:tabs>
          <w:tab w:leader="none" w:pos="18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Exercise</w:t>
      </w:r>
      <w:r>
        <w:rPr>
          <w:rFonts w:ascii="Times New Roman" w:cs="Times New Roman" w:eastAsia="Times New Roman" w:hAnsi="Times New Roman"/>
          <w:sz w:val="18"/>
          <w:szCs w:val="18"/>
          <w:color w:val="auto"/>
        </w:rPr>
        <w:t>. If the registered holder of any Rights Certificate exercises less than all the Rights evidenced thereby, then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spacing w:after="0" w:line="173" w:lineRule="exact"/>
        <w:rPr>
          <w:rFonts w:ascii="Times New Roman" w:cs="Times New Roman" w:eastAsia="Times New Roman" w:hAnsi="Times New Roman"/>
          <w:sz w:val="18"/>
          <w:szCs w:val="18"/>
          <w:color w:val="auto"/>
        </w:rPr>
      </w:pPr>
    </w:p>
    <w:p>
      <w:pPr>
        <w:ind w:firstLine="1505"/>
        <w:spacing w:after="0" w:line="257" w:lineRule="auto"/>
        <w:tabs>
          <w:tab w:leader="none" w:pos="18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Prohibited Issuances</w:t>
      </w:r>
      <w:r>
        <w:rPr>
          <w:rFonts w:ascii="Times New Roman" w:cs="Times New Roman" w:eastAsia="Times New Roman" w:hAnsi="Times New Roman"/>
          <w:sz w:val="18"/>
          <w:szCs w:val="18"/>
          <w:color w:val="auto"/>
        </w:rPr>
        <w:t>. Notwithstanding anything to the contrary in this Plan, from and after the first occurrence of a Triggering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any 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w:t>
      </w:r>
      <w:r>
        <w:rPr>
          <w:rFonts w:ascii="Times New Roman" w:cs="Times New Roman" w:eastAsia="Times New Roman" w:hAnsi="Times New Roman"/>
          <w:sz w:val="18"/>
          <w:szCs w:val="18"/>
          <w:b w:val="1"/>
          <w:bCs w:val="1"/>
          <w:color w:val="auto"/>
        </w:rPr>
        <w:t>Post-Event Transferee</w:t>
      </w:r>
      <w:r>
        <w:rPr>
          <w:rFonts w:ascii="Times New Roman" w:cs="Times New Roman" w:eastAsia="Times New Roman" w:hAnsi="Times New Roman"/>
          <w:sz w:val="18"/>
          <w:szCs w:val="18"/>
          <w:color w:val="auto"/>
        </w:rPr>
        <w:t>”),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w:t>
      </w:r>
    </w:p>
    <w:p>
      <w:pPr>
        <w:spacing w:after="0" w:line="40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Affiliate or Associate of such Acquiring Person) or to any Person with whom the Acquiring Person (or an Affiliate or Associate of the Acquiring Person) has any continuing agreement, arrangement or understanding whether or not in writing regarding the transferred Rights or (B) a transfer that the Board has determined is part of a plan, arrangement or understanding that has as a primary purpose or effect of avoiding this Section 7(e) (a “</w:t>
      </w:r>
      <w:r>
        <w:rPr>
          <w:rFonts w:ascii="Times New Roman" w:cs="Times New Roman" w:eastAsia="Times New Roman" w:hAnsi="Times New Roman"/>
          <w:sz w:val="18"/>
          <w:szCs w:val="18"/>
          <w:b w:val="1"/>
          <w:bCs w:val="1"/>
          <w:color w:val="auto"/>
        </w:rPr>
        <w:t>Pre-Event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(iv) any subsequent transferee receiving transferred Rights from a Post-Event Transferee or a Pre-Event Transferee,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one or more intermediate transferees (a “</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Stock otherwise deemed to be Beneficially Owned by any of the foregoing, and any Rights Certificate delivered to the Rights Agent that represents Rights that are or have become null and void pursuant to this Section 7(e) will be canceled.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p>
    <w:p>
      <w:pPr>
        <w:spacing w:after="0" w:line="189" w:lineRule="exact"/>
        <w:rPr>
          <w:sz w:val="20"/>
          <w:szCs w:val="20"/>
          <w:color w:val="auto"/>
        </w:rPr>
      </w:pPr>
    </w:p>
    <w:p>
      <w:pPr>
        <w:ind w:firstLine="1505"/>
        <w:spacing w:after="0" w:line="254" w:lineRule="auto"/>
        <w:tabs>
          <w:tab w:leader="none" w:pos="18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Concerning Ownership</w:t>
      </w:r>
      <w:r>
        <w:rPr>
          <w:rFonts w:ascii="Times New Roman" w:cs="Times New Roman" w:eastAsia="Times New Roman" w:hAnsi="Times New Roman"/>
          <w:sz w:val="18"/>
          <w:szCs w:val="18"/>
          <w:color w:val="auto"/>
        </w:rPr>
        <w:t>. Notwithstanding anything to the contrary in this Plan or any Rights Certificate,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spacing w:after="0" w:line="18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Cancellation and Destruction of Rights Certificates</w:t>
      </w:r>
      <w:r>
        <w:rPr>
          <w:rFonts w:ascii="Times New Roman" w:cs="Times New Roman" w:eastAsia="Times New Roman" w:hAnsi="Times New Roman"/>
          <w:sz w:val="18"/>
          <w:szCs w:val="18"/>
          <w:color w:val="auto"/>
        </w:rPr>
        <w:t>. All Rights Certificates surrendered for the purpose of exercise, transfer, split up, combination, redemption or exchange will, if surrendered to the Company or to any of its agents, be delivered to the Rights Agent for cancellation or in canceled form, or, if surrendered to the Rights Agent, will be canceled by it, and no Rights Certificates will be issued in lieu thereof except as expressly permitted by any of the provisions of this Plan. The Company will deliver to the Rights Agent for cancellation and retirement, and, at the expense of the Company,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canceled or destroyed by the Rights Agent.</w:t>
      </w:r>
    </w:p>
    <w:p>
      <w:pPr>
        <w:spacing w:after="0" w:line="200" w:lineRule="exact"/>
        <w:rPr>
          <w:sz w:val="20"/>
          <w:szCs w:val="20"/>
          <w:color w:val="auto"/>
        </w:rPr>
      </w:pPr>
    </w:p>
    <w:p>
      <w:pPr>
        <w:spacing w:after="0" w:line="20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Reservation and Availability of Shares of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right="20" w:firstLine="1505"/>
        <w:spacing w:after="0" w:line="258" w:lineRule="auto"/>
        <w:tabs>
          <w:tab w:leader="none" w:pos="14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w:t>
      </w:r>
      <w:r>
        <w:rPr>
          <w:rFonts w:ascii="Times New Roman" w:cs="Times New Roman" w:eastAsia="Times New Roman" w:hAnsi="Times New Roman"/>
          <w:sz w:val="18"/>
          <w:szCs w:val="18"/>
          <w:color w:val="auto"/>
        </w:rPr>
        <w:t>. The Company covenants and agrees that it will use all reasonable efforts to cause to be reserved and kept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its authorized and unissued Preferred Stock not reserved for another purpose (and, following the occurrence of a Triggering Event, out of its authorized and unissued Common Stock or other securities, or out of its authorized and issued shares held in treasury), the number of shares of Preferred Stock (and, following the occurrence of a Triggering Event, shares of Common Stock or other securities) that will be sufficient to permit the exercise in full of all outstanding Rights.</w:t>
      </w:r>
    </w:p>
    <w:p>
      <w:pPr>
        <w:spacing w:after="0" w:line="183" w:lineRule="exact"/>
        <w:rPr>
          <w:rFonts w:ascii="Times New Roman" w:cs="Times New Roman" w:eastAsia="Times New Roman" w:hAnsi="Times New Roman"/>
          <w:sz w:val="18"/>
          <w:szCs w:val="18"/>
          <w:color w:val="auto"/>
        </w:rPr>
      </w:pPr>
    </w:p>
    <w:p>
      <w:pPr>
        <w:jc w:val="both"/>
        <w:ind w:left="-380" w:right="140" w:firstLine="1505"/>
        <w:spacing w:after="0" w:line="261" w:lineRule="auto"/>
        <w:tabs>
          <w:tab w:leader="none" w:pos="14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So long as the Preferred Stock (and, following the occurrence of a Triggering Event, Common Stock or other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spacing w:after="0" w:line="179" w:lineRule="exact"/>
        <w:rPr>
          <w:rFonts w:ascii="Times New Roman" w:cs="Times New Roman" w:eastAsia="Times New Roman" w:hAnsi="Times New Roman"/>
          <w:sz w:val="18"/>
          <w:szCs w:val="18"/>
          <w:color w:val="auto"/>
        </w:rPr>
      </w:pPr>
    </w:p>
    <w:p>
      <w:pPr>
        <w:ind w:left="-380" w:firstLine="1505"/>
        <w:spacing w:after="0" w:line="252" w:lineRule="auto"/>
        <w:tabs>
          <w:tab w:leader="none" w:pos="14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The Company must use all reasonable efforts to (i) file, as soon as practicable following the earliest date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180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“blue sky” 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rule or regulation), or an exemption therefrom is available, and until a registration statement in respect thereof has been declared and remains effective.</w:t>
      </w:r>
    </w:p>
    <w:p>
      <w:pPr>
        <w:spacing w:after="0" w:line="191" w:lineRule="exact"/>
        <w:rPr>
          <w:rFonts w:ascii="Times New Roman" w:cs="Times New Roman" w:eastAsia="Times New Roman" w:hAnsi="Times New Roman"/>
          <w:sz w:val="18"/>
          <w:szCs w:val="18"/>
          <w:color w:val="auto"/>
        </w:rPr>
      </w:pPr>
    </w:p>
    <w:p>
      <w:pPr>
        <w:ind w:left="-380" w:right="100" w:firstLine="1505"/>
        <w:spacing w:after="0" w:line="261" w:lineRule="auto"/>
        <w:tabs>
          <w:tab w:leader="none" w:pos="14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Issuance</w:t>
      </w:r>
      <w:r>
        <w:rPr>
          <w:rFonts w:ascii="Times New Roman" w:cs="Times New Roman" w:eastAsia="Times New Roman" w:hAnsi="Times New Roman"/>
          <w:sz w:val="18"/>
          <w:szCs w:val="18"/>
          <w:color w:val="auto"/>
        </w:rPr>
        <w:t>. The Company covenants and agrees that it will take all such action as may be necessary to ensure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(and, following the occurrence of a Triggering Event, Common Stock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spacing w:after="0" w:line="179" w:lineRule="exact"/>
        <w:rPr>
          <w:rFonts w:ascii="Times New Roman" w:cs="Times New Roman" w:eastAsia="Times New Roman" w:hAnsi="Times New Roman"/>
          <w:sz w:val="18"/>
          <w:szCs w:val="18"/>
          <w:color w:val="auto"/>
        </w:rPr>
      </w:pPr>
    </w:p>
    <w:p>
      <w:pPr>
        <w:ind w:left="-380" w:right="40" w:firstLine="1505"/>
        <w:spacing w:after="0" w:line="256" w:lineRule="auto"/>
        <w:tabs>
          <w:tab w:leader="none" w:pos="14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Taxes and Governmental Charges</w:t>
      </w:r>
      <w:r>
        <w:rPr>
          <w:rFonts w:ascii="Times New Roman" w:cs="Times New Roman" w:eastAsia="Times New Roman" w:hAnsi="Times New Roman"/>
          <w:sz w:val="18"/>
          <w:szCs w:val="18"/>
          <w:color w:val="auto"/>
        </w:rPr>
        <w:t>. The Company further covenants and agrees that it will pay when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transfer taxes and governmental charges that may be payable in respect of the original issuance or delivery of Rights Certificates (or any Preferred Stock, Common Stock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Stock, Common Stock or other securities of the Company, as the case may be) in a name other than, or the issuance or delivery of certificates or depositary receipts for Preferred Stock, Common Stock or other securities of the Company, as the case may be, in a name other than, that of the registered holder of the Rights Certificate evidencing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96" w:name="page97"/>
    <w:bookmarkEnd w:id="96"/>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Rights surrendered for exercise or exchange; or (ii) issue or deliver any certificates or depositary receipts for Preferred Stock, Common Stock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will also apply to any transfer taxes and governmental charges that may be payable in respect of any uncertificated Rights Certificates, shares or other securities.</w:t>
      </w:r>
    </w:p>
    <w:p>
      <w:pPr>
        <w:spacing w:after="0" w:line="18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Record Date for Securities Issued</w:t>
      </w:r>
      <w:r>
        <w:rPr>
          <w:rFonts w:ascii="Times New Roman" w:cs="Times New Roman" w:eastAsia="Times New Roman" w:hAnsi="Times New Roman"/>
          <w:sz w:val="18"/>
          <w:szCs w:val="18"/>
          <w:color w:val="auto"/>
        </w:rPr>
        <w:t>. Each Person in whose name any certificate for a number of one one-thousandths of a share of Preferred Stock (or any other security of the Company, including Common Stock) is issued (or registration on the transfer books of the Company or the applicable transfer agent is effected) upon the exercise or exchange of Rights will for all purposes be deemed to have become the holder of record of such fractional shares of Preferred Stock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However, if the date of such surrender and payment is a date upon which the transfer books of the Company (or the applicable transfer agent) are closed, then such Person will be deemed to have become the record holder of such fractional shares of Preferred Stock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Stock (or any other security of the Company) for which the Rights are exercisable, including the right to vote, to receive dividends or other distributions, or to exercise any preemptive rights, and is not entitled to receive any notice of any proceedings of the Company, except as provided in this Plan.</w:t>
      </w:r>
    </w:p>
    <w:p>
      <w:pPr>
        <w:spacing w:after="0" w:line="185"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Adjustment of Exercise Price, Number and Kind of Shares or Number of Rights</w:t>
      </w:r>
      <w:r>
        <w:rPr>
          <w:rFonts w:ascii="Times New Roman" w:cs="Times New Roman" w:eastAsia="Times New Roman" w:hAnsi="Times New Roman"/>
          <w:sz w:val="18"/>
          <w:szCs w:val="18"/>
          <w:color w:val="auto"/>
        </w:rPr>
        <w:t>. The Exercise Price, the number and kind of shares or other property covered by each Right and the number of Rights outstanding are subject to adjustment from time to time as provided in this Section 11.</w:t>
      </w:r>
    </w:p>
    <w:p>
      <w:pPr>
        <w:spacing w:after="0" w:line="158" w:lineRule="exact"/>
        <w:rPr>
          <w:sz w:val="20"/>
          <w:szCs w:val="20"/>
          <w:color w:val="auto"/>
        </w:rPr>
      </w:pPr>
    </w:p>
    <w:p>
      <w:pPr>
        <w:ind w:left="1860" w:hanging="355"/>
        <w:spacing w:after="0"/>
        <w:tabs>
          <w:tab w:leader="none" w:pos="1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2629"/>
        <w:spacing w:after="0" w:line="252" w:lineRule="auto"/>
        <w:tabs>
          <w:tab w:leader="none" w:pos="298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 to Preferred Stock</w:t>
      </w:r>
      <w:r>
        <w:rPr>
          <w:rFonts w:ascii="Times New Roman" w:cs="Times New Roman" w:eastAsia="Times New Roman" w:hAnsi="Times New Roman"/>
          <w:sz w:val="18"/>
          <w:szCs w:val="18"/>
          <w:color w:val="auto"/>
        </w:rPr>
        <w:t>. Notwithstanding anything to the contrary in this Plan, if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after the Rights Dividend Declaration Date (A) declares a dividend on the Preferred Stock payable in Preferred Stock, (B) subdivides or splits the outstanding Preferred Stock, (C) combines or consolidates the outstanding Preferred Stock (by reverse stock split or otherwise) into a smaller number of shares of Preferred Stock or (D) issues any shares of its capital stock in a reclassification of the Preferred Stock (including any such reclassification in connection with a share exchange, consolidation or merger in which the Company is the continuing or surviving corporation), then, in each such event, except as otherwise provided in this Section 11(a)(i) and Section 7(e), the Exercise Price in effect at the time of the record date for such dividend or of the effective date of such subdivision, split, combination, consolidation or reclassification, and the number and kind of Preferred Stock or capital stock of the Company, as the case may be, issuable on such date, will be proportionately adjusted so that the holder of any Right exercised after such time will be entitled to receive, upon payment of the Exercise Price then in effect, the aggregate number and kind of Preferred Stock or securities of the Company, as the case may be, that, if such Right had been exercised immediately prior to such date (and at a time when the Preferred Stock transfer books of the Company were open), such holder would have owned upon such exercise and been entitled to receive by virtue of such dividend, subdivision, split, combination, consolidation or reclassification, it being understood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spacing w:after="0" w:line="200" w:lineRule="exact"/>
        <w:rPr>
          <w:sz w:val="20"/>
          <w:szCs w:val="20"/>
          <w:color w:val="auto"/>
        </w:rPr>
      </w:pPr>
    </w:p>
    <w:p>
      <w:pPr>
        <w:spacing w:after="0" w:line="21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2" w:lineRule="exact"/>
        <w:rPr>
          <w:sz w:val="20"/>
          <w:szCs w:val="20"/>
          <w:color w:val="auto"/>
        </w:rPr>
      </w:pPr>
    </w:p>
    <w:p>
      <w:pPr>
        <w:ind w:left="-380" w:right="20" w:firstLine="2629"/>
        <w:spacing w:after="0" w:line="268" w:lineRule="auto"/>
        <w:tabs>
          <w:tab w:leader="none" w:pos="260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Exercise of Rights Following Certain Events</w:t>
      </w:r>
      <w:r>
        <w:rPr>
          <w:rFonts w:ascii="Times New Roman" w:cs="Times New Roman" w:eastAsia="Times New Roman" w:hAnsi="Times New Roman"/>
          <w:sz w:val="17"/>
          <w:szCs w:val="17"/>
          <w:color w:val="auto"/>
        </w:rPr>
        <w:t>. Subject to Section 23 and Section 24, in the event that any Person,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any time after the Rights Dividend Declaration Date, becomes an Acquiring Person (the first occurrence of such event being referred to as the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11(a)(ii) Event</w:t>
      </w:r>
      <w:r>
        <w:rPr>
          <w:rFonts w:ascii="Times New Roman" w:cs="Times New Roman" w:eastAsia="Times New Roman" w:hAnsi="Times New Roman"/>
          <w:sz w:val="17"/>
          <w:szCs w:val="17"/>
          <w:color w:val="auto"/>
        </w:rPr>
        <w:t>”), unless the event causing such Person to become an Acquiring Person is a transaction set forth in Section 13(a), then promptly following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share of Preferred Stock, such number of shares of Common Stock as equals the quotient obtained by dividing (A) the product obtained by multiplying (1) the Exercise Price in effect immediately prior to the first occurrence of such event by (2) the number of one one-thousandths of a share of Preferred Stock for which a Right was exercisable (or would have been exercisable if the Distribution Date had occurred) immediately prior to the first occurrence of such event by (B) 50 percent of the Current Per Share Market Price for Common Stock on the date of such first occurrence of such event (such number of shares, the “</w:t>
      </w:r>
      <w:r>
        <w:rPr>
          <w:rFonts w:ascii="Times New Roman" w:cs="Times New Roman" w:eastAsia="Times New Roman" w:hAnsi="Times New Roman"/>
          <w:sz w:val="17"/>
          <w:szCs w:val="17"/>
          <w:b w:val="1"/>
          <w:bCs w:val="1"/>
          <w:color w:val="auto"/>
        </w:rPr>
        <w:t>Adjustment Shares</w:t>
      </w:r>
      <w:r>
        <w:rPr>
          <w:rFonts w:ascii="Times New Roman" w:cs="Times New Roman" w:eastAsia="Times New Roman" w:hAnsi="Times New Roman"/>
          <w:sz w:val="17"/>
          <w:szCs w:val="17"/>
          <w:color w:val="auto"/>
        </w:rPr>
        <w:t>”). Notwithstanding the foregoing, the Exercise Price and the number of shares of Common Stock so receivable upon the exercise of a Right will be subject to further adjustment as appropriate in accordance with Section 11(e). If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 Section 11(a)(ii) applies and of the identity of any such Acquiring Person, Affiliate or Associate of such Acquiring Person, Post-Event Transferee, Pre-Event Transferee, Subsequent Transferee or any nominee of any of the foregoing. The Rights Agent may rely on such notice in carrying out its duties under this Plan and will not be deemed to have any knowledge of the identity of any such Acquiring Person, Affiliate or Associate of such Acquiring Person, Post-Event Transferee, Pre-Event Transferee, Subsequent Transferee or any nominee of any of the foregoing unless and until it receives such notice.</w:t>
      </w:r>
    </w:p>
    <w:p>
      <w:pPr>
        <w:spacing w:after="0" w:line="177" w:lineRule="exact"/>
        <w:rPr>
          <w:rFonts w:ascii="Times New Roman" w:cs="Times New Roman" w:eastAsia="Times New Roman" w:hAnsi="Times New Roman"/>
          <w:sz w:val="17"/>
          <w:szCs w:val="17"/>
          <w:color w:val="auto"/>
        </w:rPr>
      </w:pPr>
    </w:p>
    <w:p>
      <w:pPr>
        <w:ind w:left="-380" w:firstLine="2629"/>
        <w:spacing w:after="0" w:line="251" w:lineRule="auto"/>
        <w:tabs>
          <w:tab w:leader="none" w:pos="26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Shares of Common Stock</w:t>
      </w:r>
      <w:r>
        <w:rPr>
          <w:rFonts w:ascii="Times New Roman" w:cs="Times New Roman" w:eastAsia="Times New Roman" w:hAnsi="Times New Roman"/>
          <w:sz w:val="18"/>
          <w:szCs w:val="18"/>
          <w:color w:val="auto"/>
        </w:rPr>
        <w:t>. If the number of shares of Common Stock that are authorized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Amended 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Times New Roman" w:cs="Times New Roman" w:eastAsia="Times New Roman" w:hAnsi="Times New Roman"/>
          <w:sz w:val="18"/>
          <w:szCs w:val="18"/>
          <w:b w:val="1"/>
          <w:bCs w:val="1"/>
          <w:color w:val="auto"/>
        </w:rPr>
        <w:t>Current Value</w:t>
      </w:r>
      <w:r>
        <w:rPr>
          <w:rFonts w:ascii="Times New Roman" w:cs="Times New Roman" w:eastAsia="Times New Roman" w:hAnsi="Times New Roman"/>
          <w:sz w:val="18"/>
          <w:szCs w:val="18"/>
          <w:color w:val="auto"/>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Stock, (4) other equity securities of the Company (including shares or units of shares of any series of preferred stock that, by virtue of having dividend, voting and liquidation rights substantially comparable to those of the Common Stock, the Board has deemed in good faith to have substantially the same value or economic rights as the Common Stock (such shares or units of shares of preferred stock,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 banking firm selected by the Board, which determination will be described in a written statement filed with the Rights Agent and will be binding on the Rights Agent and the holders of the Rights.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w:t>
      </w:r>
      <w:r>
        <w:rPr>
          <w:rFonts w:ascii="Times New Roman" w:cs="Times New Roman" w:eastAsia="Times New Roman" w:hAnsi="Times New Roman"/>
          <w:sz w:val="18"/>
          <w:szCs w:val="18"/>
          <w:b w:val="1"/>
          <w:bCs w:val="1"/>
          <w:color w:val="auto"/>
        </w:rPr>
        <w:t>Section 11(a)(ii) Trigger Date</w:t>
      </w:r>
      <w:r>
        <w:rPr>
          <w:rFonts w:ascii="Times New Roman" w:cs="Times New Roman" w:eastAsia="Times New Roman" w:hAnsi="Times New Roman"/>
          <w:sz w:val="18"/>
          <w:szCs w:val="18"/>
          <w:color w:val="auto"/>
        </w:rPr>
        <w:t>”), then the Company will be obligated to deliver, upon the surrender for exercise of a Right and without requiring payment of the Exercise Price, Common Stock (to the extent available and except to the extent that the Company has not obtained any necessary stockholder or regulatory approval for such issuance) and such number or fractions of Preferred Stock and then, if necessary, cash, which shares or cash have an aggregate value equal to the Spread. If the Board determines in good faith that it is likely that sufficient additional shares of Common Stock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180 days after the Section 11(a)(ii) Trigger Date, so that the Company may seek stockholder approval for the authorization of such additional shares of Common Stock or take such action necessary to obtain such regulatory approval (such period, as it may be extended, the “</w:t>
      </w:r>
      <w:r>
        <w:rPr>
          <w:rFonts w:ascii="Times New Roman" w:cs="Times New Roman" w:eastAsia="Times New Roman" w:hAnsi="Times New Roman"/>
          <w:sz w:val="18"/>
          <w:szCs w:val="18"/>
          <w:b w:val="1"/>
          <w:bCs w:val="1"/>
          <w:color w:val="auto"/>
        </w:rPr>
        <w:t>Substitution Period</w:t>
      </w:r>
      <w:r>
        <w:rPr>
          <w:rFonts w:ascii="Times New Roman" w:cs="Times New Roman" w:eastAsia="Times New Roman" w:hAnsi="Times New Roman"/>
          <w:sz w:val="18"/>
          <w:szCs w:val="18"/>
          <w:color w:val="auto"/>
        </w:rPr>
        <w:t>”). To the extent that the Company determines that some action need be taken pursuant to the first or second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98" w:name="page99"/>
    <w:bookmarkEnd w:id="9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sentences of this Section 11(a)(iii), the Company (a) will provide, subject to Section 7(e), that such action applies uniformly to all outstanding Rights and</w:t>
      </w:r>
    </w:p>
    <w:p>
      <w:pPr>
        <w:spacing w:after="0" w:line="27" w:lineRule="exact"/>
        <w:rPr>
          <w:sz w:val="20"/>
          <w:szCs w:val="20"/>
          <w:color w:val="auto"/>
        </w:rPr>
      </w:pPr>
    </w:p>
    <w:p>
      <w:pPr>
        <w:ind w:firstLine="8"/>
        <w:spacing w:after="0" w:line="251"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has been temporarily suspended, as well as issue a public announcement (and promptly provide written notice to the Rights Agent) at such time as the suspension is no longer in effect. For purposes of this Section 11(a)(iii), the per share value of the Common Stock will be the Current Per Share Market Price of the Common Stock on the Section 11(a)(ii) Trigger Date and any Common Stock Equivalent will be deemed to have the same value as the value of the Common Stock on such date. The Board may, but will not be required to, establish procedures to allocate the right to receive Common Stock upon the exercise of the Rights among holders of Rights pursuant to this Section 11(a)(iii).</w:t>
      </w:r>
    </w:p>
    <w:p>
      <w:pPr>
        <w:spacing w:after="0" w:line="191" w:lineRule="exact"/>
        <w:rPr>
          <w:rFonts w:ascii="Times New Roman" w:cs="Times New Roman" w:eastAsia="Times New Roman" w:hAnsi="Times New Roman"/>
          <w:sz w:val="18"/>
          <w:szCs w:val="18"/>
          <w:color w:val="auto"/>
        </w:rPr>
      </w:pPr>
    </w:p>
    <w:p>
      <w:pPr>
        <w:ind w:firstLine="1505"/>
        <w:spacing w:after="0" w:line="252" w:lineRule="auto"/>
        <w:tabs>
          <w:tab w:leader="none" w:pos="185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Dilutive Rights Offering</w:t>
      </w:r>
      <w:r>
        <w:rPr>
          <w:rFonts w:ascii="Times New Roman" w:cs="Times New Roman" w:eastAsia="Times New Roman" w:hAnsi="Times New Roman"/>
          <w:sz w:val="18"/>
          <w:szCs w:val="18"/>
          <w:color w:val="auto"/>
        </w:rPr>
        <w:t>. If the Company, at any time after the Rights Dividend Declaration Date, fixes a record date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rights, options or warrants to all holders of shares of Preferred Stock entitling such holders (for a period expiring within 45 days after such record date) to subscribe for or purchase shares of Preferred Stock or Equivalent Preferred Stock, or securities convertible into Preferred Stock or Equivalent Preferred Stock, at a price per share (or having a conversion or exercise price per share, if a security that is convertible into or exercisable for Preferred Stock or Equivalent Preferred Stock) less than the Current Per Share Market Price of the Preferred Stock on such record date, then, in each such case, the Exercise Price to be in effect after such record date will be determined by multiplying the Exercise Price in effect immediately prior to such record date by a fraction, the numerator of which will be the number of shares of Preferred Stock and Equivalent Preferred Stock (if any) outstanding on such record date, plus the number of shares of Preferred Stock or Equivalent Preferred Stock, as the case may be, that the aggregate offering price of the total number of shares of Preferred Stock or Equivalent Preferred Stock, as the case may be, to be offered or issued (or the aggregate initial conversion price of the convertible securities to be offered or issued) would purchase at such Current Per Share Market Price, and the denominator of which will be the number of shares of Preferred Stock and Equivalent Preferred Stock (if any) outstanding on such record date, plus the number of additional shares of Preferred Stock or Equivalent Preferred Stock, as the case may be, to be offered for subscription or purchase (or into which the convertible securities so to be offered are initially convertible), it being understood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statement filed with the Rights Agent and will be binding on the Rights Agent and the holders of the Rights. Shares of Preferred Stock and Equivalent Preferred Stock owned by or held for the account of the Company will not be deemed outstanding for the purpose of any such computation. Such adjustment will be made successively whenever such a record date is fixed, and if such rights, options or warrants are not so issued, then the Exercise Price will be adjusted to be the Exercise Price that would then be in effect if such record date had not been fixed.</w:t>
      </w:r>
    </w:p>
    <w:p>
      <w:pPr>
        <w:spacing w:after="0" w:line="190" w:lineRule="exact"/>
        <w:rPr>
          <w:rFonts w:ascii="Times New Roman" w:cs="Times New Roman" w:eastAsia="Times New Roman" w:hAnsi="Times New Roman"/>
          <w:sz w:val="18"/>
          <w:szCs w:val="18"/>
          <w:color w:val="auto"/>
        </w:rPr>
      </w:pPr>
    </w:p>
    <w:p>
      <w:pPr>
        <w:ind w:right="20" w:firstLine="1505"/>
        <w:spacing w:after="0" w:line="253" w:lineRule="auto"/>
        <w:tabs>
          <w:tab w:leader="none" w:pos="185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If the Company, at any time after the Rights Dividend Declaration Date, fixes a record date for the making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all holders of shares of Preferred Stock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shares of Preferred Stock, but including any dividend payable in stock other than Preferred Stock), evidences of indebtedness, subscription rights, options or warrants (excluding those referred to in Section 11(b)), then, in each such case, the Exercise Price to be in effect after such record date will be determined by multiplying the Exercise Price in effect immediately prior to such record date by a fraction, the numerator of which will be the Current Per Share Market Price of a share of Preferred Stock on such record date, less the fair market value per share of Preferred Stock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share of Preferred Stock, and the denominator of which will be the Current Per Share Market Price of a share of Preferred Stock on such record date, it being understood that in no event will the consideration to be paid upon the exercise of one Right be less than the aggregate par value of the shares of capital stock of the Company issuable upon the</w:t>
      </w:r>
    </w:p>
    <w:p>
      <w:pPr>
        <w:spacing w:after="0" w:line="200" w:lineRule="exact"/>
        <w:rPr>
          <w:sz w:val="20"/>
          <w:szCs w:val="20"/>
          <w:color w:val="auto"/>
        </w:rPr>
      </w:pPr>
    </w:p>
    <w:p>
      <w:pPr>
        <w:spacing w:after="0" w:line="20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exercise of one Right. Such adjustment will be made successively whenever such a record date is fixed, and if such distribution is not so made, then the Exercise Price will be adjusted to be the Exercise Price that would have been in effect if such record date had not been fixed.</w:t>
      </w:r>
    </w:p>
    <w:p>
      <w:pPr>
        <w:spacing w:after="0" w:line="160" w:lineRule="exact"/>
        <w:rPr>
          <w:sz w:val="20"/>
          <w:szCs w:val="20"/>
          <w:color w:val="auto"/>
        </w:rPr>
      </w:pPr>
    </w:p>
    <w:p>
      <w:pPr>
        <w:ind w:firstLine="1505"/>
        <w:spacing w:after="0" w:line="257" w:lineRule="auto"/>
        <w:tabs>
          <w:tab w:leader="none" w:pos="18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Insignificant Changes</w:t>
      </w:r>
      <w:r>
        <w:rPr>
          <w:rFonts w:ascii="Times New Roman" w:cs="Times New Roman" w:eastAsia="Times New Roman" w:hAnsi="Times New Roman"/>
          <w:sz w:val="18"/>
          <w:szCs w:val="18"/>
          <w:color w:val="auto"/>
        </w:rPr>
        <w:t>. Notwithstanding anything to the contrary in this Plan, no adjustment in the Exercise Price is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such adjustment would require an increase or decrease of at least one percent of the Exercise Price, except that any adjustments that by reason of this Section 11(d) are not required to be made will be carried forward and taken into account in any subsequent adjustment. All calculations pursuant to this Section 11 must be made to the nearest cent or to the nearest ten-millionth of a share of Preferred Stock or ten-thousandth of any other share or security, as the case may be. Notwithstanding the first sentence of this Section 11(d), any adjustment required by this Section 11 must be made no later than the earlier of (i) three years from the date of the transaction that requires such adjustment or (ii) the Expiration Date.</w:t>
      </w:r>
    </w:p>
    <w:p>
      <w:pPr>
        <w:spacing w:after="0" w:line="182" w:lineRule="exact"/>
        <w:rPr>
          <w:rFonts w:ascii="Times New Roman" w:cs="Times New Roman" w:eastAsia="Times New Roman" w:hAnsi="Times New Roman"/>
          <w:sz w:val="18"/>
          <w:szCs w:val="18"/>
          <w:color w:val="auto"/>
        </w:rPr>
      </w:pPr>
    </w:p>
    <w:p>
      <w:pPr>
        <w:ind w:right="180" w:firstLine="1505"/>
        <w:spacing w:after="0" w:line="257" w:lineRule="auto"/>
        <w:tabs>
          <w:tab w:leader="none" w:pos="18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Other Than Preferred Stock</w:t>
      </w:r>
      <w:r>
        <w:rPr>
          <w:rFonts w:ascii="Times New Roman" w:cs="Times New Roman" w:eastAsia="Times New Roman" w:hAnsi="Times New Roman"/>
          <w:sz w:val="18"/>
          <w:szCs w:val="18"/>
          <w:color w:val="auto"/>
        </w:rPr>
        <w:t>. If as a result of an adjustment made pursuant to Section 11(a) or Section 13(a), the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Right thereafter exercised will become entitled to receive any shares of capital stock other than Preferred Stock,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Stock contained in Section 11(a), Section 11(b), Section 11(c), Section 11(d), Section 11(g), Section 11(h), Section 11(i), Section 11(j), Section 11(k) and Section 11(l), and the provisions of Section 7, Section 9, Section 10 and Section 13 with respect to the Preferred Stock will apply on like terms to any such other shares.</w:t>
      </w:r>
    </w:p>
    <w:p>
      <w:pPr>
        <w:spacing w:after="0" w:line="182" w:lineRule="exact"/>
        <w:rPr>
          <w:rFonts w:ascii="Times New Roman" w:cs="Times New Roman" w:eastAsia="Times New Roman" w:hAnsi="Times New Roman"/>
          <w:sz w:val="18"/>
          <w:szCs w:val="18"/>
          <w:color w:val="auto"/>
        </w:rPr>
      </w:pPr>
    </w:p>
    <w:p>
      <w:pPr>
        <w:ind w:right="120" w:firstLine="1505"/>
        <w:spacing w:after="0" w:line="261" w:lineRule="auto"/>
        <w:tabs>
          <w:tab w:leader="none" w:pos="18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Issued Subsequent to Adjustment</w:t>
      </w:r>
      <w:r>
        <w:rPr>
          <w:rFonts w:ascii="Times New Roman" w:cs="Times New Roman" w:eastAsia="Times New Roman" w:hAnsi="Times New Roman"/>
          <w:sz w:val="18"/>
          <w:szCs w:val="18"/>
          <w:color w:val="auto"/>
        </w:rPr>
        <w:t>. All Rights originally issued by the Company subsequent to any adjustment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will evidence the right to purchase, at the adjusted Exercise Price, the number of one one-thousandths of a share of Preferred Stock (and other shares of other capital stock or other securities, assets or cash of the Company, if any) purchasable from time to time upon exercise of the Rights, all subject to further adjustment as provided in this Plan.</w:t>
      </w:r>
    </w:p>
    <w:p>
      <w:pPr>
        <w:spacing w:after="0" w:line="179" w:lineRule="exact"/>
        <w:rPr>
          <w:rFonts w:ascii="Times New Roman" w:cs="Times New Roman" w:eastAsia="Times New Roman" w:hAnsi="Times New Roman"/>
          <w:sz w:val="18"/>
          <w:szCs w:val="18"/>
          <w:color w:val="auto"/>
        </w:rPr>
      </w:pPr>
    </w:p>
    <w:p>
      <w:pPr>
        <w:ind w:right="120" w:firstLine="1505"/>
        <w:spacing w:after="0" w:line="257" w:lineRule="auto"/>
        <w:tabs>
          <w:tab w:leader="none" w:pos="18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Adjustments on Existing Rights</w:t>
      </w:r>
      <w:r>
        <w:rPr>
          <w:rFonts w:ascii="Times New Roman" w:cs="Times New Roman" w:eastAsia="Times New Roman" w:hAnsi="Times New Roman"/>
          <w:sz w:val="18"/>
          <w:szCs w:val="18"/>
          <w:color w:val="auto"/>
        </w:rPr>
        <w:t>. Unless the Company has exercised its election as provided in Section 11(h), upon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the Exercise Price as a result of the calculations made in Section 11(b) and Section 11(c), each Right outstanding immediately prior to the making of such adjustment will thereafter evidence the right to purchase, at the adjusted Exercise Price, that number of shares of Preferred Stock (calculated to the nearest ten-millionth of a share of Preferred Stock) obtained by (i) multiplying (A) the number of one one-thousandths of a share of Preferred Stock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82" w:lineRule="exact"/>
        <w:rPr>
          <w:rFonts w:ascii="Times New Roman" w:cs="Times New Roman" w:eastAsia="Times New Roman" w:hAnsi="Times New Roman"/>
          <w:sz w:val="18"/>
          <w:szCs w:val="18"/>
          <w:color w:val="auto"/>
        </w:rPr>
      </w:pPr>
    </w:p>
    <w:p>
      <w:pPr>
        <w:ind w:firstLine="1505"/>
        <w:spacing w:after="0" w:line="252" w:lineRule="auto"/>
        <w:tabs>
          <w:tab w:leader="none" w:pos="18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in Number of Rights</w:t>
      </w:r>
      <w:r>
        <w:rPr>
          <w:rFonts w:ascii="Times New Roman" w:cs="Times New Roman" w:eastAsia="Times New Roman" w:hAnsi="Times New Roman"/>
          <w:sz w:val="18"/>
          <w:szCs w:val="18"/>
          <w:color w:val="auto"/>
        </w:rPr>
        <w:t>. The Company may elect, on or after the date of any adjustment of the Exercise Price, to adjust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Rights in substitution for any adjustment in the number of one one-thousandths of a share of Preferred Stock purchasable upon the exercise of a Right. Each of the Rights outstanding after such adjustment will be exercisable for the number of one one-thousandths of a share of Preferred Stock for which a Right was exercisable immediately prior to such adjustment. Each Right held of record prior to such adjustment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11(h),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issued, executed and delivered by the Company, and countersigned and delivered by the Rights Agent, in the manner provided in this Plan (and may bear, at the option of the Company, the adjusted Exercise Price), and will be registered in the names of the holders of record of Rights Certificates on the record date specified in the public announcement.</w:t>
      </w:r>
    </w:p>
    <w:p>
      <w:pPr>
        <w:spacing w:after="0" w:line="174" w:lineRule="exact"/>
        <w:rPr>
          <w:sz w:val="20"/>
          <w:szCs w:val="20"/>
          <w:color w:val="auto"/>
        </w:rPr>
      </w:pPr>
    </w:p>
    <w:p>
      <w:pPr>
        <w:ind w:firstLine="1505"/>
        <w:spacing w:after="0" w:line="261" w:lineRule="auto"/>
        <w:tabs>
          <w:tab w:leader="none" w:pos="1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Certificates Unchanged</w:t>
      </w:r>
      <w:r>
        <w:rPr>
          <w:rFonts w:ascii="Times New Roman" w:cs="Times New Roman" w:eastAsia="Times New Roman" w:hAnsi="Times New Roman"/>
          <w:sz w:val="18"/>
          <w:szCs w:val="18"/>
          <w:color w:val="auto"/>
        </w:rPr>
        <w:t>. Irrespective of any adjustment or change in the Exercise Price or the number of one one-thousandths of a share of Preferred Stock issuable upon the exercise of the Rights, the Rights Certificates previously and subsequently issued may continue to express the Exercise Price per one one-thousandth of a share of Preferred Stock and the number of one one-thousandths of a share of Preferred Stock that were expressed in the initial Rights Certificates.</w:t>
      </w:r>
    </w:p>
    <w:p>
      <w:pPr>
        <w:spacing w:after="0" w:line="179" w:lineRule="exact"/>
        <w:rPr>
          <w:rFonts w:ascii="Times New Roman" w:cs="Times New Roman" w:eastAsia="Times New Roman" w:hAnsi="Times New Roman"/>
          <w:sz w:val="18"/>
          <w:szCs w:val="18"/>
          <w:color w:val="auto"/>
        </w:rPr>
      </w:pPr>
    </w:p>
    <w:p>
      <w:pPr>
        <w:ind w:right="80" w:firstLine="1505"/>
        <w:spacing w:after="0" w:line="261" w:lineRule="auto"/>
        <w:tabs>
          <w:tab w:leader="none" w:pos="1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 Value Limitations</w:t>
      </w:r>
      <w:r>
        <w:rPr>
          <w:rFonts w:ascii="Times New Roman" w:cs="Times New Roman" w:eastAsia="Times New Roman" w:hAnsi="Times New Roman"/>
          <w:sz w:val="18"/>
          <w:szCs w:val="18"/>
          <w:color w:val="auto"/>
        </w:rPr>
        <w:t>. Before taking any action that would cause an adjustment reducing the Exercise Price below the par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value, if any, of the number of one one-thousandths of a share of Preferred Stock issuable upon exercise of the Rights, the Company will take any corporate action that may, in the opinion of its counsel, be necessary in order that the Company may duly and validly issue as fully paid and nonassessable shares such number of one one-thousandths of a share of Preferred Stock at such adjusted Exercise Price.</w:t>
      </w:r>
    </w:p>
    <w:p>
      <w:pPr>
        <w:spacing w:after="0" w:line="179" w:lineRule="exact"/>
        <w:rPr>
          <w:rFonts w:ascii="Times New Roman" w:cs="Times New Roman" w:eastAsia="Times New Roman" w:hAnsi="Times New Roman"/>
          <w:sz w:val="18"/>
          <w:szCs w:val="18"/>
          <w:color w:val="auto"/>
        </w:rPr>
      </w:pPr>
    </w:p>
    <w:p>
      <w:pPr>
        <w:ind w:firstLine="1505"/>
        <w:spacing w:after="0" w:line="256" w:lineRule="auto"/>
        <w:tabs>
          <w:tab w:leader="none" w:pos="1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Issuance</w:t>
      </w:r>
      <w:r>
        <w:rPr>
          <w:rFonts w:ascii="Times New Roman" w:cs="Times New Roman" w:eastAsia="Times New Roman" w:hAnsi="Times New Roman"/>
          <w:sz w:val="18"/>
          <w:szCs w:val="18"/>
          <w:color w:val="auto"/>
        </w:rPr>
        <w:t>. In any case in which this Section 11 requires that an adjustment in the Exercise Price be made effective as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date for a specified event, the Company may elect to defer (with prompt written notice to the Rights Agent) until the occurrence of such event the issuance to the holder of any Right exercised after such record date of the number of one one-thousandths of a share of Preferred Stock and other capital stock or securities, assets or cash of the Company, if any, issuable upon such exercise over and above the number of one one-thousandths of a share of Preferred Stock and other capital stock or securities, assets or cash of the Company, if any, issuable upon such exercise on the basis of the Exercise Price in effect prior to such adjustment. The Company must deliver to such holder a due bill or other appropriate instrument evidencing such holder’s right to receive such additional shares (fractional or otherwise) or securities upon the occurrence of the event requiring such adjustment.</w:t>
      </w:r>
    </w:p>
    <w:p>
      <w:pPr>
        <w:spacing w:after="0" w:line="182" w:lineRule="exact"/>
        <w:rPr>
          <w:rFonts w:ascii="Times New Roman" w:cs="Times New Roman" w:eastAsia="Times New Roman" w:hAnsi="Times New Roman"/>
          <w:sz w:val="18"/>
          <w:szCs w:val="18"/>
          <w:color w:val="auto"/>
        </w:rPr>
      </w:pPr>
    </w:p>
    <w:p>
      <w:pPr>
        <w:ind w:right="80" w:firstLine="1505"/>
        <w:spacing w:after="0" w:line="256" w:lineRule="auto"/>
        <w:tabs>
          <w:tab w:leader="none" w:pos="1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in Exercise Price</w:t>
      </w:r>
      <w:r>
        <w:rPr>
          <w:rFonts w:ascii="Times New Roman" w:cs="Times New Roman" w:eastAsia="Times New Roman" w:hAnsi="Times New Roman"/>
          <w:sz w:val="18"/>
          <w:szCs w:val="18"/>
          <w:color w:val="auto"/>
        </w:rPr>
        <w:t>. Notwithstanding anything to the contrary in this Section 11, the Company is entitled to make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reductions in the Exercise Price, in addition to those adjustments expressly required by this Section 11, as and to the extent that it, in its sole discretion, determines to be advisable in order that any (i) consolidation or subdivision of the Preferred Stock or Common Stock, (ii) issuance wholly for cash of any Preferred Stock or Common Stock at less than the applicable Current Per Share Market Price, (iii) issuance wholly for cash of any Preferred Stock or Common Stock or securities that by their terms are convertible into or exchangeable for Preferred Stock or Common Stock, (iv) stock dividend or (v) issuance of rights, options or warrants referred to in this Section 11 made by the Company to holders of shares of Preferred Stock or Common Stock is not taxable to such stockholders.</w:t>
      </w:r>
    </w:p>
    <w:p>
      <w:pPr>
        <w:spacing w:after="0" w:line="182" w:lineRule="exact"/>
        <w:rPr>
          <w:rFonts w:ascii="Times New Roman" w:cs="Times New Roman" w:eastAsia="Times New Roman" w:hAnsi="Times New Roman"/>
          <w:sz w:val="18"/>
          <w:szCs w:val="18"/>
          <w:color w:val="auto"/>
        </w:rPr>
      </w:pPr>
    </w:p>
    <w:p>
      <w:pPr>
        <w:jc w:val="both"/>
        <w:ind w:right="200" w:firstLine="1505"/>
        <w:spacing w:after="0" w:line="261" w:lineRule="auto"/>
        <w:tabs>
          <w:tab w:leader="none" w:pos="1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Diminishment of Benefit of Rights</w:t>
      </w:r>
      <w:r>
        <w:rPr>
          <w:rFonts w:ascii="Times New Roman" w:cs="Times New Roman" w:eastAsia="Times New Roman" w:hAnsi="Times New Roman"/>
          <w:sz w:val="18"/>
          <w:szCs w:val="18"/>
          <w:color w:val="auto"/>
        </w:rPr>
        <w:t>. The Company covenants and agrees that, after the Distribution Date and so long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are outstanding, it will not, except as permitted by Section 23, Section 24 or Section 28, take (or permit to be taken) any action if at the time that such action is taken it is reasonably foreseeable that such action will diminish substantially or otherwise eliminate the benefits intended to be afforded by the Rights.</w:t>
      </w:r>
    </w:p>
    <w:p>
      <w:pPr>
        <w:spacing w:after="0" w:line="179" w:lineRule="exact"/>
        <w:rPr>
          <w:rFonts w:ascii="Times New Roman" w:cs="Times New Roman" w:eastAsia="Times New Roman" w:hAnsi="Times New Roman"/>
          <w:sz w:val="18"/>
          <w:szCs w:val="18"/>
          <w:color w:val="auto"/>
        </w:rPr>
      </w:pPr>
    </w:p>
    <w:p>
      <w:pPr>
        <w:ind w:right="20" w:firstLine="1505"/>
        <w:spacing w:after="0" w:line="254" w:lineRule="auto"/>
        <w:tabs>
          <w:tab w:leader="none" w:pos="1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 to Common Stock</w:t>
      </w:r>
      <w:r>
        <w:rPr>
          <w:rFonts w:ascii="Times New Roman" w:cs="Times New Roman" w:eastAsia="Times New Roman" w:hAnsi="Times New Roman"/>
          <w:sz w:val="18"/>
          <w:szCs w:val="18"/>
          <w:color w:val="auto"/>
        </w:rPr>
        <w:t>. Notwithstanding anything to the contrary in this Plan, if the Company, at any time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Dividend Declaration Date and prior to the Distribution Date, (i) declares or pays a dividend on the Common Stock payable in shares of Common Stock, (ii) subdivides or splits the shares of outstanding Common Stock (other than by the payment of dividends payable in shares of Common Stock), (iii) combines or consolidates the outstanding Common Stock (by reverse stock split or otherwise) into a lesser number of shares of Common Stock or (iv) issues any shares of its capital stock in a reclassification of the Common Stock (including any such reclassification in connection with a share exchange, consolidation or merger in which the Company is the continuing or surviving corporation), then, in each such event, except as otherwise provided in this Section 11 or Section 7(e): (A) each share of Common Stock (or shares of capital stock issued in such reclassification of the Common Stock) outstanding immediately following such time will have associated with it the number of Rights as were associated with one share of Common Stock immediately prior to the occurrence of such event; (B) the Exercise Price in effect at the time of the record date for such dividend or of the effective date of such</w:t>
      </w:r>
    </w:p>
    <w:p>
      <w:pPr>
        <w:spacing w:after="0" w:line="200" w:lineRule="exact"/>
        <w:rPr>
          <w:sz w:val="20"/>
          <w:szCs w:val="20"/>
          <w:color w:val="auto"/>
        </w:rPr>
      </w:pPr>
    </w:p>
    <w:p>
      <w:pPr>
        <w:spacing w:after="0" w:line="20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shares of Common Stock outstanding immediately prior to such event and the denominator of which will be the total number of shares of Common Stock outstanding immediately after such event, it being understood that in no event will the consideration to be paid upon the exercise of one Right be less than the aggregate par value of the shares of capital stock of the Company issuable upon the exercise of such Right; and (C) the number of one one-thousandths of a share of Preferred Stock (or shares of such other capital stock) issuable upon the exercise of each Right outstanding after such event equals the number of one one-thousandths of a share of Preferred Stock (or shares of such other capital stock) as were issuable with respect to one Right immediately prior to such event. Each share of Common Stock that becomes outstanding after an adjustment has been made pursuant to this Section 11(n) will have issued with it that number of Rights, exercisable at the Exercise Price and for the number of one one-thousandths of a share of Preferred Stock (or shares of such other capital stock), as one share of Common Stock has associated with it immediately following the adjustment made pursuant to this Section 11(n). If an event occurs that would require an adjustment pursuant to both this Section 11(n) and Section 11(a)(ii), then the adjustment provided for in this Section 11(n) will be in addition to, and will be made prior to, any adjustment required pursuant to Section 11(a)(ii). The adjustments provided for in this Section 11(n) will be made successively whenever such a dividend is declared or paid or such a subdivision, split, combination, consolidation or reclassification is effected.</w:t>
      </w:r>
    </w:p>
    <w:p>
      <w:pPr>
        <w:spacing w:after="0" w:line="185" w:lineRule="exact"/>
        <w:rPr>
          <w:sz w:val="20"/>
          <w:szCs w:val="20"/>
          <w:color w:val="auto"/>
        </w:rPr>
      </w:pPr>
    </w:p>
    <w:p>
      <w:pPr>
        <w:ind w:right="60" w:firstLine="1505"/>
        <w:spacing w:after="0" w:line="256" w:lineRule="auto"/>
        <w:tabs>
          <w:tab w:leader="none" w:pos="18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Rights Associated with Certain Distributions</w:t>
      </w:r>
      <w:r>
        <w:rPr>
          <w:rFonts w:ascii="Times New Roman" w:cs="Times New Roman" w:eastAsia="Times New Roman" w:hAnsi="Times New Roman"/>
          <w:sz w:val="18"/>
          <w:szCs w:val="18"/>
          <w:color w:val="auto"/>
        </w:rPr>
        <w:t>. Other than in connection with a transaction contemplated by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11(n), if the Company, at any time after the Rights Dividend Declaration Date and prior to the Distribution Date, issues or distributes any securities or assets in respect of shares of Common Stock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holders of the Rights generally, and the Company and the Rights Agent will amend this Plan as necessary to provide for such adjustments.</w:t>
      </w:r>
    </w:p>
    <w:p>
      <w:pPr>
        <w:spacing w:after="0" w:line="183" w:lineRule="exact"/>
        <w:rPr>
          <w:sz w:val="20"/>
          <w:szCs w:val="20"/>
          <w:color w:val="auto"/>
        </w:rPr>
      </w:pPr>
    </w:p>
    <w:p>
      <w:pPr>
        <w:jc w:val="both"/>
        <w:ind w:right="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Certificate of Adjusted Exercise Price or Number of Shares</w:t>
      </w:r>
      <w:r>
        <w:rPr>
          <w:rFonts w:ascii="Times New Roman" w:cs="Times New Roman" w:eastAsia="Times New Roman" w:hAnsi="Times New Roman"/>
          <w:sz w:val="18"/>
          <w:szCs w:val="18"/>
          <w:color w:val="auto"/>
        </w:rPr>
        <w:t>.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and a brief, reasonably detailed statement of the facts and computations accounting for such adjustment or event; (b) provide the Rights Agent and each transfer agent for the Common Stock or Preferred Stock a copy of such certificate; and (c) if a Distribution Date has occurred, mail a brief summary of such adjustment or event to each holder of a Rights Certificate in accordance with Section 26.</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Consolidation, Merger or Sale or Transfer of Assets, Cash Flow or Earning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505"/>
        <w:spacing w:after="0" w:line="254" w:lineRule="auto"/>
        <w:tabs>
          <w:tab w:leader="none" w:pos="18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If, following a Stock Acquisition Date, directly or indirectly, (i) the Company consolidates with, or merges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into, any other Person (other than a wholly owned Subsidiary of the Company in a transaction that complies with Section 11(m)) and the Company is not the continuing or surviving corporation of such consolidation or merger; (ii) any Person (other than a wholly owned Subsidiary of the Company in a transaction that complies with Section 11(m)) consolidates with, or merges with and into, the Company, and the Company is the continuing or surviving corporation of such consolidation or merger and, in connection with such consolidation or merger, all or part of the Common Stock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percent or more of the assets, cash flow or earning power of the Company and its Subsidiaries (taken as a whole) to any other Person or Persons (other than the Company or one or more of its wholly owned Subsidiaries in one or more transactions,</w:t>
      </w: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each of which individually (and together) complies with Section 11(m)),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share of Preferred Stock for which a Right was exercisable immediately prior to the occurrence of such Section 13 Event in accordance with the terms of this Plan, and in lieu of Preferred Stock, such number of duly and validly authorized and issued and fully paid and nonassessable and freely tradable shares of Common Stock of the Principal Party, free of any liens, encumbrances, rights of first refusal or other adverse claims, equal to the result obtained by (1) multiplying the then current Exercise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of Preferred Stock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 50 percent of the Current Per Share Market Price of the Common Stock of such Principal Party on the date of consummation of such Section 13 Event, it being understood that the price per Right so payable and the number of shares of Common Stock of such Principal Party so receivable upon exercise of a Right will be subject to further adjustment as appropriate in accordance with Section 11(e) to reflect any events covered thereby occurring in respect of the Common Stock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shares of its Common Stock) in connection with the consummation of any such transaction as may be necessary to ensure that the provisions hereof will thereafter be applicable, as nearly as reasonably may be, in relation to its Common Stock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Stock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the “earning power” 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spacing w:after="0" w:line="200" w:lineRule="exact"/>
        <w:rPr>
          <w:sz w:val="20"/>
          <w:szCs w:val="20"/>
          <w:color w:val="auto"/>
        </w:rPr>
      </w:pPr>
    </w:p>
    <w:p>
      <w:pPr>
        <w:ind w:firstLine="1505"/>
        <w:spacing w:after="0" w:line="256" w:lineRule="auto"/>
        <w:tabs>
          <w:tab w:leader="none" w:pos="185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Arrangements</w:t>
      </w:r>
      <w:r>
        <w:rPr>
          <w:rFonts w:ascii="Times New Roman" w:cs="Times New Roman" w:eastAsia="Times New Roman" w:hAnsi="Times New Roman"/>
          <w:sz w:val="18"/>
          <w:szCs w:val="18"/>
          <w:color w:val="auto"/>
        </w:rPr>
        <w:t>. The Company will not consummate or permit to occur any Section 13 Event unless (A) the Principal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 sufficient number of authorized, unissued and unreserved shares of Common Stock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(3) such Section 13 Event will not result in a default by the Principal Party pursuant to this Plan (as it has been assumed by the Principal Party) and (4) the Principal Party, as soon as practicable after the date of such Section 13 Event and at its own expense, will:</w:t>
      </w:r>
    </w:p>
    <w:p>
      <w:pPr>
        <w:spacing w:after="0" w:line="184" w:lineRule="exact"/>
        <w:rPr>
          <w:rFonts w:ascii="Times New Roman" w:cs="Times New Roman" w:eastAsia="Times New Roman" w:hAnsi="Times New Roman"/>
          <w:sz w:val="18"/>
          <w:szCs w:val="18"/>
          <w:color w:val="auto"/>
        </w:rPr>
      </w:pPr>
    </w:p>
    <w:p>
      <w:pPr>
        <w:jc w:val="both"/>
        <w:ind w:right="40" w:firstLine="2629"/>
        <w:spacing w:after="0" w:line="261" w:lineRule="auto"/>
        <w:tabs>
          <w:tab w:leader="none" w:pos="298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spacing w:after="0" w:line="3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jc w:val="both"/>
        <w:ind w:right="80" w:firstLine="2629"/>
        <w:spacing w:after="0" w:line="266" w:lineRule="auto"/>
        <w:tabs>
          <w:tab w:leader="none" w:pos="298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spacing w:after="0" w:line="175" w:lineRule="exact"/>
        <w:rPr>
          <w:rFonts w:ascii="Times New Roman" w:cs="Times New Roman" w:eastAsia="Times New Roman" w:hAnsi="Times New Roman"/>
          <w:sz w:val="18"/>
          <w:szCs w:val="18"/>
          <w:color w:val="auto"/>
        </w:rPr>
      </w:pPr>
    </w:p>
    <w:p>
      <w:pPr>
        <w:ind w:right="40" w:firstLine="2629"/>
        <w:spacing w:after="0" w:line="282" w:lineRule="auto"/>
        <w:tabs>
          <w:tab w:leader="none" w:pos="298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holders of the Rights historical financial statements for the Principal Party and its Affiliates that comply in all respects with the requirements for registration on Form 10 (or any successor form) promulgated under the Exchange Act; and</w:t>
      </w:r>
    </w:p>
    <w:p>
      <w:pPr>
        <w:spacing w:after="0" w:line="161" w:lineRule="exact"/>
        <w:rPr>
          <w:rFonts w:ascii="Times New Roman" w:cs="Times New Roman" w:eastAsia="Times New Roman" w:hAnsi="Times New Roman"/>
          <w:sz w:val="18"/>
          <w:szCs w:val="18"/>
          <w:color w:val="auto"/>
        </w:rPr>
      </w:pPr>
    </w:p>
    <w:p>
      <w:pPr>
        <w:ind w:left="2980" w:hanging="351"/>
        <w:spacing w:after="0"/>
        <w:tabs>
          <w:tab w:leader="none" w:pos="2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other action as may be necessary to allow the Principal Party to issue the securities purchasable upon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Rights.</w:t>
      </w:r>
    </w:p>
    <w:p>
      <w:pPr>
        <w:spacing w:after="0" w:line="20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Prohibited Transactions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2629"/>
        <w:spacing w:after="0" w:line="253" w:lineRule="auto"/>
        <w:tabs>
          <w:tab w:leader="none" w:pos="298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if the Principal Party has a provision in any of its authorized securities or in its organizational documents that would have the effect of (i) causing the Principal Party to issue (other than to holders of Rights pursuant to this Section 13), in connection with, or as a consequence of, the consummation of a Section 13 Event, Common Stock or common stock equivalents of the Principal Party at less than the then Current Per Share Market Price thereof or securities exercisable for, or convertible into, Common Stock or common stock equivalents of the Principal Party at less than such Current Per Share Market Price; or (ii) providing for any special payment, tax, charge or similar provision in connection with the issuance of the Common Stock of the Principal Party pursuant to the provisions of this Section 13, then the Company agrees with each holder of Rights that it will not consummate any such Section 13 Event unless prior thereto the Company and such Principal Party have executed and delivered to the Rights Agent a supplemental agreement providing that such provision has been canceled, waived, amended or rescinded, or that such authorized securities will be redeemed, so that such provision will have no effect in connection with, or as a consequence of, the consummation of such Section 13 Event.</w:t>
      </w:r>
    </w:p>
    <w:p>
      <w:pPr>
        <w:spacing w:after="0" w:line="194" w:lineRule="exact"/>
        <w:rPr>
          <w:rFonts w:ascii="Times New Roman" w:cs="Times New Roman" w:eastAsia="Times New Roman" w:hAnsi="Times New Roman"/>
          <w:sz w:val="18"/>
          <w:szCs w:val="18"/>
          <w:color w:val="auto"/>
        </w:rPr>
      </w:pPr>
    </w:p>
    <w:p>
      <w:pPr>
        <w:ind w:right="140" w:firstLine="2629"/>
        <w:spacing w:after="0" w:line="254" w:lineRule="auto"/>
        <w:tabs>
          <w:tab w:leader="none" w:pos="298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the Company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Stock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spacing w:after="0" w:line="189" w:lineRule="exact"/>
        <w:rPr>
          <w:rFonts w:ascii="Times New Roman" w:cs="Times New Roman" w:eastAsia="Times New Roman" w:hAnsi="Times New Roman"/>
          <w:sz w:val="18"/>
          <w:szCs w:val="18"/>
          <w:color w:val="auto"/>
        </w:rPr>
      </w:pPr>
    </w:p>
    <w:p>
      <w:pPr>
        <w:ind w:right="120" w:firstLine="1505"/>
        <w:spacing w:after="0" w:line="261" w:lineRule="auto"/>
        <w:tabs>
          <w:tab w:leader="none" w:pos="185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Applicability</w:t>
      </w:r>
      <w:r>
        <w:rPr>
          <w:rFonts w:ascii="Times New Roman" w:cs="Times New Roman" w:eastAsia="Times New Roman" w:hAnsi="Times New Roman"/>
          <w:sz w:val="18"/>
          <w:szCs w:val="18"/>
          <w:color w:val="auto"/>
        </w:rPr>
        <w:t>. The provisions of this Section 13 will similarly apply to successive mergers, consolidations,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exchanges, mortgages, transfers or other extraordinary transactions. If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505"/>
        <w:spacing w:after="0" w:line="258" w:lineRule="auto"/>
        <w:tabs>
          <w:tab w:leader="none" w:pos="18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Rights</w:t>
      </w:r>
      <w:r>
        <w:rPr>
          <w:rFonts w:ascii="Times New Roman" w:cs="Times New Roman" w:eastAsia="Times New Roman" w:hAnsi="Times New Roman"/>
          <w:sz w:val="18"/>
          <w:szCs w:val="18"/>
          <w:color w:val="auto"/>
        </w:rPr>
        <w:t>. The Company will not be required to issue fractions of Rights (except prior to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as provided in Section 11(n))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2" w:lineRule="exact"/>
        <w:rPr>
          <w:sz w:val="20"/>
          <w:szCs w:val="20"/>
          <w:color w:val="auto"/>
        </w:rPr>
      </w:pPr>
    </w:p>
    <w:p>
      <w:pPr>
        <w:ind w:firstLine="1505"/>
        <w:spacing w:after="0" w:line="253" w:lineRule="auto"/>
        <w:tabs>
          <w:tab w:leader="none" w:pos="18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 of Preferred Stock</w:t>
      </w:r>
      <w:r>
        <w:rPr>
          <w:rFonts w:ascii="Times New Roman" w:cs="Times New Roman" w:eastAsia="Times New Roman" w:hAnsi="Times New Roman"/>
          <w:sz w:val="18"/>
          <w:szCs w:val="18"/>
          <w:color w:val="auto"/>
        </w:rPr>
        <w:t>. The Company will not be required to issue fractions of shares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(other than fractions that are integral multiples of one one-thousandth of a share of Preferred Stock) upon exercise or exchange of the Rights or to distribute certificates that evidence fractional shares of Preferred Stock (other than fractions that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the Company but only if such agreement provides that the holders of such depositary receipts have all of the rights, powers and preferences to which they are entitled as Beneficial Owners of the Preferred Stock represented by such depositary receipts. In lieu of fractional shares of Preferred Stock that are not integral multiples of one one-thousandth of a share of Preferred Stock, the Company may pay to the registered holders of Rights Certificates at the time that such Rights are exercised or exchanged as provided in this Plan an amount in cash equal to the same fraction of the current market value of one one-thousandth of a share of Preferred Stock. For purposes of this Section 14(b), the current market value of one one-thousandth of a share of Preferred Stock will be one one-thousandth of the Current Per Share Market Price of a share of Preferred Stock, calculated as of the Trading Day immediately prior to the date of such exercise or exchange.</w:t>
      </w:r>
    </w:p>
    <w:p>
      <w:pPr>
        <w:spacing w:after="0" w:line="189" w:lineRule="exact"/>
        <w:rPr>
          <w:rFonts w:ascii="Times New Roman" w:cs="Times New Roman" w:eastAsia="Times New Roman" w:hAnsi="Times New Roman"/>
          <w:sz w:val="18"/>
          <w:szCs w:val="18"/>
          <w:color w:val="auto"/>
        </w:rPr>
      </w:pPr>
    </w:p>
    <w:p>
      <w:pPr>
        <w:ind w:right="80" w:firstLine="1505"/>
        <w:spacing w:after="0" w:line="257" w:lineRule="auto"/>
        <w:tabs>
          <w:tab w:leader="none" w:pos="18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 of Common Stock</w:t>
      </w:r>
      <w:r>
        <w:rPr>
          <w:rFonts w:ascii="Times New Roman" w:cs="Times New Roman" w:eastAsia="Times New Roman" w:hAnsi="Times New Roman"/>
          <w:sz w:val="18"/>
          <w:szCs w:val="18"/>
          <w:color w:val="auto"/>
        </w:rPr>
        <w:t>. The Company is not required to issue fractions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to distribute certificates that evidence fractional shares of Common Stock upon the exercise or exchange of Rights. In lieu of such fractional shares of Common Stock, the Company may pay to the registered holders of Rights Certificates at the time such Rights are exercised or exchanged as provided in this Plan an amount in cash equal to the same fraction of the current market value of a share of Common Stock. For purposes of this Section 14(c), the current market value of a share of Common Stock will be the Current Per Share Market Price of a share of Common Stock, calculated as of the Trading Day immediately prior to the date of such exercise or exchange.</w:t>
      </w:r>
    </w:p>
    <w:p>
      <w:pPr>
        <w:spacing w:after="0" w:line="182" w:lineRule="exact"/>
        <w:rPr>
          <w:rFonts w:ascii="Times New Roman" w:cs="Times New Roman" w:eastAsia="Times New Roman" w:hAnsi="Times New Roman"/>
          <w:sz w:val="18"/>
          <w:szCs w:val="18"/>
          <w:color w:val="auto"/>
        </w:rPr>
      </w:pPr>
    </w:p>
    <w:p>
      <w:pPr>
        <w:jc w:val="both"/>
        <w:ind w:right="440" w:firstLine="1505"/>
        <w:spacing w:after="0" w:line="315" w:lineRule="auto"/>
        <w:tabs>
          <w:tab w:leader="none" w:pos="185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 of Fractional Rights</w:t>
      </w:r>
      <w:r>
        <w:rPr>
          <w:rFonts w:ascii="Times New Roman" w:cs="Times New Roman" w:eastAsia="Times New Roman" w:hAnsi="Times New Roman"/>
          <w:sz w:val="17"/>
          <w:szCs w:val="17"/>
          <w:color w:val="auto"/>
        </w:rPr>
        <w:t>. Except as permitted by this Section 14, the holder of a Right, by the acceptance of such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expressly waives such holder’s right to receive any fractional Rights or any fractional shares of any security upon the exercise or exchange of a Right.</w:t>
      </w:r>
    </w:p>
    <w:p>
      <w:pPr>
        <w:spacing w:after="0" w:line="134" w:lineRule="exact"/>
        <w:rPr>
          <w:rFonts w:ascii="Times New Roman" w:cs="Times New Roman" w:eastAsia="Times New Roman" w:hAnsi="Times New Roman"/>
          <w:sz w:val="17"/>
          <w:szCs w:val="17"/>
          <w:color w:val="auto"/>
        </w:rPr>
      </w:pPr>
    </w:p>
    <w:p>
      <w:pPr>
        <w:ind w:right="20" w:firstLine="1505"/>
        <w:spacing w:after="0" w:line="256" w:lineRule="auto"/>
        <w:tabs>
          <w:tab w:leader="none" w:pos="18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 for Payment</w:t>
      </w:r>
      <w:r>
        <w:rPr>
          <w:rFonts w:ascii="Times New Roman" w:cs="Times New Roman" w:eastAsia="Times New Roman" w:hAnsi="Times New Roman"/>
          <w:sz w:val="18"/>
          <w:szCs w:val="18"/>
          <w:color w:val="auto"/>
        </w:rPr>
        <w:t>. Whenever a payment for fractional Rights or fractions of a share of Preferred Stock or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made by the Rights Agent 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will be fully protected in relying upon such certificate and will have no duty with respect thereto, and will not be deemed to have knowledge of any payment for fractional Rights or fractions of a share of Preferred Stock or Common Stock under any Section of this Plan relating to fractional Rights or fractions of a share of Preferred Stock or Common Stock unless and until the Rights Agent has received such certificate and sufficient monies.</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Rights of Action</w:t>
      </w:r>
      <w:r>
        <w:rPr>
          <w:rFonts w:ascii="Times New Roman" w:cs="Times New Roman" w:eastAsia="Times New Roman" w:hAnsi="Times New Roman"/>
          <w:sz w:val="18"/>
          <w:szCs w:val="18"/>
          <w:color w:val="auto"/>
        </w:rPr>
        <w:t>. All rights of action in respect of this Plan, except those rights of action given to the Rights Agent pursuant to this Plan, are vested in the respective registered holders of the Rights Certificates (and, prior to the Distribution Date, the registered holders of shares of Common Stock). Any registered holder of any Rights Certificate (or, prior to the Distribution Date, any registered holder of Common Stock), without the consent of the Rights Agent or of the holder of any other Rights Certificate (or, prior to the Distribution Date, any other holder of Common Stock),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 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by the Company and will be entitled to specific performance by the Company of the obligations subject to this Plan, and injunctive relief against actual or threatened breaches or violations of the obligations of the Company under this Plan, in each case without having to post a bond.</w:t>
      </w: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2"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Agreement of Rights Holders</w:t>
      </w:r>
      <w:r>
        <w:rPr>
          <w:rFonts w:ascii="Times New Roman" w:cs="Times New Roman" w:eastAsia="Times New Roman" w:hAnsi="Times New Roman"/>
          <w:sz w:val="18"/>
          <w:szCs w:val="18"/>
          <w:color w:val="auto"/>
        </w:rPr>
        <w:t>. Every holder of a Right, by accepting the Right, consents and agrees with the Company and the Rights Agent and with every other holder of a Right that:</w:t>
      </w:r>
    </w:p>
    <w:p>
      <w:pPr>
        <w:spacing w:after="0" w:line="160" w:lineRule="exact"/>
        <w:rPr>
          <w:sz w:val="20"/>
          <w:szCs w:val="20"/>
          <w:color w:val="auto"/>
        </w:rPr>
      </w:pPr>
    </w:p>
    <w:p>
      <w:pPr>
        <w:ind w:right="80" w:firstLine="1505"/>
        <w:spacing w:after="0" w:line="282" w:lineRule="auto"/>
        <w:tabs>
          <w:tab w:leader="none" w:pos="18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not be evidenced by a Rights Certificate and will be transferable only in connection with the transfer of shares of Common Stock;</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79" w:lineRule="exact"/>
        <w:rPr>
          <w:rFonts w:ascii="Times New Roman" w:cs="Times New Roman" w:eastAsia="Times New Roman" w:hAnsi="Times New Roman"/>
          <w:sz w:val="18"/>
          <w:szCs w:val="18"/>
          <w:color w:val="auto"/>
        </w:rPr>
      </w:pPr>
    </w:p>
    <w:p>
      <w:pPr>
        <w:ind w:right="20" w:firstLine="1505"/>
        <w:spacing w:after="0" w:line="256" w:lineRule="auto"/>
        <w:tabs>
          <w:tab w:leader="none" w:pos="18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6(a) and Section 7(f), the Company and the Rights Agent may deem and treat the Person in whose name the Rights Certificate (or, prior to the Distribution Date, the associated certificate representing shares of Common Stock or Book Entry Shares, as applicable) is registered as the absolute owner thereof and of the Rights evidenced thereby (notwithstanding any notations of ownership or writing on the Rights Certificates or the associated certificate representing shares of Common Stock or Book Entry Shares, as applicable, made by anyone other than the Company or the Rights Agent) for all purposes whatsoever, and neither the Company nor the Rights Agent (subject to Section 7(e)) will be affected by any notice to the contrary;</w:t>
      </w:r>
    </w:p>
    <w:p>
      <w:pPr>
        <w:spacing w:after="0" w:line="187" w:lineRule="exact"/>
        <w:rPr>
          <w:rFonts w:ascii="Times New Roman" w:cs="Times New Roman" w:eastAsia="Times New Roman" w:hAnsi="Times New Roman"/>
          <w:sz w:val="18"/>
          <w:szCs w:val="18"/>
          <w:color w:val="auto"/>
        </w:rPr>
      </w:pPr>
    </w:p>
    <w:p>
      <w:pPr>
        <w:ind w:right="40" w:firstLine="1505"/>
        <w:spacing w:after="0" w:line="256" w:lineRule="auto"/>
        <w:tabs>
          <w:tab w:leader="none" w:pos="18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neither the Company nor the Rights Agent will have any liability to any holder of a Right or other Person as a result of the inability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it being understood that the Company will use all reasonable efforts to have any such injunction, order, judgment, decree or ruling lifted or otherwise overturned as promptly as practicable;</w:t>
      </w:r>
    </w:p>
    <w:p>
      <w:pPr>
        <w:spacing w:after="0" w:line="18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that are Beneficially Owned by certain Persons will, under the circumstances set forth in Section 7(e), become null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void; and</w:t>
      </w:r>
    </w:p>
    <w:p>
      <w:pPr>
        <w:spacing w:after="0" w:line="20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may be supplemented or amended from time to time in accordance with Section 28.</w:t>
      </w:r>
    </w:p>
    <w:p>
      <w:pPr>
        <w:spacing w:after="0" w:line="22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Holder of Rights Certificate Not Deemed to be a Stockholder</w:t>
      </w:r>
      <w:r>
        <w:rPr>
          <w:rFonts w:ascii="Times New Roman" w:cs="Times New Roman" w:eastAsia="Times New Roman" w:hAnsi="Times New Roman"/>
          <w:sz w:val="18"/>
          <w:szCs w:val="18"/>
          <w:color w:val="auto"/>
        </w:rPr>
        <w:t>. No holder, as such, of any Rights Certificate will be entitled to vote or receive dividends or be deemed for any purpose to be the holder of the number of one one-thousandths of a share of Preferred Stock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Concerning the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57" w:lineRule="auto"/>
        <w:tabs>
          <w:tab w:leader="none" w:pos="18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Reimbursement; Indemnification</w:t>
      </w:r>
      <w:r>
        <w:rPr>
          <w:rFonts w:ascii="Times New Roman" w:cs="Times New Roman" w:eastAsia="Times New Roman" w:hAnsi="Times New Roman"/>
          <w:sz w:val="18"/>
          <w:szCs w:val="18"/>
          <w:color w:val="auto"/>
        </w:rPr>
        <w:t>. The Company agrees to pay to the Rights Agent reasonable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services rendered by it under this Plan in accordance with a fee schedule to be mutually agreed upon and, from time to time, on demand by the Rights Agent, the reasonable and documented expenses and counsel fees and other disbursements incurred by the Rights Agent in connection with the preparation, negotiation, delivery, execution, amendment and administration of this Plan and the exercise and performance of its duties under this Plan. The Company also covenants and agrees to indemnify the Rights Agent for, and to hold it harmless against, any loss, liability, damage, judgment, fine, penalty, claim, demand, settlement,</w:t>
      </w:r>
    </w:p>
    <w:p>
      <w:pPr>
        <w:spacing w:after="0" w:line="40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cost or expense (including the reasonable and documented expenses and fees of its outside counsel) that may be paid, incurred or suffered by it,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pursuant to this Plan, including the reasonable costs and expenses of defending against any claim of liability arising therefrom, directly or indirectly, or of enforcing its rights under this Plan. The provisions of this Section 18 and Section 20 will survive the termination of this Plan, the exercise, exchange or expiration of the Rights and the resignation, replacement or removal of the Rights Agent.</w:t>
      </w:r>
    </w:p>
    <w:p>
      <w:pPr>
        <w:spacing w:after="0" w:line="187" w:lineRule="exact"/>
        <w:rPr>
          <w:sz w:val="20"/>
          <w:szCs w:val="20"/>
          <w:color w:val="auto"/>
        </w:rPr>
      </w:pPr>
    </w:p>
    <w:p>
      <w:pPr>
        <w:ind w:firstLine="1505"/>
        <w:spacing w:after="0" w:line="253" w:lineRule="auto"/>
        <w:tabs>
          <w:tab w:leader="none" w:pos="18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the Rights Agent</w:t>
      </w:r>
      <w:r>
        <w:rPr>
          <w:rFonts w:ascii="Times New Roman" w:cs="Times New Roman" w:eastAsia="Times New Roman" w:hAnsi="Times New Roman"/>
          <w:sz w:val="18"/>
          <w:szCs w:val="18"/>
          <w:color w:val="auto"/>
        </w:rPr>
        <w:t>. The Rights Agent is authorized to rely conclusively on, and will be protected and will incur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or in respect of, any action taken, suffered or omitted to be taken by it in connection with its acceptance and administration of this Plan, and the exercise and performance of its duties pursuant to this Plan, in reliance upon any (i) Rights Certificate; (ii) certificate for Preferred Stock, Common Stock or other securities of the Company issuable upon exercise of Rights; or (iii) instrument of assignment or transfer, power of attorney, endorsement, affidavit, letter, notice, instruction,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guaranteed, verified or acknowledged, by the proper Person or Persons, or otherwise upon the advice of counsel as set forth in Section 20. The Rights Agent will not be required to take notice, or be deemed to have any knowledge, of any fact, event or determination of which it was supposed to receive notice under this Plan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spacing w:after="0" w:line="191" w:lineRule="exact"/>
        <w:rPr>
          <w:rFonts w:ascii="Times New Roman" w:cs="Times New Roman" w:eastAsia="Times New Roman" w:hAnsi="Times New Roman"/>
          <w:sz w:val="18"/>
          <w:szCs w:val="18"/>
          <w:color w:val="auto"/>
        </w:rPr>
      </w:pPr>
    </w:p>
    <w:p>
      <w:pPr>
        <w:ind w:right="20" w:firstLine="1505"/>
        <w:spacing w:after="0" w:line="257" w:lineRule="auto"/>
        <w:tabs>
          <w:tab w:leader="none" w:pos="18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Section 18 and Section 20 will survive the termination of this Plan, the resignation, replacement or removal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Agent and the exercise, exchange or expiration of the Rights. Notwithstanding anything in this Plan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Notwithstanding anything in this Plan to the contrary, any liability of the Rights Agent under this Plan will be limited to the amount of fees (but not including any reimbursed costs) paid by the Company to the Rights Agent during the 12 months immediately preceding the event for which recovery from the Rights Agent is being sought.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Merger, Consolidation or Change of Name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53" w:lineRule="auto"/>
        <w:tabs>
          <w:tab w:leader="none" w:pos="18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or Consolidation of Rights Agent</w:t>
      </w:r>
      <w:r>
        <w:rPr>
          <w:rFonts w:ascii="Times New Roman" w:cs="Times New Roman" w:eastAsia="Times New Roman" w:hAnsi="Times New Roman"/>
          <w:sz w:val="18"/>
          <w:szCs w:val="18"/>
          <w:color w:val="auto"/>
        </w:rPr>
        <w:t>. Any Person into which the Rights Agent or any successor Rights Agent may be merged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with which it may be consolidated, or any Person resulting from any merger or consolidation to which the Rights Agent or any successor Rights Agent is a party, or any Person succeeding to the stock transfer or other stockholder services business of the Rights Agent or any successor Rights Agent, will be the successor to the Rights Agent pursuant to this Plan without the execution or filing of any paper or any further act on the part of any of the Parties; provided, however, that such Person would be eligible for appointment as a successor Rights Agent pursuant to the provisions of Section 21. The purchase of all or substantially all of the Rights Agent’s assets employed in the performance of transfer agent activities will be deemed to be a merger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and in all such cases, such Rights Certificates will have the full force and effect provided in the Rights Certificates and in this Plan.</w:t>
      </w:r>
    </w:p>
    <w:p>
      <w:pPr>
        <w:spacing w:after="0" w:line="191" w:lineRule="exact"/>
        <w:rPr>
          <w:rFonts w:ascii="Times New Roman" w:cs="Times New Roman" w:eastAsia="Times New Roman" w:hAnsi="Times New Roman"/>
          <w:sz w:val="18"/>
          <w:szCs w:val="18"/>
          <w:color w:val="auto"/>
        </w:rPr>
      </w:pPr>
    </w:p>
    <w:p>
      <w:pPr>
        <w:ind w:right="100" w:firstLine="1505"/>
        <w:spacing w:after="0" w:line="267" w:lineRule="auto"/>
        <w:tabs>
          <w:tab w:leader="none" w:pos="18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Name of Rights Agent</w:t>
      </w:r>
      <w:r>
        <w:rPr>
          <w:rFonts w:ascii="Times New Roman" w:cs="Times New Roman" w:eastAsia="Times New Roman" w:hAnsi="Times New Roman"/>
          <w:sz w:val="18"/>
          <w:szCs w:val="18"/>
          <w:color w:val="auto"/>
        </w:rPr>
        <w:t>. If at any time the name of the Rights Agent is changed and at such time any of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have been countersigned but not delivered, then the Rights Agent may adopt the countersignature under its prior name and deliver such Rights Certificates so countersigned, and if at</w:t>
      </w:r>
    </w:p>
    <w:p>
      <w:pPr>
        <w:spacing w:after="0" w:line="39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spacing w:after="0" w:line="17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Duties of Rights Agent</w:t>
      </w:r>
      <w:r>
        <w:rPr>
          <w:rFonts w:ascii="Times New Roman" w:cs="Times New Roman" w:eastAsia="Times New Roman" w:hAnsi="Times New Roman"/>
          <w:sz w:val="18"/>
          <w:szCs w:val="18"/>
          <w:color w:val="auto"/>
        </w:rPr>
        <w:t>. The Rights Agent undertakes to perform only the duties and obligations expressly imposed by this Plan, and no implied duties or obligations will be read into this Plan against the Rights Agent. The Rights Agent will perform its duties and obligations upon the following terms and conditions, all of which the Company and the holders of Rights Certificates or shares of Common Stock or Preferred Stock, by their acceptance thereof, will be bound:</w:t>
      </w:r>
    </w:p>
    <w:p>
      <w:pPr>
        <w:spacing w:after="0" w:line="180" w:lineRule="exact"/>
        <w:rPr>
          <w:sz w:val="20"/>
          <w:szCs w:val="20"/>
          <w:color w:val="auto"/>
        </w:rPr>
      </w:pPr>
    </w:p>
    <w:p>
      <w:pPr>
        <w:ind w:right="80" w:firstLine="1505"/>
        <w:spacing w:after="0" w:line="258" w:lineRule="auto"/>
        <w:tabs>
          <w:tab w:leader="none" w:pos="18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Consultation with Counsel</w:t>
      </w:r>
      <w:r>
        <w:rPr>
          <w:rFonts w:ascii="Times New Roman" w:cs="Times New Roman" w:eastAsia="Times New Roman" w:hAnsi="Times New Roman"/>
          <w:sz w:val="18"/>
          <w:szCs w:val="18"/>
          <w:color w:val="auto"/>
        </w:rPr>
        <w:t>. The Rights Agent may consult with legal counsel that it selects (who may be legal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advice or opinion of such counsel will be full and complete authorization and protection to the Rights Agent, and the Rights Agent will have no liability for or in respect of, any action taken or omitted by it in the absence of gross negligence, bad faith or willful misconduct (which gross negligence, bad faith or willful misconduct must be determined by a final, non-appealable judgment of a court of competent jurisdiction) in accordance with such advice or opinion.</w:t>
      </w:r>
    </w:p>
    <w:p>
      <w:pPr>
        <w:spacing w:after="0" w:line="183" w:lineRule="exact"/>
        <w:rPr>
          <w:rFonts w:ascii="Times New Roman" w:cs="Times New Roman" w:eastAsia="Times New Roman" w:hAnsi="Times New Roman"/>
          <w:sz w:val="18"/>
          <w:szCs w:val="18"/>
          <w:color w:val="auto"/>
        </w:rPr>
      </w:pPr>
    </w:p>
    <w:p>
      <w:pPr>
        <w:ind w:right="20" w:firstLine="1505"/>
        <w:spacing w:after="0" w:line="254" w:lineRule="auto"/>
        <w:tabs>
          <w:tab w:leader="none" w:pos="18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Certificate of the Company</w:t>
      </w:r>
      <w:r>
        <w:rPr>
          <w:rFonts w:ascii="Times New Roman" w:cs="Times New Roman" w:eastAsia="Times New Roman" w:hAnsi="Times New Roman"/>
          <w:sz w:val="18"/>
          <w:szCs w:val="18"/>
          <w:color w:val="auto"/>
        </w:rPr>
        <w:t>. Whenever in the performance of its duties pursuant to this Plan the Rights Agent deems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in this Plan) may be deemed to be conclusively proved and established by a certificate signed by any one of the Appropriate Officers and delivered to the Rights Agent, and such certificate will be full and complete authorization and protection to the Rights Agent, and the Rights Agent will incur no liability for or in respect of any action taken by it pursuant to the provisions of this Plan in reliance upon such certificate in the absence of gross negligence, bad faith or willful misconduct (which gross negligence, bad faith or willful misconduct must be determined by a final, non-appealable judgment of a court of competent jurisdiction). The Rights Agent shall have no duty to act without such certificate as set forth in this Section 20(b).</w:t>
      </w:r>
    </w:p>
    <w:p>
      <w:pPr>
        <w:spacing w:after="0" w:line="188" w:lineRule="exact"/>
        <w:rPr>
          <w:rFonts w:ascii="Times New Roman" w:cs="Times New Roman" w:eastAsia="Times New Roman" w:hAnsi="Times New Roman"/>
          <w:sz w:val="18"/>
          <w:szCs w:val="18"/>
          <w:color w:val="auto"/>
        </w:rPr>
      </w:pPr>
    </w:p>
    <w:p>
      <w:pPr>
        <w:ind w:firstLine="1505"/>
        <w:spacing w:after="0" w:line="267" w:lineRule="auto"/>
        <w:tabs>
          <w:tab w:leader="none" w:pos="18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Limitation of Liability</w:t>
      </w:r>
      <w:r>
        <w:rPr>
          <w:rFonts w:ascii="Times New Roman" w:cs="Times New Roman" w:eastAsia="Times New Roman" w:hAnsi="Times New Roman"/>
          <w:sz w:val="18"/>
          <w:szCs w:val="18"/>
          <w:color w:val="auto"/>
        </w:rPr>
        <w:t>. The Rights Agent will not be liable under this Plan for or by reason of any of the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 or recitals contained in this Plan, the Rights Certificates or be required to verify the same (except as to its countersignature on such Rights Certificates), but all such statements and recitals are and will be deemed to have been made by the Company only.</w:t>
      </w:r>
    </w:p>
    <w:p>
      <w:pPr>
        <w:spacing w:after="0" w:line="173" w:lineRule="exact"/>
        <w:rPr>
          <w:rFonts w:ascii="Times New Roman" w:cs="Times New Roman" w:eastAsia="Times New Roman" w:hAnsi="Times New Roman"/>
          <w:sz w:val="18"/>
          <w:szCs w:val="18"/>
          <w:color w:val="auto"/>
        </w:rPr>
      </w:pPr>
    </w:p>
    <w:p>
      <w:pPr>
        <w:ind w:right="80" w:firstLine="1505"/>
        <w:spacing w:after="0" w:line="258" w:lineRule="auto"/>
        <w:tabs>
          <w:tab w:leader="none" w:pos="18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Liability for Certain Matters</w:t>
      </w:r>
      <w:r>
        <w:rPr>
          <w:rFonts w:ascii="Times New Roman" w:cs="Times New Roman" w:eastAsia="Times New Roman" w:hAnsi="Times New Roman"/>
          <w:sz w:val="18"/>
          <w:szCs w:val="18"/>
          <w:color w:val="auto"/>
        </w:rPr>
        <w:t>. The Rights Agent will not be liable for or by reason of any of the statements of fact or recitals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this Plan, the Rights Certificates or any certificate (or registration on the transfer books of the Company, including, in the case of uncertificated shares, by notation in book entry accounts reflecting ownership) for Preferred Stock, Common Stock or other securities of the Company issuable upon exercise of Rights, or be required to verify the same (except, in each case, its countersignature thereof, if applicable), and all such statements and recitals are and will be deemed to have been made by the Company only.</w:t>
      </w:r>
    </w:p>
    <w:p>
      <w:pPr>
        <w:spacing w:after="0" w:line="183" w:lineRule="exact"/>
        <w:rPr>
          <w:rFonts w:ascii="Times New Roman" w:cs="Times New Roman" w:eastAsia="Times New Roman" w:hAnsi="Times New Roman"/>
          <w:sz w:val="18"/>
          <w:szCs w:val="18"/>
          <w:color w:val="auto"/>
        </w:rPr>
      </w:pPr>
    </w:p>
    <w:p>
      <w:pPr>
        <w:ind w:right="20" w:firstLine="1505"/>
        <w:spacing w:after="0" w:line="254" w:lineRule="auto"/>
        <w:tabs>
          <w:tab w:leader="none" w:pos="18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Responsibility for Certain Matters</w:t>
      </w:r>
      <w:r>
        <w:rPr>
          <w:rFonts w:ascii="Times New Roman" w:cs="Times New Roman" w:eastAsia="Times New Roman" w:hAnsi="Times New Roman"/>
          <w:sz w:val="18"/>
          <w:szCs w:val="18"/>
          <w:color w:val="auto"/>
        </w:rPr>
        <w:t>. The Rights Agent will not (i) have any liability for or be under any responsibility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the validity of this Plan or the execution and delivery hereof (except the due authorization, execution and delivery hereof by the Rights Agent) or in respect of the legality or validity or execution of any Rights Certificate (except its countersignature thereof); (ii) be responsible for any breach by the Company of any covenant or condition contained in this Plan or in any Rights Certificate; (iii) be liable or responsible for (A) any adjustment or calculation required pursuant to Section 13, Section 14 or Section 24; (B) the manner, method or amount of any such adjustment or change; or (C) ascertaining of the existence of facts that would require any such adjustment or calculation (except with respect to the exercise of Rights evidenced by Rights Certificates subject to the terms and conditions hereof after actual notice of any such adjustment); or (iv) by any act hereunder be deemed to make any representation or warranty as to the authorization or reservation of any shares of Common Stock or Preferred Stock to be issued pursuant to this Plan or any Rights Certificate or as to whether any shares of Common Stock or Preferred Stock will, when so issued, be validly authorized and issued and fully paid and nonassessable.</w:t>
      </w: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2" w:lineRule="exact"/>
        <w:rPr>
          <w:sz w:val="20"/>
          <w:szCs w:val="20"/>
          <w:color w:val="auto"/>
        </w:rPr>
      </w:pPr>
    </w:p>
    <w:p>
      <w:pPr>
        <w:ind w:left="-380" w:right="140" w:firstLine="1505"/>
        <w:spacing w:after="0" w:line="284"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Compliance Obligations</w:t>
      </w:r>
      <w:r>
        <w:rPr>
          <w:rFonts w:ascii="Times New Roman" w:cs="Times New Roman" w:eastAsia="Times New Roman" w:hAnsi="Times New Roman"/>
          <w:sz w:val="18"/>
          <w:szCs w:val="18"/>
          <w:color w:val="auto"/>
        </w:rPr>
        <w:t>. The Rights Agent will not be liable or responsible for any failure of the Company to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any of its obligations relating to any registration statement filed with the SEC or this Plan, including obligations under applicable regulation or law.</w:t>
      </w:r>
    </w:p>
    <w:p>
      <w:pPr>
        <w:spacing w:after="0" w:line="158" w:lineRule="exact"/>
        <w:rPr>
          <w:rFonts w:ascii="Times New Roman" w:cs="Times New Roman" w:eastAsia="Times New Roman" w:hAnsi="Times New Roman"/>
          <w:sz w:val="18"/>
          <w:szCs w:val="18"/>
          <w:color w:val="auto"/>
        </w:rPr>
      </w:pPr>
    </w:p>
    <w:p>
      <w:pPr>
        <w:ind w:left="-380" w:right="160" w:firstLine="1505"/>
        <w:spacing w:after="0" w:line="267"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Duty to Initiate Proceedings</w:t>
      </w:r>
      <w:r>
        <w:rPr>
          <w:rFonts w:ascii="Times New Roman" w:cs="Times New Roman" w:eastAsia="Times New Roman" w:hAnsi="Times New Roman"/>
          <w:sz w:val="18"/>
          <w:szCs w:val="18"/>
          <w:color w:val="auto"/>
        </w:rPr>
        <w:t>. The Rights Agent shall not have any duty or responsibility in the case of the receipt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demand from any holder of Rights with respect to any action or default by the Company, including any duty or responsibility to initiate or attempt to initiate any proceedings at law or otherwise to make any demand upon the Company.</w:t>
      </w:r>
    </w:p>
    <w:p>
      <w:pPr>
        <w:spacing w:after="0" w:line="173" w:lineRule="exact"/>
        <w:rPr>
          <w:rFonts w:ascii="Times New Roman" w:cs="Times New Roman" w:eastAsia="Times New Roman" w:hAnsi="Times New Roman"/>
          <w:sz w:val="18"/>
          <w:szCs w:val="18"/>
          <w:color w:val="auto"/>
        </w:rPr>
      </w:pPr>
    </w:p>
    <w:p>
      <w:pPr>
        <w:ind w:left="-380" w:firstLine="1505"/>
        <w:spacing w:after="0" w:line="267"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The Company agrees that it will perform, execute, acknowledge and deliver, or cause to be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acknowledged and delivered, all such further and other acts, instruments and assurances as may reasonably be required or requested by the Rights Agent for the carrying out or performing by the Rights Agent of its duties pursuant to this Plan.</w:t>
      </w:r>
    </w:p>
    <w:p>
      <w:pPr>
        <w:spacing w:after="0" w:line="173" w:lineRule="exact"/>
        <w:rPr>
          <w:rFonts w:ascii="Times New Roman" w:cs="Times New Roman" w:eastAsia="Times New Roman" w:hAnsi="Times New Roman"/>
          <w:sz w:val="18"/>
          <w:szCs w:val="18"/>
          <w:color w:val="auto"/>
        </w:rPr>
      </w:pPr>
    </w:p>
    <w:p>
      <w:pPr>
        <w:ind w:left="-380" w:right="20" w:firstLine="1505"/>
        <w:spacing w:after="0" w:line="253"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of Instructions</w:t>
      </w:r>
      <w:r>
        <w:rPr>
          <w:rFonts w:ascii="Times New Roman" w:cs="Times New Roman" w:eastAsia="Times New Roman" w:hAnsi="Times New Roman"/>
          <w:sz w:val="18"/>
          <w:szCs w:val="18"/>
          <w:color w:val="auto"/>
        </w:rPr>
        <w:t>. The Rights Agent is authorized and directed to accept instructions with respect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duties under this Plan from any person reasonably believed by the Rights Agent to be an Appropriate Officer, and it is authorized to apply to any Appropriate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by it in accordance with the written advice or instructions of any Appropriate Officer or for any delay in acting while waiting for those instructions. The Rights Agent will be fully and completely authorized and protected in relying on the latest-dated instructions received from any Appropriate Officer. Any application by the Rights Agent for written instructions from the Company may, at the option of the Rights Agent, set forth in writing any action proposed to be taken, suffered or omitted by the Rights Agent pursuant to this Plan and the date on or after which such action will be taken, suffered or omitted. The Rights Agent will be fully authorized and protected in relying upon the most recent instructions received from any Appropriate Officer, and will not be liable for any action taken or suffered by, or omission of, the Rights Agent in accordance with a proposal included in any such application on or after the date specified in such application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w:t>
      </w:r>
    </w:p>
    <w:p>
      <w:pPr>
        <w:spacing w:after="0" w:line="187" w:lineRule="exact"/>
        <w:rPr>
          <w:rFonts w:ascii="Times New Roman" w:cs="Times New Roman" w:eastAsia="Times New Roman" w:hAnsi="Times New Roman"/>
          <w:sz w:val="18"/>
          <w:szCs w:val="18"/>
          <w:color w:val="auto"/>
        </w:rPr>
      </w:pPr>
    </w:p>
    <w:p>
      <w:pPr>
        <w:ind w:left="-380" w:right="160" w:firstLine="1505"/>
        <w:spacing w:after="0" w:line="258"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Dealing in Securities of the Company</w:t>
      </w:r>
      <w:r>
        <w:rPr>
          <w:rFonts w:ascii="Times New Roman" w:cs="Times New Roman" w:eastAsia="Times New Roman" w:hAnsi="Times New Roman"/>
          <w:sz w:val="18"/>
          <w:szCs w:val="18"/>
          <w:color w:val="auto"/>
        </w:rPr>
        <w:t>. The Rights Agent and any stockholder, director, officer, employee or Affiliate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Agent, in each case in its capacity as such,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 Nothing herein will preclude the Rights Agent or any such member, stockholder, director, officer, employee or Affiliate from acting in any other capacity for the Company or for any other Person.</w:t>
      </w:r>
    </w:p>
    <w:p>
      <w:pPr>
        <w:spacing w:after="0" w:line="183" w:lineRule="exact"/>
        <w:rPr>
          <w:rFonts w:ascii="Times New Roman" w:cs="Times New Roman" w:eastAsia="Times New Roman" w:hAnsi="Times New Roman"/>
          <w:sz w:val="18"/>
          <w:szCs w:val="18"/>
          <w:color w:val="auto"/>
        </w:rPr>
      </w:pPr>
    </w:p>
    <w:p>
      <w:pPr>
        <w:ind w:left="-380" w:right="60" w:firstLine="1505"/>
        <w:spacing w:after="0" w:line="257"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Agents</w:t>
      </w:r>
      <w:r>
        <w:rPr>
          <w:rFonts w:ascii="Times New Roman" w:cs="Times New Roman" w:eastAsia="Times New Roman" w:hAnsi="Times New Roman"/>
          <w:sz w:val="18"/>
          <w:szCs w:val="18"/>
          <w:color w:val="auto"/>
        </w:rPr>
        <w:t>. The Rights Agent may execute and exercise any of the rights or powers vested in it by this Plan or perform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under this Plan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spacing w:after="0" w:line="182" w:lineRule="exact"/>
        <w:rPr>
          <w:rFonts w:ascii="Times New Roman" w:cs="Times New Roman" w:eastAsia="Times New Roman" w:hAnsi="Times New Roman"/>
          <w:sz w:val="18"/>
          <w:szCs w:val="18"/>
          <w:color w:val="auto"/>
        </w:rPr>
      </w:pPr>
    </w:p>
    <w:p>
      <w:pPr>
        <w:ind w:left="-380" w:right="100" w:firstLine="1505"/>
        <w:spacing w:after="0" w:line="261" w:lineRule="auto"/>
        <w:tabs>
          <w:tab w:leader="none" w:pos="14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Risk of Funds</w:t>
      </w:r>
      <w:r>
        <w:rPr>
          <w:rFonts w:ascii="Times New Roman" w:cs="Times New Roman" w:eastAsia="Times New Roman" w:hAnsi="Times New Roman"/>
          <w:sz w:val="18"/>
          <w:szCs w:val="18"/>
          <w:color w:val="auto"/>
        </w:rPr>
        <w:t>. No provision of this Plan requires the Rights Agent to expend or risk its own funds or otherwise incur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liability in the performance of any of its duties under this Plan or in the exercise of its rights or powers if it reasonably believes that repayment of such funds or adequate indemnification against such risk or liability is not reasonably assured to it. The Rights Agent shall have no responsibility to the Company, any holders of Rights or any other Person for the interest or earnings on any money held by the Rights Agent pursuant to this Plan.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09" w:name="page110"/>
    <w:bookmarkEnd w:id="109"/>
    <w:p>
      <w:pPr>
        <w:spacing w:after="0" w:line="192" w:lineRule="exact"/>
        <w:rPr>
          <w:sz w:val="20"/>
          <w:szCs w:val="20"/>
          <w:color w:val="auto"/>
        </w:rPr>
      </w:pPr>
    </w:p>
    <w:p>
      <w:pPr>
        <w:ind w:right="20" w:firstLine="1505"/>
        <w:spacing w:after="0" w:line="258" w:lineRule="auto"/>
        <w:tabs>
          <w:tab w:leader="none" w:pos="185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 with Respect to Certain Rights Certificates</w:t>
      </w:r>
      <w:r>
        <w:rPr>
          <w:rFonts w:ascii="Times New Roman" w:cs="Times New Roman" w:eastAsia="Times New Roman" w:hAnsi="Times New Roman"/>
          <w:sz w:val="18"/>
          <w:szCs w:val="18"/>
          <w:color w:val="auto"/>
        </w:rPr>
        <w:t>. If, with respect to any Rights Certificate surrendered to the Rights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exercise or transfer, the certificate attached to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The Rights Agent will not be liable for any delays arising from the duties under this Section 20(m).</w:t>
      </w:r>
    </w:p>
    <w:p>
      <w:pPr>
        <w:spacing w:after="0" w:line="183" w:lineRule="exact"/>
        <w:rPr>
          <w:rFonts w:ascii="Times New Roman" w:cs="Times New Roman" w:eastAsia="Times New Roman" w:hAnsi="Times New Roman"/>
          <w:sz w:val="18"/>
          <w:szCs w:val="18"/>
          <w:color w:val="auto"/>
        </w:rPr>
      </w:pPr>
    </w:p>
    <w:p>
      <w:pPr>
        <w:jc w:val="both"/>
        <w:ind w:firstLine="1505"/>
        <w:spacing w:after="0" w:line="267" w:lineRule="auto"/>
        <w:tabs>
          <w:tab w:leader="none" w:pos="185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Rights Holder List</w:t>
      </w:r>
      <w:r>
        <w:rPr>
          <w:rFonts w:ascii="Times New Roman" w:cs="Times New Roman" w:eastAsia="Times New Roman" w:hAnsi="Times New Roman"/>
          <w:sz w:val="18"/>
          <w:szCs w:val="18"/>
          <w:color w:val="auto"/>
        </w:rPr>
        <w:t>. From time to time after the Distribution Date, upon the written request of the Company,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will promptly deliver to the Company a list, as of the most recent practicable date (or as of such earlier date as may be specified by the Company), of the record holders of Rights and Rights Certificates.</w:t>
      </w:r>
    </w:p>
    <w:p>
      <w:pPr>
        <w:spacing w:after="0" w:line="173" w:lineRule="exact"/>
        <w:rPr>
          <w:rFonts w:ascii="Times New Roman" w:cs="Times New Roman" w:eastAsia="Times New Roman" w:hAnsi="Times New Roman"/>
          <w:sz w:val="18"/>
          <w:szCs w:val="18"/>
          <w:color w:val="auto"/>
        </w:rPr>
      </w:pPr>
    </w:p>
    <w:p>
      <w:pPr>
        <w:ind w:right="100" w:firstLine="1505"/>
        <w:spacing w:after="0" w:line="258" w:lineRule="auto"/>
        <w:tabs>
          <w:tab w:leader="none" w:pos="185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Responsibility for Information</w:t>
      </w:r>
      <w:r>
        <w:rPr>
          <w:rFonts w:ascii="Times New Roman" w:cs="Times New Roman" w:eastAsia="Times New Roman" w:hAnsi="Times New Roman"/>
          <w:sz w:val="18"/>
          <w:szCs w:val="18"/>
          <w:color w:val="auto"/>
        </w:rPr>
        <w:t>. The Rights Agent will not be required to take notice or be deemed to have notice of any, event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Section 26 hereof, and in the absence of such notice so delivered, the Rights Agent may conclusively assume no such event or condition exists.</w:t>
      </w:r>
    </w:p>
    <w:p>
      <w:pPr>
        <w:spacing w:after="0" w:line="18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Certain Matters</w:t>
      </w:r>
      <w:r>
        <w:rPr>
          <w:rFonts w:ascii="Times New Roman" w:cs="Times New Roman" w:eastAsia="Times New Roman" w:hAnsi="Times New Roman"/>
          <w:sz w:val="18"/>
          <w:szCs w:val="18"/>
          <w:color w:val="auto"/>
        </w:rPr>
        <w:t>. The Rights Agent may rely on and be fully authorized and protected in acting or failing to act upon</w:t>
      </w:r>
    </w:p>
    <w:p>
      <w:pPr>
        <w:spacing w:after="0" w:line="29" w:lineRule="exact"/>
        <w:rPr>
          <w:rFonts w:ascii="Times New Roman" w:cs="Times New Roman" w:eastAsia="Times New Roman" w:hAnsi="Times New Roman"/>
          <w:sz w:val="18"/>
          <w:szCs w:val="18"/>
          <w:color w:val="auto"/>
        </w:rPr>
      </w:pPr>
    </w:p>
    <w:p>
      <w:pPr>
        <w:ind w:right="80" w:firstLine="8"/>
        <w:spacing w:after="0" w:line="255" w:lineRule="auto"/>
        <w:tabs>
          <w:tab w:leader="none" w:pos="2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spacing w:after="0" w:line="183" w:lineRule="exact"/>
        <w:rPr>
          <w:rFonts w:ascii="Times New Roman" w:cs="Times New Roman" w:eastAsia="Times New Roman" w:hAnsi="Times New Roman"/>
          <w:sz w:val="18"/>
          <w:szCs w:val="18"/>
          <w:color w:val="auto"/>
        </w:rPr>
      </w:pPr>
    </w:p>
    <w:p>
      <w:pPr>
        <w:jc w:val="both"/>
        <w:ind w:right="120" w:firstLine="1505"/>
        <w:spacing w:after="0" w:line="258" w:lineRule="auto"/>
        <w:tabs>
          <w:tab w:leader="none" w:pos="185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Ambiguity or Uncertainty</w:t>
      </w:r>
      <w:r>
        <w:rPr>
          <w:rFonts w:ascii="Times New Roman" w:cs="Times New Roman" w:eastAsia="Times New Roman" w:hAnsi="Times New Roman"/>
          <w:sz w:val="18"/>
          <w:szCs w:val="18"/>
          <w:color w:val="auto"/>
        </w:rPr>
        <w:t>. In the event the Rights Agent believes any ambiguity or uncertainty exists hereunder or in any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which eliminates such ambiguity or uncertainty to the satisfaction of the Rights Agent.</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Change of Rights Agent</w:t>
      </w:r>
      <w:r>
        <w:rPr>
          <w:rFonts w:ascii="Times New Roman" w:cs="Times New Roman" w:eastAsia="Times New Roman" w:hAnsi="Times New Roman"/>
          <w:sz w:val="18"/>
          <w:szCs w:val="18"/>
          <w:color w:val="auto"/>
        </w:rPr>
        <w:t>. The Rights Agent or any successor Rights Agent may resign and be discharged from its duties pursuant to this Plan upon 30 days’ written notice to the Company. If any transfer agency relationship in effect between the Company and the Rights Agent terminates, then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no less than 30 days’ notice in writing to the Rights Agent or any successor Rights Agent, as the case may be, and to each transfer agent of the Preferred Stock and the Common Stock (in the event that the Rights Agent or one of its Affiliates is not also such transfer agent), delivered to the Rights Agent in accordance with Section 27. If the Rights Agent resigns or is removed or otherwise becomes incapable of acting, then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powers and is subject to supervision or examination by federal or state authorities and has at the time of its appointment as Rights Agent a combined capital and surplus of at least $100,000,000;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but the predecessor Rights Agent must deliver and transfer to the successor Rights Agent any</w:t>
      </w:r>
    </w:p>
    <w:p>
      <w:pPr>
        <w:spacing w:after="0" w:line="200" w:lineRule="exact"/>
        <w:rPr>
          <w:sz w:val="20"/>
          <w:szCs w:val="20"/>
          <w:color w:val="auto"/>
        </w:rPr>
      </w:pPr>
    </w:p>
    <w:p>
      <w:pPr>
        <w:spacing w:after="0" w:line="21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property at the time held by it, and execute and deliver any further reasonable assurance, conveyance, act or deed necessary for such purpose, but such predecessor Rights Agent shall not be required to make additional expenditure or assume any additional liabilities in connection with the foregoing. Not later than the effective date of any such appointment, the Company will file notice thereof in writing with the predecessor Rights Agent and each transfer agent of the Preferred Stock and the Common Stock, and if such appointment occurs after the Distribution Time, mail a notice thereof to the registered holders of the Rights Certificates. Notwithstanding anything to the contrary in this Plan, failure to give any notice provided for in this Section 21, or any defect therein, will not affect the legality or validity of the resignation or removal of the Rights Agent or the appointment of the successor Rights Agent, as the case may be. Upon appointment, any successor Rights Agent will, unless the context requires otherwise, be deemed to be the Rights Agent for all purposes of this Plan.</w:t>
      </w:r>
    </w:p>
    <w:p>
      <w:pPr>
        <w:spacing w:after="0" w:line="19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Issuance of New Rights Certificates</w:t>
      </w:r>
      <w:r>
        <w:rPr>
          <w:rFonts w:ascii="Times New Roman" w:cs="Times New Roman" w:eastAsia="Times New Roman" w:hAnsi="Times New Roman"/>
          <w:sz w:val="18"/>
          <w:szCs w:val="18"/>
          <w:color w:val="auto"/>
        </w:rPr>
        <w:t>.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shares of Common Stock following the Distribution Date and prior to the Expiration Date, the Company will, with respect to shares of Common Stock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However,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505"/>
        <w:spacing w:after="0" w:line="254" w:lineRule="auto"/>
        <w:tabs>
          <w:tab w:leader="none" w:pos="18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Redeem</w:t>
      </w:r>
      <w:r>
        <w:rPr>
          <w:rFonts w:ascii="Times New Roman" w:cs="Times New Roman" w:eastAsia="Times New Roman" w:hAnsi="Times New Roman"/>
          <w:sz w:val="18"/>
          <w:szCs w:val="18"/>
          <w:color w:val="auto"/>
        </w:rPr>
        <w:t>. The Board may, at its option, at any time prior to the earlier of (i) the Distribution Date or (ii) the Close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on the Final Expiration Date, redeem all but not less than all of the then-outstanding Rights at a redemption price of $0.001 per Right, as such amount may be appropriately adjusted to reflect any stock split, stock dividend, recapitalization or similar transaction occurring after the Rights Dividend Declaration Date (such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Notwithstanding anything to the contrary in this Plan, the Rights will not be exercisable after the first occurrence of a Section 11(a)(ii) Event until such time as the Company’s right of redemption pursuant to this Section 23 has expired. The Company may, at its option, pay the Redemption Price in shares of Common Stock (based on the Current Per Share Market Price of the Common Stock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firstLine="1505"/>
        <w:spacing w:after="0" w:line="256" w:lineRule="auto"/>
        <w:tabs>
          <w:tab w:leader="none" w:pos="18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Redemption Procedures</w:t>
      </w:r>
      <w:r>
        <w:rPr>
          <w:rFonts w:ascii="Times New Roman" w:cs="Times New Roman" w:eastAsia="Times New Roman" w:hAnsi="Times New Roman"/>
          <w:sz w:val="18"/>
          <w:szCs w:val="18"/>
          <w:color w:val="auto"/>
        </w:rPr>
        <w:t>. Immediately upon the action of the Board ordering the redemption of the Rights (or 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later time 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with any notice that is so provided deemed to be given whether or not the holder receives the notice. Each such notice of redemption must state the method by which the</w:t>
      </w: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payment of the Redemption Price is to be made. The failure to give, or any defect in, any notice required by this Section 23 will not affect the legality or validity of the action taken by the Board or of the redemption.</w:t>
      </w:r>
    </w:p>
    <w:p>
      <w:pPr>
        <w:spacing w:after="0" w:line="160" w:lineRule="exact"/>
        <w:rPr>
          <w:sz w:val="20"/>
          <w:szCs w:val="20"/>
          <w:color w:val="auto"/>
        </w:rPr>
      </w:pPr>
    </w:p>
    <w:p>
      <w:pPr>
        <w:ind w:right="20" w:firstLine="1505"/>
        <w:spacing w:after="0" w:line="257" w:lineRule="auto"/>
        <w:tabs>
          <w:tab w:leader="none" w:pos="185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Obligations</w:t>
      </w:r>
      <w:r>
        <w:rPr>
          <w:rFonts w:ascii="Times New Roman" w:cs="Times New Roman" w:eastAsia="Times New Roman" w:hAnsi="Times New Roman"/>
          <w:sz w:val="18"/>
          <w:szCs w:val="18"/>
          <w:color w:val="auto"/>
        </w:rPr>
        <w:t>. Notwithstanding anything to the contrary in this Plan, in the event of a redemption pursuant to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23(a), the Company may, at its option, discharge all of its obligations with respect to the Rights by (i) issuing a press release or making a publicly available filing with the SEC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Stock, and upon such action, all outstanding Rights Certificates will be null and void without any further action by the Company.</w:t>
      </w:r>
    </w:p>
    <w:p>
      <w:pPr>
        <w:spacing w:after="0" w:line="182" w:lineRule="exact"/>
        <w:rPr>
          <w:rFonts w:ascii="Times New Roman" w:cs="Times New Roman" w:eastAsia="Times New Roman" w:hAnsi="Times New Roman"/>
          <w:sz w:val="18"/>
          <w:szCs w:val="18"/>
          <w:color w:val="auto"/>
        </w:rPr>
      </w:pPr>
    </w:p>
    <w:p>
      <w:pPr>
        <w:ind w:right="380" w:firstLine="1505"/>
        <w:spacing w:after="0" w:line="267" w:lineRule="auto"/>
        <w:tabs>
          <w:tab w:leader="none" w:pos="185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Prohibited Purchases</w:t>
      </w:r>
      <w:r>
        <w:rPr>
          <w:rFonts w:ascii="Times New Roman" w:cs="Times New Roman" w:eastAsia="Times New Roman" w:hAnsi="Times New Roman"/>
          <w:sz w:val="18"/>
          <w:szCs w:val="18"/>
          <w:color w:val="auto"/>
        </w:rPr>
        <w:t>. Notwithstanding anything to the contrary in this Plan, neither the Company nor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Associates may redeem, acquire or purchase for value any Rights at any time in any manner other than as specifically set forth in this Section 23 or in Section 24, or other than in connection with the purchase or repurchase of shares of Common Stock prior to the Distribution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4" w:lineRule="auto"/>
        <w:tabs>
          <w:tab w:leader="none" w:pos="185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Common Stock for Rights</w:t>
      </w:r>
      <w:r>
        <w:rPr>
          <w:rFonts w:ascii="Times New Roman" w:cs="Times New Roman" w:eastAsia="Times New Roman" w:hAnsi="Times New Roman"/>
          <w:sz w:val="18"/>
          <w:szCs w:val="18"/>
          <w:color w:val="auto"/>
        </w:rPr>
        <w:t>. The Board may, at its option, at any time after any Person becomes an Acquiring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all or part of the then outstanding and exercisable Rights (which will not include Rights that have become null and void pursuant to the provisions of Section 7(e)) for shares of Common Stock at an exchange ratio of one share of Common Stock per Right, appropriately adjusted to reflect any stock split, stock dividend, recapitalization or similar transaction occurring in respect of the Common Stock after the Rights Dividend Declaration Date (such exchange ratio, the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and such determination by the Board to effect such exchange, an “</w:t>
      </w:r>
      <w:r>
        <w:rPr>
          <w:rFonts w:ascii="Times New Roman" w:cs="Times New Roman" w:eastAsia="Times New Roman" w:hAnsi="Times New Roman"/>
          <w:sz w:val="18"/>
          <w:szCs w:val="18"/>
          <w:b w:val="1"/>
          <w:bCs w:val="1"/>
          <w:color w:val="auto"/>
        </w:rPr>
        <w:t>Exchange Determination</w:t>
      </w:r>
      <w:r>
        <w:rPr>
          <w:rFonts w:ascii="Times New Roman" w:cs="Times New Roman" w:eastAsia="Times New Roman" w:hAnsi="Times New Roman"/>
          <w:sz w:val="18"/>
          <w:szCs w:val="18"/>
          <w:color w:val="auto"/>
        </w:rPr>
        <w:t>”). Notwithstanding the foregoing, the Board will not be empowered to effect an Exchange Determination at any time after any Person (other than any Exempt Person), together with all Affiliates and Associates of such Person, becomes the Beneficial Owner of 50 percent or more of the shares of Common Stock then outstanding. Notwithstanding the foregoing, from and after the occurrence of a Section 13 Event, any Rights that have not previously been exchanged pursuant to this Section 24(a) will thereafter be exercisable only in accordance with Section 13 and may not be exchanged (and will not be eligible for exchange) pursuant to this Section 24(a).</w:t>
      </w:r>
    </w:p>
    <w:p>
      <w:pPr>
        <w:spacing w:after="0" w:line="18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2629"/>
        <w:spacing w:after="0" w:line="252" w:lineRule="auto"/>
        <w:tabs>
          <w:tab w:leader="none" w:pos="29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Manner of Effecting Exchange</w:t>
      </w:r>
      <w:r>
        <w:rPr>
          <w:rFonts w:ascii="Times New Roman" w:cs="Times New Roman" w:eastAsia="Times New Roman" w:hAnsi="Times New Roman"/>
          <w:sz w:val="18"/>
          <w:szCs w:val="18"/>
          <w:color w:val="auto"/>
        </w:rPr>
        <w:t>. Immediately following an Exchange Determination and without any further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notice, the right to exercise the then-outstanding Rights (other than Rights that have become null and void pursuant to the provisions of Section 7(e)) will terminate and the only right thereafter of a holder of such Rights is to receive that number of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then-outstanding Rights (other than Rights that have become null and void pursuant to the provisions of Section 7(e)) by mailing such notice, in accordance with Section 27, with any notice that is so provided deemed to be given whether or not the holder receives the notice. Each such notice of exchange must state the method by which the exchange of shares of Common Stock for Rights is to be effected (including the actions that must be taken by the holders of Rights to receive shares of Common Stock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shares of Common Stock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w:t>
      </w:r>
    </w:p>
    <w:p>
      <w:pPr>
        <w:spacing w:after="0" w:line="200" w:lineRule="exact"/>
        <w:rPr>
          <w:sz w:val="20"/>
          <w:szCs w:val="20"/>
          <w:color w:val="auto"/>
        </w:rPr>
      </w:pPr>
    </w:p>
    <w:p>
      <w:pPr>
        <w:spacing w:after="0" w:line="2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shares of Common Stock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Stock (or other securities) so issued. The failure to give, or any defect in, any notice required by this Section 24 will not affect the legality or validity of the action taken by the Board or of such exchange.</w:t>
      </w:r>
    </w:p>
    <w:p>
      <w:pPr>
        <w:spacing w:after="0" w:line="185" w:lineRule="exact"/>
        <w:rPr>
          <w:sz w:val="20"/>
          <w:szCs w:val="20"/>
          <w:color w:val="auto"/>
        </w:rPr>
      </w:pPr>
    </w:p>
    <w:p>
      <w:pPr>
        <w:ind w:right="60" w:firstLine="2629"/>
        <w:spacing w:after="0" w:line="254" w:lineRule="auto"/>
        <w:tabs>
          <w:tab w:leader="none" w:pos="298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Trust</w:t>
      </w:r>
      <w:r>
        <w:rPr>
          <w:rFonts w:ascii="Times New Roman" w:cs="Times New Roman" w:eastAsia="Times New Roman" w:hAnsi="Times New Roman"/>
          <w:sz w:val="18"/>
          <w:szCs w:val="18"/>
          <w:color w:val="auto"/>
        </w:rPr>
        <w:t>. The exchange of the Rights pursuant to Section 24(a) may be made effective at such time,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and with such conditions as the Board, in its sole discretion, may establish. Without limiting the foregoing, prior to effecting an exchange pursuant to Section 24(a), the Board may direct the Company to enter into a trust agreement in such form and with such terms as the Board approves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If the Board so directs, then the Company must enter into the Trust Agreement and must issue to the trust created by such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all of the Common Stock (or other consideration) issuable pursuant to the exchange (or any portion thereof that has not previously been issued in connection with the exchange). From and after the time at which such Common Stock (or other consideration) are issued to the Trust, all stockholders then entitled to receive Common Stock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spacing w:after="0" w:line="188" w:lineRule="exact"/>
        <w:rPr>
          <w:rFonts w:ascii="Times New Roman" w:cs="Times New Roman" w:eastAsia="Times New Roman" w:hAnsi="Times New Roman"/>
          <w:sz w:val="18"/>
          <w:szCs w:val="18"/>
          <w:color w:val="auto"/>
        </w:rPr>
      </w:pPr>
    </w:p>
    <w:p>
      <w:pPr>
        <w:ind w:firstLine="1505"/>
        <w:spacing w:after="0" w:line="252" w:lineRule="auto"/>
        <w:tabs>
          <w:tab w:leader="none" w:pos="18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Shares</w:t>
      </w:r>
      <w:r>
        <w:rPr>
          <w:rFonts w:ascii="Times New Roman" w:cs="Times New Roman" w:eastAsia="Times New Roman" w:hAnsi="Times New Roman"/>
          <w:sz w:val="18"/>
          <w:szCs w:val="18"/>
          <w:color w:val="auto"/>
        </w:rPr>
        <w:t>. If there are not sufficient shares of Common Stock issued but not outstanding or authorized but unissued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any exchange of Rights as contemplated in accordance with Section 24(a), then the Company will, at the option of the Board, either (i) take such action as may be necessary to authorize additional shares of Common Stock for issuance upon exchange of the Rights or (ii) with respect to each Right (A) pay cash in an amount equal to the Current Exchange Value in lieu of issuing shares of Common Stock in exchange therefor; (B) issue debt or equity securities (or a combination thereof) having a value equal to the Current Exchange Value in lieu of issuing shares of Common Stock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(C) deliver any combination of cash, property, Common Stock, Preferred Stock, Equivalent Preferred Stock or other securities having a value equal to the Current Exchange Value in exchange for each Right. To the extent that the Company determines that some action need be taken pursuant to this Section 24(c), then the Board may temporarily suspend (with prompt written notice of any suspension provided to the Rights Agent), from time to time for a period not to exceed 180 days following the date on which the Exchange Determination, the exercisability of the Rights in order to seek any authorization of additional shares of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195" w:lineRule="exact"/>
        <w:rPr>
          <w:rFonts w:ascii="Times New Roman" w:cs="Times New Roman" w:eastAsia="Times New Roman" w:hAnsi="Times New Roman"/>
          <w:sz w:val="18"/>
          <w:szCs w:val="18"/>
          <w:color w:val="auto"/>
        </w:rPr>
      </w:pPr>
    </w:p>
    <w:p>
      <w:pPr>
        <w:ind w:right="220" w:firstLine="1505"/>
        <w:spacing w:after="0" w:line="258" w:lineRule="auto"/>
        <w:tabs>
          <w:tab w:leader="none" w:pos="18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 of Common Stock</w:t>
      </w:r>
      <w:r>
        <w:rPr>
          <w:rFonts w:ascii="Times New Roman" w:cs="Times New Roman" w:eastAsia="Times New Roman" w:hAnsi="Times New Roman"/>
          <w:sz w:val="18"/>
          <w:szCs w:val="18"/>
          <w:color w:val="auto"/>
        </w:rPr>
        <w:t>. In connection with an Exchange Determination, the Company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issue fractions of shares of Common Stock or to distribute certificates that evidence fractional shares of Common Stock. In lieu of such fractional shares of Common Stock, the Company may pay to the registered holders of Rights Certificates with regard to which such fractional shares of Common Stock would otherwise be issuable an amount in cash equal to the same fraction of the Current Per Share Market Price of a share of Common Stock, calculated as of the Trading Day immediately prior to the date of the Exchange Determination.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Process to Seek Exemption Prior to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80" w:firstLine="1505"/>
        <w:spacing w:after="0" w:line="267" w:lineRule="auto"/>
        <w:tabs>
          <w:tab w:leader="none" w:pos="18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Prior to a Stock Acquisition Date</w:t>
      </w:r>
      <w:r>
        <w:rPr>
          <w:rFonts w:ascii="Times New Roman" w:cs="Times New Roman" w:eastAsia="Times New Roman" w:hAnsi="Times New Roman"/>
          <w:sz w:val="18"/>
          <w:szCs w:val="18"/>
          <w:color w:val="auto"/>
        </w:rPr>
        <w:t>. Any Person who desires to effect any acquisition of shares of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if consummated, result in such Person beneficially owning the Triggering Percentage or more of the shares of Common Stock then outstanding (such Person, a “</w:t>
      </w:r>
      <w:r>
        <w:rPr>
          <w:rFonts w:ascii="Times New Roman" w:cs="Times New Roman" w:eastAsia="Times New Roman" w:hAnsi="Times New Roman"/>
          <w:sz w:val="18"/>
          <w:szCs w:val="18"/>
          <w:b w:val="1"/>
          <w:bCs w:val="1"/>
          <w:color w:val="auto"/>
        </w:rPr>
        <w:t>Requesting</w:t>
      </w:r>
    </w:p>
    <w:p>
      <w:pPr>
        <w:spacing w:after="0" w:line="39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may, prior to the Stock Acquisition Date and in accordance with this Section 25(a), request that the Board grant an exemption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acquisition under this Plan so that such Person would be deemed to be an Exempt Person pursuant to Section 1(v)(iii) (an “</w:t>
      </w:r>
      <w:r>
        <w:rPr>
          <w:rFonts w:ascii="Times New Roman" w:cs="Times New Roman" w:eastAsia="Times New Roman" w:hAnsi="Times New Roman"/>
          <w:sz w:val="18"/>
          <w:szCs w:val="18"/>
          <w:b w:val="1"/>
          <w:bCs w:val="1"/>
          <w:color w:val="auto"/>
        </w:rPr>
        <w:t>Exemption Request</w:t>
      </w:r>
      <w:r>
        <w:rPr>
          <w:rFonts w:ascii="Times New Roman" w:cs="Times New Roman" w:eastAsia="Times New Roman" w:hAnsi="Times New Roman"/>
          <w:sz w:val="18"/>
          <w:szCs w:val="18"/>
          <w:color w:val="auto"/>
        </w:rPr>
        <w:t>”) for purposes of such acquisition. An Exemption Request must be in proper form and must be sent to the Company in accordance with Section 27. An Exemption Request will be deemed made upon receipt by the Company. To be in proper form, an Exemption Request must set forth (i) the name and address of the Requesting Person; (ii) the number and percentage of shares of Common Stock then Beneficially Owned by such Requesting Person, together with all Affiliates and Associates of the Requesting Person; and (iii) a reasonably detailed description of (A) the transaction or transactions by which such Requesting Person would propose to acquire Beneficial Ownership of shares of Common Stock aggregating, with all shares already owned, to the Triggering Percentage or more of the shares of Common Stock then outstanding; and (B) the maximum number and percentage of the shares of Common Stock that such Requesting Person proposes to acquire. The Board will make a determination whether to grant an exemption in response to an Exemption Request as promptly as practicable (and, in any event, within 30 Business Days) after receipt of the Exemption Request by the Company, it being understood that the failure of the Board to make a determination within such period will be deemed to constitute the denial of the Exemption Request by the Board. The Requesting Person must respond promptly to reasonable requests for additional information from the Board and its advisors in order to assist the Board in making its determination. For purposes of considering the Exemption Request, any calculation of the number of shares of Common Stock outstanding at any particular time, including for purposes of determining the particular percentage of such shares of Common Stock outstanding of which any Person is the Beneficial Owner, will be made pursuant to and in accordance with Section 382. The Board will only grant an exemption in response to an Exemption Request if the Board determines, in its sole discretion, that the acquisition of Beneficial Ownership of shares of Common Stock by the Requesting Person (A) will not adversely impact in any material respect the time period in which the Company could use the Tax Benefits or limit or impair the availability of the Tax Benefits to the Company;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an Exemption Request (and the corresponding determination that the Requesting Person is an Exempt Person for purposes of such acquisition)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Any Exemption Request will be considered and evaluated by directors serving on the Board who are independent of the Company and the Requesting Person and disinterested with respect to such Exemption Request, and the action of a majority of such independent and disinterested directors will be deemed to be the determination of the Board for purposes of such Exemption Request.</w:t>
      </w:r>
    </w:p>
    <w:p>
      <w:pPr>
        <w:spacing w:after="0" w:line="204" w:lineRule="exact"/>
        <w:rPr>
          <w:sz w:val="20"/>
          <w:szCs w:val="20"/>
          <w:color w:val="auto"/>
        </w:rPr>
      </w:pPr>
    </w:p>
    <w:p>
      <w:pPr>
        <w:ind w:right="140" w:firstLine="1505"/>
        <w:spacing w:after="0" w:line="253" w:lineRule="auto"/>
        <w:tabs>
          <w:tab w:leader="none" w:pos="185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Following a Stock Acquisition Date</w:t>
      </w:r>
      <w:r>
        <w:rPr>
          <w:rFonts w:ascii="Times New Roman" w:cs="Times New Roman" w:eastAsia="Times New Roman" w:hAnsi="Times New Roman"/>
          <w:sz w:val="18"/>
          <w:szCs w:val="18"/>
          <w:color w:val="auto"/>
        </w:rPr>
        <w:t>. Following a Stock Acquisition Date and prior to the Distribution Date,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of its own accord or upon the request of a stockholder (such request, a “</w:t>
      </w:r>
      <w:r>
        <w:rPr>
          <w:rFonts w:ascii="Times New Roman" w:cs="Times New Roman" w:eastAsia="Times New Roman" w:hAnsi="Times New Roman"/>
          <w:sz w:val="18"/>
          <w:szCs w:val="18"/>
          <w:b w:val="1"/>
          <w:bCs w:val="1"/>
          <w:color w:val="auto"/>
        </w:rPr>
        <w:t>Waiver Request</w:t>
      </w:r>
      <w:r>
        <w:rPr>
          <w:rFonts w:ascii="Times New Roman" w:cs="Times New Roman" w:eastAsia="Times New Roman" w:hAnsi="Times New Roman"/>
          <w:sz w:val="18"/>
          <w:szCs w:val="18"/>
          <w:color w:val="auto"/>
        </w:rPr>
        <w:t>”), and in accordance with this Section 25(b), grant an exemption with respect to any Acquiring Person under this Plan so that such Acquiring Person would be deemed to be an Exempt Person pursuant to Section 1(v)(iii). A Waiver Request must be in proper form and must be sent to the Company in accordance with Section 27. A Waiver Request will be deemed made upon receipt by the Company. To be in proper form, a Waiver Request must set forth (i) the name and address of the Acquiring Person; (ii) the number and percentage of shares of Common Stock then Beneficially Owned by such Acquiring Person, together with all Affiliates and Associates of such Acquiring Person; and (iii) a reasonably detailed description of (A) the transaction or transactions by which such Acquiring Person acquired Beneficial Ownership of shares of Common Stock aggregating to the Triggering Percentage or more of the shares of Common Stock then outstanding and</w:t>
      </w:r>
    </w:p>
    <w:p>
      <w:pPr>
        <w:spacing w:after="0" w:line="2" w:lineRule="exact"/>
        <w:rPr>
          <w:rFonts w:ascii="Times New Roman" w:cs="Times New Roman" w:eastAsia="Times New Roman" w:hAnsi="Times New Roman"/>
          <w:sz w:val="18"/>
          <w:szCs w:val="18"/>
          <w:color w:val="auto"/>
        </w:rPr>
      </w:pPr>
    </w:p>
    <w:p>
      <w:pPr>
        <w:ind w:right="20" w:firstLine="8"/>
        <w:spacing w:after="0" w:line="253" w:lineRule="auto"/>
        <w:tabs>
          <w:tab w:leader="none" w:pos="2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percentage of shares of Common Stock that such Acquiring Person proposes to acquire. The Board will make a determination whether to grant an exemption in response to a Waiver Request as promptly as practicable (and, in any event, within 30 Business Days) after receipt of the Waiver Request by the Company, it being understood that the failure of the Board to make a determination within such period will be deemed to constitute the denial of the Waiver Request by the Board. The Acquiring Person must respond promptly to reasonable requests for additional information from the</w:t>
      </w: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Board and its advisors in order to assist the Board in making its determination. For purposes of considering the Waiver Request, any calculation of the number of shares of Common Stock outstanding at any particular time, including for purposes of determining the particular percentage of such shares of Common Stock outstanding of which any Person is the Beneficial Owner, will be made pursuant to and in accordance with Section 382. The Board will only grant an exemption for an Acquiring Person pursuant to this Section 25(b) if the Board determines, in its sole discretion, that the acquisition of Beneficial Ownership of shares of Common Stock by such Acquiring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this Section 25(b) (and the corresponding determination that such Acquiring Person is an Exempt Person) may be granted in whole or in part, and may be subject to limitations or conditions (including a requirement that such Acquiring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The facts and circumstances with respect to the Triggering Event, including whether to grant an exemption, will be considered and evaluated by directors serving on the Board who are independent of the Company and such Acquiring Person and disinterested with respect to the Triggering Event (and, if applicable, the Waiver Request), and the action of a majority of such independent and disinterested directors will be deemed to be the determination of the Board for purposes of any exemption granted pursuant to this Section 25(b).</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Notice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55" w:lineRule="auto"/>
        <w:tabs>
          <w:tab w:leader="none" w:pos="185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the Company proposes, at any time after the Distribution Date, to (i) declare or pay any dividend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stock of any class or series to the holders of shares of Preferred Stock or to make any other distribution to the holders of shares of Preferred Stock (other than a regular quarterly or periodic cash dividend out of earnings or retained earnings of the Company); (ii) offer to the holders of shares of Preferred Stock rights or warrants to subscribe for or to purchase any additional Preferred Stock or shares of stock of any class or series or any other securities, rights or options; (iii) effect any reclassification of the Preferred Stock (other than a reclassification involving only the subdivision of outstanding Preferred Stock);</w:t>
      </w:r>
    </w:p>
    <w:p>
      <w:pPr>
        <w:ind w:left="320" w:hanging="312"/>
        <w:spacing w:after="0"/>
        <w:tabs>
          <w:tab w:leader="none" w:pos="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share exchange, consolidation or merger into or with any other Person (other than a wholly owned Subsidiary of the Company in a</w:t>
      </w:r>
    </w:p>
    <w:p>
      <w:pPr>
        <w:spacing w:after="0" w:line="9"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that complies with Section 11(m)); (v) effect any sale or other transfer (or permit one or more of its Subsidiaries to effect any sale or other transfer), in one transaction or a series of related transactions, of more than 50 percent of the assets, cash flow or earning power of the Company and its Subsidiaries (taken as a whole) to any other Person; (vi) effect the liquidation, dissolution or winding up of the Company; (vii) declare or pay any dividend on the Common Stock payable in shares of Common Stock; or (viii) effect a subdivision, combination or consolidation of the Common Stock (by reclassification or otherwise than by payment of dividends in shares of Common Stock), then, in each such case, the Company will give written notice of such proposed action to the Rights Agent and the holders of Rights Certificates in accordance with Section 27,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shares of Preferred Stock or Common Stock, if any such date is to be fixed, and such notice must be so given in the case of any action covered by clause (i) or (ii) above at least 10 Business Days prior to but not including the record date for determining holders of shares of Preferred Stock for purposes of such action, and in the case of any such other action, at least 10 Business Days prior to but not including the date of the taking of such proposed action or the date of participation therein by the holders of shares of Preferred Stock or Common Stock, whichever is earlier.</w:t>
      </w:r>
    </w:p>
    <w:p>
      <w:pPr>
        <w:spacing w:after="0" w:line="190" w:lineRule="exact"/>
        <w:rPr>
          <w:rFonts w:ascii="Times New Roman" w:cs="Times New Roman" w:eastAsia="Times New Roman" w:hAnsi="Times New Roman"/>
          <w:sz w:val="18"/>
          <w:szCs w:val="18"/>
          <w:color w:val="auto"/>
        </w:rPr>
      </w:pPr>
    </w:p>
    <w:p>
      <w:pPr>
        <w:ind w:right="220" w:firstLine="1505"/>
        <w:spacing w:after="0" w:line="273" w:lineRule="auto"/>
        <w:tabs>
          <w:tab w:leader="none" w:pos="185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Events</w:t>
      </w:r>
      <w:r>
        <w:rPr>
          <w:rFonts w:ascii="Times New Roman" w:cs="Times New Roman" w:eastAsia="Times New Roman" w:hAnsi="Times New Roman"/>
          <w:sz w:val="17"/>
          <w:szCs w:val="17"/>
          <w:color w:val="auto"/>
        </w:rPr>
        <w:t>. If a Triggering Event has occurred, then (i) the Company will as soon as practicable thereafter give, or cause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given, to the Rights Agent and each holder of Rights Certificates a notice in accordance with Section 27 of the occurrence of such Triggering Event, which notice must specify the event and the consequences of the event to holders of Rights pursuant to Section 11(a)(ii) or Section 13, as applicable; and</w:t>
      </w:r>
    </w:p>
    <w:p>
      <w:pPr>
        <w:spacing w:after="0" w:line="1"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Section 26 to Preferred Stock will thereafter be deemed to be references to Common Stock or, if appropriate, other securities.</w:t>
      </w:r>
    </w:p>
    <w:p>
      <w:pPr>
        <w:spacing w:after="0" w:line="200" w:lineRule="exact"/>
        <w:rPr>
          <w:sz w:val="20"/>
          <w:szCs w:val="20"/>
          <w:color w:val="auto"/>
        </w:rPr>
      </w:pPr>
    </w:p>
    <w:p>
      <w:pPr>
        <w:spacing w:after="0" w:line="2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2"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Notices or demands authorized by this Plan to be given or made by the Rights Agent or by the holder of any Rights Certificate (or, prior to the Distribution Date, of any share of Common Stock) to or on the Company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Rights Agent by the Company) as follows:</w:t>
      </w:r>
    </w:p>
    <w:p>
      <w:pPr>
        <w:spacing w:after="0" w:line="1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tab/>
        <w:t>[***]</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Tony Jeffries</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Christina Poulsen</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Douglas K. Schnell</w:t>
      </w:r>
    </w:p>
    <w:p>
      <w:pPr>
        <w:spacing w:after="0" w:line="9"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tab/>
        <w:t>[***], [***], [***]</w:t>
      </w:r>
    </w:p>
    <w:p>
      <w:pPr>
        <w:spacing w:after="0" w:line="2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Subject to the provisions of Section 21, any notice or demand authorized by this Plan to be given or made by the Company or by the holder of any Rights Certificate (or, prior to the Distribution Date, of any Common Stock) to or on the Rights Agent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Company by the Rights Agent) as follows:</w:t>
      </w:r>
    </w:p>
    <w:p>
      <w:pPr>
        <w:spacing w:after="0" w:line="18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Client Services</w:t>
      </w:r>
    </w:p>
    <w:p>
      <w:pPr>
        <w:spacing w:after="0" w:line="20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Notices or demands authorized by this Plan to be given or made by the Company or the Rights Agent to the holders of Rights or Rights Certificates (or, if prior to the Distribution Date, to the holders of shares of Common Stock) will be sufficiently given or made if in writing and sent by a recognized national overnight delivery service or first-class mail, postage prepaid, addressed to such holder at the address of such holder as shown on the transfer books of the Rights Agent or the Company or the transfer agent for the Common Stock. Any notice that is sent or mailed in the manner provided in this Section 27 will be deemed given whether or not the holder receives the notice. Notwithstanding anything to the contrary in this Plan, prior to the Distribution Date, the issuance of a press release or the making of a publicly available filing by the Company with the SEC will constitute sufficient notice by the Rights Agent or the Company to the holders of securities of the Company, including the Rights, for all purposes of this Plan and no other notice need be given.</w:t>
      </w:r>
    </w:p>
    <w:p>
      <w:pPr>
        <w:spacing w:after="0" w:line="19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i w:val="1"/>
          <w:iCs w:val="1"/>
          <w:color w:val="auto"/>
        </w:rPr>
        <w:t>Supplements and Amendments</w:t>
      </w:r>
      <w:r>
        <w:rPr>
          <w:rFonts w:ascii="Times New Roman" w:cs="Times New Roman" w:eastAsia="Times New Roman" w:hAnsi="Times New Roman"/>
          <w:sz w:val="18"/>
          <w:szCs w:val="18"/>
          <w:color w:val="auto"/>
        </w:rPr>
        <w:t>. For so long as the Rights are redeemable, the Company may in its sole discretion supplement or amend this Plan in any respect without the approval of any holders of Rights Certificates, Preferred Stock or Common Stock, and the Rights Agent must, if the Company so directs, execute such supplement or amendment. At any time when the Rights are not redeemable, the Company and the Rights Agent may from time to time supplement or amend this Plan without the approval of any holders of Rights Certificates in</w:t>
      </w:r>
    </w:p>
    <w:p>
      <w:pPr>
        <w:spacing w:after="0" w:line="39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or</w:t>
      </w:r>
    </w:p>
    <w:p>
      <w:pPr>
        <w:ind w:right="140" w:firstLine="8"/>
        <w:spacing w:after="0" w:line="250" w:lineRule="auto"/>
        <w:tabs>
          <w:tab w:leader="none" w:pos="30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supplement the provisions of this Plan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this Plan may not be supplemented or amended to lengthen, pursuant to clause (iii) of the previous sentence, a time period relating to when the Rights may be redeemed at a time when the Rights are not then redeemable, it being understood that that the right of the Board to extend the Distribution Date does not require any amendment or supplement. No supplement or amendment to this Plan shall be effective unless duly executed by the Rights Agent and the Company. The Rights Agent will duly execute and deliver any supplement or amendment hereto requested by the Company in writing, provided that the Company has delivered to the Rights Agent a certificate from an Appropriate Officer that states that the proposed supplement or amendment is in compliance with the terms of this Section 28. Notwithstanding anything to the contrary in this Plan, the Rights Agent may, but will not be required to, execute any supplement or amendment that adversely affects its rights, duties, obligations or immunities pursuant to this Plan. Prior to the Distribution Date, the interests of the holders of Rights and Rights Certificates will be deemed to be coincident with the interests of the holders of shares of Common Stock.</w:t>
      </w:r>
    </w:p>
    <w:p>
      <w:pPr>
        <w:spacing w:after="0" w:line="191" w:lineRule="exact"/>
        <w:rPr>
          <w:sz w:val="20"/>
          <w:szCs w:val="20"/>
          <w:color w:val="auto"/>
        </w:rPr>
      </w:pPr>
    </w:p>
    <w:p>
      <w:pPr>
        <w:ind w:right="380" w:firstLine="749"/>
        <w:spacing w:after="0" w:line="28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the covenants and provisions of this Plan by or for the benefit of the Company or the Rights Agent will bind and inure to the benefit of their respective successors and assigns.</w:t>
      </w:r>
    </w:p>
    <w:p>
      <w:pPr>
        <w:spacing w:after="0" w:line="15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i w:val="1"/>
          <w:iCs w:val="1"/>
          <w:color w:val="auto"/>
        </w:rPr>
        <w:t>Determinations and Actions by the Board</w:t>
      </w:r>
      <w:r>
        <w:rPr>
          <w:rFonts w:ascii="Times New Roman" w:cs="Times New Roman" w:eastAsia="Times New Roman" w:hAnsi="Times New Roman"/>
          <w:sz w:val="18"/>
          <w:szCs w:val="18"/>
          <w:color w:val="auto"/>
        </w:rPr>
        <w:t>. The Board (or an authorized committee thereof) has the exclusive power and authority to administer this Plan and to exercise all rights and powers specifically granted to the Board or the Company pursuant to this Plan,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or supplement this Plan). Without limiting any of the rights and immunities of the Rights Agent,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the holders of Rights Certificates and all other Persons; and (ii) not subject the Board (or an authorized committee thereof) or any of the directors serving on the Board (or an authorized committee thereof) to any liability to any Person, including the Rights Agent and the holders of Rights Certificates. In administering this Plan and exercising the rights and powers specifically granted to the Board and to the Company, and in interpreting this Plan and making any determination under this Plan,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spacing w:after="0" w:line="19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Benefits of this Plan</w:t>
      </w:r>
      <w:r>
        <w:rPr>
          <w:rFonts w:ascii="Times New Roman" w:cs="Times New Roman" w:eastAsia="Times New Roman" w:hAnsi="Times New Roman"/>
          <w:sz w:val="18"/>
          <w:szCs w:val="18"/>
          <w:color w:val="auto"/>
        </w:rPr>
        <w:t>. Nothing in this Plan may be construed to give to any Person other than the Company, the Rights Agent and the registered holders of Rights Certificates (and, prior to the Distribution Date, the registered holders of shares of Common Stock) any legal or equitable right, remedy or claim pursuant to this Plan. This Plan is for the sole and exclusive benefit of the Company, the Rights Agent and the registered holders of Rights Certificates (and, prior to the Distribution Date, the registered holders of shares of Common Stock).</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Plan is held by a court of competent jurisdiction or other authority to be invalid, void or unenforceable, then the remainder of the terms, provisions, covenants and restrictions of this Plan will remain in full force and effect and will in no way be affected, impaired or invalidated; provided, however, that if such invalidity, voidance or unenforceability shall materially and adversely affect the rights, immunities, liabilities, duties or obligations of the Rights Agent, then the Rights Agent will be entitled to resign immediately upon written notice to the Company. Notwithstanding 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 will be reinstated and will not expire until the Close of Business on the 10th Business Day following the date of such determination by the Board.</w:t>
      </w: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Governing Law; Exclusive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505"/>
        <w:spacing w:after="0" w:line="261" w:lineRule="auto"/>
        <w:tabs>
          <w:tab w:leader="none" w:pos="18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Plan, each Right and each Rights Certificate, and all claims or causes of action (whether in contract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tort or otherwise, or whether at law (including at common law or by statute) or in equity) that may be based on, arise out of or relate to this Plan, each Right and each Rights Certificate, or the negotiation, execution, performance or subject matter of this Plan, will be governed by and construed in accordance with the laws of the State of Delaware.</w:t>
      </w:r>
    </w:p>
    <w:p>
      <w:pPr>
        <w:spacing w:after="0" w:line="17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Jurisdiction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40" w:firstLine="2629"/>
        <w:spacing w:after="0" w:line="256" w:lineRule="auto"/>
        <w:tabs>
          <w:tab w:leader="none" w:pos="29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Rights Agent and the registered holders of Rights Certificates (and, prior to the Distribution Date, the registered holders of shares of Common Stock) each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the Rights Agent and the registered holders of Rights Certificates (and, prior to the Distribution Date, the registered holders of shares of Common Stock) each acknowledge that the forum designated by this Section 33(b)(i) has a reasonable relation to this Plan and to such Persons’ relationship with one another.</w:t>
      </w:r>
    </w:p>
    <w:p>
      <w:pPr>
        <w:spacing w:after="0" w:line="187" w:lineRule="exact"/>
        <w:rPr>
          <w:rFonts w:ascii="Times New Roman" w:cs="Times New Roman" w:eastAsia="Times New Roman" w:hAnsi="Times New Roman"/>
          <w:sz w:val="18"/>
          <w:szCs w:val="18"/>
          <w:color w:val="auto"/>
        </w:rPr>
      </w:pPr>
    </w:p>
    <w:p>
      <w:pPr>
        <w:ind w:right="20" w:firstLine="2629"/>
        <w:spacing w:after="0" w:line="254" w:lineRule="auto"/>
        <w:tabs>
          <w:tab w:leader="none" w:pos="29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Rights Agent and the registered holders of Rights Certificates (and, prior to the Distribution Date, the registered holders of shares of Common Stock) each waive, to the fullest extent permitted by applicable law, any objection that they now or may in the future have to personal jurisdiction or to the laying of venue of any such suit, action or proceeding brought in any court referred to in Section 33(b)(i) (or the appellate courts thereof). The Company, the Rights Agent and the registered holders of Rights Certificates (and, prior to the Distribution Date, the registered holders of shares of Common Stock) each undertake not to commence any action subject to this Plan in any forum other than the forum described in Section 33(b)(i). The Company, the Rights Agent and the registered holders of Rights Certificates (and, prior to the Distribution Date, the registered holders of shares of Common Stock) each agree that, to the fullest extent permitted by applicable law, a final and non-appealable judgment in any such suit, action or proceeding brought in any such court will be conclusive and binding upon such Persons.</w:t>
      </w:r>
    </w:p>
    <w:p>
      <w:pPr>
        <w:spacing w:after="0" w:line="189" w:lineRule="exact"/>
        <w:rPr>
          <w:rFonts w:ascii="Times New Roman" w:cs="Times New Roman" w:eastAsia="Times New Roman" w:hAnsi="Times New Roman"/>
          <w:sz w:val="18"/>
          <w:szCs w:val="18"/>
          <w:color w:val="auto"/>
        </w:rPr>
      </w:pPr>
    </w:p>
    <w:p>
      <w:pPr>
        <w:ind w:right="260" w:firstLine="1505"/>
        <w:spacing w:after="0" w:line="261" w:lineRule="auto"/>
        <w:tabs>
          <w:tab w:leader="none" w:pos="18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Wavier of Jury Trial</w:t>
      </w:r>
      <w:r>
        <w:rPr>
          <w:rFonts w:ascii="Times New Roman" w:cs="Times New Roman" w:eastAsia="Times New Roman" w:hAnsi="Times New Roman"/>
          <w:sz w:val="18"/>
          <w:szCs w:val="18"/>
          <w:color w:val="auto"/>
        </w:rPr>
        <w:t>. THE COMPANY, THE RIGHTS AGENT AND THE REGISTERED HOLDERS OF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(AND, PRIOR TO THE DISTRIBUTION DATE, THE REGISTERED HOLDERS OF SHARES OF COMMON STOCK) EACH IRREVOCABLY WAIVES ALL RIGHT TO TRIAL BY JURY IN ANY ACTION, PROCEEDING OR COUNTERCLAIM ARISING OUT OF THIS PLAN.</w:t>
      </w:r>
    </w:p>
    <w:p>
      <w:pPr>
        <w:spacing w:after="0" w:line="180"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Plan and any supplements or amendments to this Plan may be executed in any number of counterparts and each such counterpart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505"/>
        <w:spacing w:after="0" w:line="261" w:lineRule="auto"/>
        <w:tabs>
          <w:tab w:leader="none" w:pos="18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this Plan</w:t>
      </w:r>
      <w:r>
        <w:rPr>
          <w:rFonts w:ascii="Times New Roman" w:cs="Times New Roman" w:eastAsia="Times New Roman" w:hAnsi="Times New Roman"/>
          <w:sz w:val="18"/>
          <w:szCs w:val="18"/>
          <w:color w:val="auto"/>
        </w:rPr>
        <w:t>. Unless the context of this Plan otherwise requires, (i) when a reference is made in this Plan to an Article,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Schedule or Exhibit, that reference is to an Article, Section, Schedule or Exhibit to this Plan, as applicable, and (ii) references to “paragraphs” or “clauses” are to separate paragraphs or clauses of the Section or subsection in which the reference occurs. All Exhibits attached to this Plan or referred to in this Plan are incorporated in and made a part of this Plan.</w:t>
      </w:r>
    </w:p>
    <w:p>
      <w:pPr>
        <w:spacing w:after="0" w:line="39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2" w:lineRule="exact"/>
        <w:rPr>
          <w:sz w:val="20"/>
          <w:szCs w:val="20"/>
          <w:color w:val="auto"/>
        </w:rPr>
      </w:pPr>
    </w:p>
    <w:p>
      <w:pPr>
        <w:ind w:right="100" w:firstLine="1505"/>
        <w:spacing w:after="0" w:line="267"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Hereof, Including, etc</w:t>
      </w:r>
      <w:r>
        <w:rPr>
          <w:rFonts w:ascii="Times New Roman" w:cs="Times New Roman" w:eastAsia="Times New Roman" w:hAnsi="Times New Roman"/>
          <w:sz w:val="18"/>
          <w:szCs w:val="18"/>
          <w:color w:val="auto"/>
        </w:rPr>
        <w:t>. When used in this Plan, (i) the words “hereof,” “herein” and “herewith” and words of similar import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otherwise stated, be construed to refer to this Plan as a whole and not to any particular provision of this Plan; and (ii) the words “include,” “includes” and “including” will be deemed in each case to be followed by the words “without limitation.”</w:t>
      </w:r>
    </w:p>
    <w:p>
      <w:pPr>
        <w:spacing w:after="0" w:line="17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Neither, etc. Not Exclusive</w:t>
      </w:r>
      <w:r>
        <w:rPr>
          <w:rFonts w:ascii="Times New Roman" w:cs="Times New Roman" w:eastAsia="Times New Roman" w:hAnsi="Times New Roman"/>
          <w:sz w:val="18"/>
          <w:szCs w:val="18"/>
          <w:color w:val="auto"/>
        </w:rPr>
        <w:t>. Unless the context of this Plan otherwise requires, “neither,” “nor,” “any,” “either” and “or” are not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w:t>
      </w:r>
    </w:p>
    <w:p>
      <w:pPr>
        <w:spacing w:after="0" w:line="20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Extent</w:t>
      </w:r>
      <w:r>
        <w:rPr>
          <w:rFonts w:ascii="Times New Roman" w:cs="Times New Roman" w:eastAsia="Times New Roman" w:hAnsi="Times New Roman"/>
          <w:sz w:val="18"/>
          <w:szCs w:val="18"/>
          <w:color w:val="auto"/>
        </w:rPr>
        <w:t>. The word “extent” in the phrase “to the extent” means the degree to which a subject or other thing extends, and does not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simply mean “if.”</w:t>
      </w:r>
    </w:p>
    <w:p>
      <w:pPr>
        <w:spacing w:after="0" w:line="20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When used in this Plan, references to “$” or “Dollars” are references to U.S. dollars.</w:t>
      </w:r>
    </w:p>
    <w:p>
      <w:pPr>
        <w:spacing w:after="0" w:line="225" w:lineRule="exact"/>
        <w:rPr>
          <w:rFonts w:ascii="Times New Roman" w:cs="Times New Roman" w:eastAsia="Times New Roman" w:hAnsi="Times New Roman"/>
          <w:sz w:val="18"/>
          <w:szCs w:val="18"/>
          <w:color w:val="auto"/>
        </w:rPr>
      </w:pPr>
    </w:p>
    <w:p>
      <w:pPr>
        <w:ind w:right="140" w:firstLine="1505"/>
        <w:spacing w:after="0" w:line="261"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The meaning assigned to each capitalized term defined and used in this Plan is equally applicable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singular and the plural forms of such term, and words denoting any gender include all genders. Where a word or phrase is defined in this Plan, each of its other grammatical forms has a corresponding meaning. All terms defined in this Plan will have the defined meanings when used in any certificate or other document made or delivered pursuant to this Plan unless otherwise defined in such certificate or document.</w:t>
      </w:r>
    </w:p>
    <w:p>
      <w:pPr>
        <w:spacing w:after="0" w:line="179" w:lineRule="exact"/>
        <w:rPr>
          <w:rFonts w:ascii="Times New Roman" w:cs="Times New Roman" w:eastAsia="Times New Roman" w:hAnsi="Times New Roman"/>
          <w:sz w:val="18"/>
          <w:szCs w:val="18"/>
          <w:color w:val="auto"/>
        </w:rPr>
      </w:pPr>
    </w:p>
    <w:p>
      <w:pPr>
        <w:ind w:right="60" w:firstLine="1505"/>
        <w:spacing w:after="0" w:line="284"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Parties</w:t>
      </w:r>
      <w:r>
        <w:rPr>
          <w:rFonts w:ascii="Times New Roman" w:cs="Times New Roman" w:eastAsia="Times New Roman" w:hAnsi="Times New Roman"/>
          <w:sz w:val="18"/>
          <w:szCs w:val="18"/>
          <w:color w:val="auto"/>
        </w:rPr>
        <w:t>. References to any Person include references to such Person’s successors and permitted assigns,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any governmental authority, to any Person succeeding to its functions and capacities.</w:t>
      </w:r>
    </w:p>
    <w:p>
      <w:pPr>
        <w:spacing w:after="0" w:line="158" w:lineRule="exact"/>
        <w:rPr>
          <w:rFonts w:ascii="Times New Roman" w:cs="Times New Roman" w:eastAsia="Times New Roman" w:hAnsi="Times New Roman"/>
          <w:sz w:val="18"/>
          <w:szCs w:val="18"/>
          <w:color w:val="auto"/>
        </w:rPr>
      </w:pPr>
    </w:p>
    <w:p>
      <w:pPr>
        <w:ind w:right="120" w:firstLine="1505"/>
        <w:spacing w:after="0" w:line="284"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Writings</w:t>
      </w:r>
      <w:r>
        <w:rPr>
          <w:rFonts w:ascii="Times New Roman" w:cs="Times New Roman" w:eastAsia="Times New Roman" w:hAnsi="Times New Roman"/>
          <w:sz w:val="18"/>
          <w:szCs w:val="18"/>
          <w:color w:val="auto"/>
        </w:rPr>
        <w:t>. References to “writing” mean the representation or reproduction of words, symbols or other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visible form by any method or combination of methods, whether in electronic form or otherwise. “Written” will be construed in the same manner.</w:t>
      </w:r>
    </w:p>
    <w:p>
      <w:pPr>
        <w:spacing w:after="0" w:line="158" w:lineRule="exact"/>
        <w:rPr>
          <w:rFonts w:ascii="Times New Roman" w:cs="Times New Roman" w:eastAsia="Times New Roman" w:hAnsi="Times New Roman"/>
          <w:sz w:val="18"/>
          <w:szCs w:val="18"/>
          <w:color w:val="auto"/>
        </w:rPr>
      </w:pPr>
    </w:p>
    <w:p>
      <w:pPr>
        <w:ind w:firstLine="1505"/>
        <w:spacing w:after="0" w:line="267"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Legislation</w:t>
      </w:r>
      <w:r>
        <w:rPr>
          <w:rFonts w:ascii="Times New Roman" w:cs="Times New Roman" w:eastAsia="Times New Roman" w:hAnsi="Times New Roman"/>
          <w:sz w:val="18"/>
          <w:szCs w:val="18"/>
          <w:color w:val="auto"/>
        </w:rPr>
        <w:t>. Unless otherwise explicitly stated, a reference to any specific legislation or to any provision of any legislation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any amendment to, and any modification, re-enactment or successor thereof, any legislative provision substituted therefor and all rules, regulations and statutory instruments (and successors or replacements) issued thereunder or pursuant thereto.</w:t>
      </w:r>
    </w:p>
    <w:p>
      <w:pPr>
        <w:spacing w:after="0" w:line="173" w:lineRule="exact"/>
        <w:rPr>
          <w:rFonts w:ascii="Times New Roman" w:cs="Times New Roman" w:eastAsia="Times New Roman" w:hAnsi="Times New Roman"/>
          <w:sz w:val="18"/>
          <w:szCs w:val="18"/>
          <w:color w:val="auto"/>
        </w:rPr>
      </w:pPr>
    </w:p>
    <w:p>
      <w:pPr>
        <w:ind w:right="260" w:firstLine="1505"/>
        <w:spacing w:after="0" w:line="284"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table of contents and headings set forth in this Plan are for convenience of reference purposes only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or be deemed to affect in any way the meaning or interpretation of this Plan or any term or provision of this Plan.</w:t>
      </w:r>
    </w:p>
    <w:p>
      <w:pPr>
        <w:spacing w:after="0" w:line="158" w:lineRule="exact"/>
        <w:rPr>
          <w:rFonts w:ascii="Times New Roman" w:cs="Times New Roman" w:eastAsia="Times New Roman" w:hAnsi="Times New Roman"/>
          <w:sz w:val="18"/>
          <w:szCs w:val="18"/>
          <w:color w:val="auto"/>
        </w:rPr>
      </w:pPr>
    </w:p>
    <w:p>
      <w:pPr>
        <w:ind w:firstLine="1505"/>
        <w:spacing w:after="0" w:line="256"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Time Periods</w:t>
      </w:r>
      <w:r>
        <w:rPr>
          <w:rFonts w:ascii="Times New Roman" w:cs="Times New Roman" w:eastAsia="Times New Roman" w:hAnsi="Times New Roman"/>
          <w:sz w:val="18"/>
          <w:szCs w:val="18"/>
          <w:color w:val="auto"/>
        </w:rPr>
        <w:t>. Unless otherwise indicated, (i) when calculating the period of time before which, within which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which any act is to be done or step taken pursuant to this Plan, the date that is the reference date in calculating such period will be excluded; (ii) if the last day of such period is not a Business Day, then the period in question will end on the next Business Day; (iii) the measure of a period of one month or year for purposes of this Plan will be the day of the following month or year corresponding to the starting date; and (iv)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spacing w:after="0" w:line="182" w:lineRule="exact"/>
        <w:rPr>
          <w:rFonts w:ascii="Times New Roman" w:cs="Times New Roman" w:eastAsia="Times New Roman" w:hAnsi="Times New Roman"/>
          <w:sz w:val="18"/>
          <w:szCs w:val="18"/>
          <w:color w:val="auto"/>
        </w:rPr>
      </w:pPr>
    </w:p>
    <w:p>
      <w:pPr>
        <w:ind w:right="560" w:firstLine="1505"/>
        <w:spacing w:after="0" w:line="284"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Days and Months</w:t>
      </w:r>
      <w:r>
        <w:rPr>
          <w:rFonts w:ascii="Times New Roman" w:cs="Times New Roman" w:eastAsia="Times New Roman" w:hAnsi="Times New Roman"/>
          <w:sz w:val="18"/>
          <w:szCs w:val="18"/>
          <w:color w:val="auto"/>
        </w:rPr>
        <w:t>. Whenever this Plan refers to a number of days, that number will refer to calendar days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Days are specified. Any reference to a “month” means a calendar month.</w:t>
      </w:r>
    </w:p>
    <w:p>
      <w:pPr>
        <w:spacing w:after="0" w:line="158" w:lineRule="exact"/>
        <w:rPr>
          <w:rFonts w:ascii="Times New Roman" w:cs="Times New Roman" w:eastAsia="Times New Roman" w:hAnsi="Times New Roman"/>
          <w:sz w:val="18"/>
          <w:szCs w:val="18"/>
          <w:color w:val="auto"/>
        </w:rPr>
      </w:pPr>
    </w:p>
    <w:p>
      <w:pPr>
        <w:ind w:right="20" w:firstLine="1505"/>
        <w:spacing w:after="0" w:line="284"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Summaries</w:t>
      </w:r>
      <w:r>
        <w:rPr>
          <w:rFonts w:ascii="Times New Roman" w:cs="Times New Roman" w:eastAsia="Times New Roman" w:hAnsi="Times New Roman"/>
          <w:sz w:val="18"/>
          <w:szCs w:val="18"/>
          <w:color w:val="auto"/>
        </w:rPr>
        <w:t>. No summary of this Plan or any Exhibit, Schedule or other document delivered with this Plan will affect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interpretation of this Plan or such Exhibit, Schedule or document.</w:t>
      </w:r>
    </w:p>
    <w:p>
      <w:pPr>
        <w:spacing w:after="0" w:line="158" w:lineRule="exact"/>
        <w:rPr>
          <w:rFonts w:ascii="Times New Roman" w:cs="Times New Roman" w:eastAsia="Times New Roman" w:hAnsi="Times New Roman"/>
          <w:sz w:val="18"/>
          <w:szCs w:val="18"/>
          <w:color w:val="auto"/>
        </w:rPr>
      </w:pPr>
    </w:p>
    <w:p>
      <w:pPr>
        <w:ind w:right="440" w:firstLine="1505"/>
        <w:spacing w:after="0" w:line="284" w:lineRule="auto"/>
        <w:tabs>
          <w:tab w:leader="none" w:pos="18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Outstanding Shares</w:t>
      </w:r>
      <w:r>
        <w:rPr>
          <w:rFonts w:ascii="Times New Roman" w:cs="Times New Roman" w:eastAsia="Times New Roman" w:hAnsi="Times New Roman"/>
          <w:sz w:val="18"/>
          <w:szCs w:val="18"/>
          <w:color w:val="auto"/>
        </w:rPr>
        <w:t>. For all purposes of this Plan, any calculation of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any particular time, including for purposes of determining the</w:t>
      </w:r>
    </w:p>
    <w:p>
      <w:pPr>
        <w:spacing w:after="0" w:line="3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particular percentage of the outstanding shares of Common Stock of which any Person is the Beneficial Owner, will include the number of shares of Common Stock not outstanding at the time of such calculation that such Person is otherwise deemed to Beneficially Own for purposes of this Plan, but the number of shares of Common Stock not outstanding that such Person is otherwise deemed to Beneficially Own for purposes of this Plan will not be deemed to be outstanding for the purpose of computing the percentage of outstanding shares of Common Stock that are Beneficially Owned by any other Person (unless such other Person is also otherwise deemed to Beneficially Own, for purposes of this Plan, such shares of Common Stock not outstanding).</w:t>
      </w:r>
    </w:p>
    <w:p>
      <w:pPr>
        <w:spacing w:after="0" w:line="181"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i w:val="1"/>
          <w:iCs w:val="1"/>
          <w:color w:val="auto"/>
        </w:rPr>
        <w:t>Costs of Enforcement</w:t>
      </w:r>
      <w:r>
        <w:rPr>
          <w:rFonts w:ascii="Times New Roman" w:cs="Times New Roman" w:eastAsia="Times New Roman" w:hAnsi="Times New Roman"/>
          <w:sz w:val="17"/>
          <w:szCs w:val="17"/>
          <w:color w:val="auto"/>
        </w:rPr>
        <w:t>. The Company agrees with each registered holder of Rights Certificates (and, prior to the Distribution Date, the registered holders of shares of Common Stock) that if the Company or any other Person the securities of which are purchasable upon exercise of the Rights fails to fulfill any of its obligations pursuant to this Plan, then the Company or such Person must reimburse any registered holder of Rights Certificates for the costs and expenses (including legal fees) incurred by such holder in any action to enforce such holder’s rights pursuant to any Right or this Plan.</w:t>
      </w:r>
    </w:p>
    <w:p>
      <w:pPr>
        <w:spacing w:after="0" w:line="16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Notwithstanding anything to the contrary in this Plan, the Rights Agent will not be liable for any delays or failures in performance resulting from acts beyond its reasonable control, including fires, floods, natural disasters, acts of God, epidemics, pandemics, terrorist acts, shortage of supply, legal restrictions, breakdowns or malfunctions, interruptions or malfunction of computer facilities, or loss of data due to power failures or mechanical difficulties with information storage or retrieval systems, labor difficulties, war or civil unrest.</w:t>
      </w:r>
    </w:p>
    <w:p>
      <w:pPr>
        <w:spacing w:after="0" w:line="180" w:lineRule="exact"/>
        <w:rPr>
          <w:sz w:val="20"/>
          <w:szCs w:val="20"/>
          <w:color w:val="auto"/>
        </w:rPr>
      </w:pPr>
    </w:p>
    <w:p>
      <w:pPr>
        <w:ind w:right="80" w:firstLine="749"/>
        <w:spacing w:after="0" w:line="273"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i w:val="1"/>
          <w:iCs w:val="1"/>
          <w:color w:val="auto"/>
        </w:rPr>
        <w:t>USA PATRIOT Act</w:t>
      </w:r>
      <w:r>
        <w:rPr>
          <w:rFonts w:ascii="Times New Roman" w:cs="Times New Roman" w:eastAsia="Times New Roman" w:hAnsi="Times New Roman"/>
          <w:sz w:val="17"/>
          <w:szCs w:val="17"/>
          <w:color w:val="auto"/>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are signing this Plan on the date stated in the introductory clause.</w:t>
      </w: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Horn</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David Horn</w:t>
      </w:r>
    </w:p>
    <w:p>
      <w:pPr>
        <w:spacing w:after="0" w:line="9"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Albert Guinto</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Albert Guinto</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[Signature Page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RIGHTS, POWERS AND PREFERENCES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SERIES A PARTICIPATING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142875</wp:posOffset>
            </wp:positionV>
            <wp:extent cx="44919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142875</wp:posOffset>
            </wp:positionV>
            <wp:extent cx="44919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40" w:firstLine="749"/>
        <w:spacing w:after="0" w:line="286" w:lineRule="auto"/>
        <w:rPr>
          <w:sz w:val="20"/>
          <w:szCs w:val="20"/>
          <w:color w:val="auto"/>
        </w:rPr>
      </w:pPr>
      <w:r>
        <w:rPr>
          <w:rFonts w:ascii="Times New Roman" w:cs="Times New Roman" w:eastAsia="Times New Roman" w:hAnsi="Times New Roman"/>
          <w:sz w:val="18"/>
          <w:szCs w:val="18"/>
          <w:color w:val="auto"/>
        </w:rPr>
        <w:t>Seer,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accordance with the provisions of Section 103 thereof, certifies:</w:t>
      </w:r>
    </w:p>
    <w:p>
      <w:pPr>
        <w:spacing w:after="0" w:line="155" w:lineRule="exact"/>
        <w:rPr>
          <w:sz w:val="20"/>
          <w:szCs w:val="20"/>
          <w:color w:val="auto"/>
        </w:rPr>
      </w:pPr>
    </w:p>
    <w:p>
      <w:pPr>
        <w:jc w:val="both"/>
        <w:ind w:right="100" w:firstLine="749"/>
        <w:spacing w:after="0" w:line="268" w:lineRule="auto"/>
        <w:rPr>
          <w:sz w:val="20"/>
          <w:szCs w:val="20"/>
          <w:color w:val="auto"/>
        </w:rPr>
      </w:pPr>
      <w:r>
        <w:rPr>
          <w:rFonts w:ascii="Times New Roman" w:cs="Times New Roman" w:eastAsia="Times New Roman" w:hAnsi="Times New Roman"/>
          <w:sz w:val="18"/>
          <w:szCs w:val="18"/>
          <w:color w:val="auto"/>
        </w:rPr>
        <w:t>That pursuant to the authority conferred upon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by the Amended and Restated Certificate of Incorporation of the Corporation, as amended, as of February 26, 2026, the Board adopted the following resolution creating a series of preferred stock, par value $0.00001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Corporation designated as Series A Participating Preferred Stock:</w:t>
      </w:r>
    </w:p>
    <w:p>
      <w:pPr>
        <w:spacing w:after="0" w:line="17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by the Amended and Restated Certificate of Incorporation, as amended, of the 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the Board, as of February 26, 2026, provides for the issuance of a series of Preferred Stock of the Corporation and fixes, states and expresses the designations, powers, preferences and relative and other special rights, and the qualifications, limitations and restrictions, of such series of Preferred Stock as follows:</w:t>
      </w:r>
    </w:p>
    <w:p>
      <w:pPr>
        <w:spacing w:after="0" w:line="176"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Designation and Amount</w:t>
      </w:r>
      <w:r>
        <w:rPr>
          <w:rFonts w:ascii="Times New Roman" w:cs="Times New Roman" w:eastAsia="Times New Roman" w:hAnsi="Times New Roman"/>
          <w:sz w:val="18"/>
          <w:szCs w:val="18"/>
          <w:color w:val="auto"/>
        </w:rPr>
        <w:t>. The shares of such series will be designated as “</w:t>
      </w:r>
      <w:r>
        <w:rPr>
          <w:rFonts w:ascii="Times New Roman" w:cs="Times New Roman" w:eastAsia="Times New Roman" w:hAnsi="Times New Roman"/>
          <w:sz w:val="18"/>
          <w:szCs w:val="18"/>
          <w:b w:val="1"/>
          <w:bCs w:val="1"/>
          <w:color w:val="auto"/>
        </w:rPr>
        <w:t>Series A Participating Preferred Stock</w:t>
      </w:r>
      <w:r>
        <w:rPr>
          <w:rFonts w:ascii="Times New Roman" w:cs="Times New Roman" w:eastAsia="Times New Roman" w:hAnsi="Times New Roman"/>
          <w:sz w:val="18"/>
          <w:szCs w:val="18"/>
          <w:color w:val="auto"/>
        </w:rPr>
        <w:t>.” The Series A Participating Preferred Stock will have a par value of $0.00001 per share, and the number of shares constituting such series will be 500,000. Such number of shares may be increased or decreased by resolution of the Corporation’s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except that no decrease will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184"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i w:val="1"/>
          <w:iCs w:val="1"/>
          <w:color w:val="auto"/>
        </w:rPr>
        <w:t>Dividends and Distributions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505"/>
        <w:spacing w:after="0" w:line="252" w:lineRule="auto"/>
        <w:tabs>
          <w:tab w:leader="none" w:pos="185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series of Preferred Stock (or other similar stock) ranking prior and superior to the shares of Series A Participating Preferred Stock with respect to dividends, the holders of shares of Series A Participating Preferred Stock, in preference to the holders of shares of Class A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Corporation, will be entitled to receive, when, as and if declared by the Board out of funds legally available for the purpose, quarterly dividends payable in cash on the last day of March, June, September and December in each year (each such date being referred to as a “</w:t>
      </w:r>
      <w:r>
        <w:rPr>
          <w:rFonts w:ascii="Times New Roman" w:cs="Times New Roman" w:eastAsia="Times New Roman" w:hAnsi="Times New Roman"/>
          <w:sz w:val="18"/>
          <w:szCs w:val="18"/>
          <w:b w:val="1"/>
          <w:b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Participating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If the Corporation at any time after February 25, 2026 (the “</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Participating Preferred Stock were entitled immediately prior to</w:t>
      </w: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2" w:name="page123"/>
    <w:bookmarkEnd w:id="122"/>
    <w:p>
      <w:pPr>
        <w:spacing w:after="0" w:line="1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spacing w:after="0" w:line="176" w:lineRule="exact"/>
        <w:rPr>
          <w:sz w:val="20"/>
          <w:szCs w:val="20"/>
          <w:color w:val="auto"/>
        </w:rPr>
      </w:pPr>
    </w:p>
    <w:p>
      <w:pPr>
        <w:ind w:right="40" w:firstLine="1505"/>
        <w:spacing w:after="0" w:line="256" w:lineRule="auto"/>
        <w:tabs>
          <w:tab w:leader="none" w:pos="18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declare a dividend or distribution on the Series 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Participating Preferred Stock will nevertheless be payable on such subsequent Quarterly Dividend Payment Date (it being understood that the actual payment of such dividend may be deferred if prohibited under any of the Corporation’s debt instruments).</w:t>
      </w:r>
    </w:p>
    <w:p>
      <w:pPr>
        <w:spacing w:after="0" w:line="187" w:lineRule="exact"/>
        <w:rPr>
          <w:rFonts w:ascii="Times New Roman" w:cs="Times New Roman" w:eastAsia="Times New Roman" w:hAnsi="Times New Roman"/>
          <w:sz w:val="18"/>
          <w:szCs w:val="18"/>
          <w:color w:val="auto"/>
        </w:rPr>
      </w:pPr>
    </w:p>
    <w:p>
      <w:pPr>
        <w:ind w:right="20" w:firstLine="1505"/>
        <w:spacing w:after="0" w:line="253" w:lineRule="auto"/>
        <w:tabs>
          <w:tab w:leader="none" w:pos="18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will be no more than 60 days prior to the date fixed for the payment thereof.</w:t>
      </w:r>
    </w:p>
    <w:p>
      <w:pPr>
        <w:spacing w:after="0" w:line="192"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shares of Series A Participating Preferred Stock will have the following voting rights:</w:t>
      </w:r>
    </w:p>
    <w:p>
      <w:pPr>
        <w:spacing w:after="0" w:line="227" w:lineRule="exact"/>
        <w:rPr>
          <w:sz w:val="20"/>
          <w:szCs w:val="20"/>
          <w:color w:val="auto"/>
        </w:rPr>
      </w:pPr>
    </w:p>
    <w:p>
      <w:pPr>
        <w:ind w:firstLine="1505"/>
        <w:spacing w:after="0" w:line="255" w:lineRule="auto"/>
        <w:tabs>
          <w:tab w:leader="none" w:pos="18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8" w:lineRule="exact"/>
        <w:rPr>
          <w:rFonts w:ascii="Times New Roman" w:cs="Times New Roman" w:eastAsia="Times New Roman" w:hAnsi="Times New Roman"/>
          <w:sz w:val="18"/>
          <w:szCs w:val="18"/>
          <w:color w:val="auto"/>
        </w:rPr>
      </w:pPr>
    </w:p>
    <w:p>
      <w:pPr>
        <w:ind w:right="120" w:firstLine="1505"/>
        <w:spacing w:after="0" w:line="261" w:lineRule="auto"/>
        <w:tabs>
          <w:tab w:leader="none" w:pos="18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Designation, in any other Certificate of Designation creating a series of Preferred Stock or any similar stock, the Charter or the Amended and Restated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or by law, the holders of shares of Series A Participating Preferred Stock and the holders of shares of Common Stock and any other capital stock of the Corporation having general voting rights will vote together as one class on all matters submitted to a vote of stockholders of the Corporation.</w:t>
      </w:r>
    </w:p>
    <w:p>
      <w:pPr>
        <w:spacing w:after="0" w:line="179" w:lineRule="exact"/>
        <w:rPr>
          <w:rFonts w:ascii="Times New Roman" w:cs="Times New Roman" w:eastAsia="Times New Roman" w:hAnsi="Times New Roman"/>
          <w:sz w:val="18"/>
          <w:szCs w:val="18"/>
          <w:color w:val="auto"/>
        </w:rPr>
      </w:pPr>
    </w:p>
    <w:p>
      <w:pPr>
        <w:ind w:right="200" w:firstLine="1505"/>
        <w:spacing w:after="0" w:line="266" w:lineRule="auto"/>
        <w:tabs>
          <w:tab w:leader="none" w:pos="18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Designation or as required by law, the holders of Series A Participating Preferred Stock will have no special voting rights and their consent will not be required (except to the extent that holders of Series A Participating Preferred Stock are entitled to vote with holders of shares of Common Stock as set forth in this Certificate of Designation) for taking any corporate action.</w:t>
      </w:r>
    </w:p>
    <w:p>
      <w:pPr>
        <w:spacing w:after="0" w:line="3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2"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i w:val="1"/>
          <w:iCs w:val="1"/>
          <w:color w:val="auto"/>
        </w:rPr>
        <w:t>Certain Restrictions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20" w:firstLine="1505"/>
        <w:spacing w:after="0" w:line="266"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declare any dividend on, make any distribution on, or redeem or purchase or otherwise acquire for consideration any shares of Common Stock after the first issuance of a share or fraction of a share of Series A Participating Preferred Stock unless concurrently therewith it will declare a dividend on the Series A Participating Preferred Stock as required by Section 2.</w:t>
      </w:r>
    </w:p>
    <w:p>
      <w:pPr>
        <w:spacing w:after="0" w:line="175" w:lineRule="exact"/>
        <w:rPr>
          <w:rFonts w:ascii="Times New Roman" w:cs="Times New Roman" w:eastAsia="Times New Roman" w:hAnsi="Times New Roman"/>
          <w:sz w:val="18"/>
          <w:szCs w:val="18"/>
          <w:color w:val="auto"/>
        </w:rPr>
      </w:pPr>
    </w:p>
    <w:p>
      <w:pPr>
        <w:ind w:right="120" w:firstLine="1505"/>
        <w:spacing w:after="0" w:line="266"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Participating Preferred Stock as provided in Section 2 are in arrears, thereafter and until all accrued and unpaid dividends and distributions, whether or not declared, on shares of Series A Participating Preferred Stock outstanding will have been paid in full, the Corporation will not:</w:t>
      </w:r>
    </w:p>
    <w:p>
      <w:pPr>
        <w:spacing w:after="0" w:line="175" w:lineRule="exact"/>
        <w:rPr>
          <w:rFonts w:ascii="Times New Roman" w:cs="Times New Roman" w:eastAsia="Times New Roman" w:hAnsi="Times New Roman"/>
          <w:sz w:val="18"/>
          <w:szCs w:val="18"/>
          <w:color w:val="auto"/>
        </w:rPr>
      </w:pPr>
    </w:p>
    <w:p>
      <w:pPr>
        <w:ind w:firstLine="2629"/>
        <w:spacing w:after="0" w:line="254" w:lineRule="auto"/>
        <w:tabs>
          <w:tab w:leader="none" w:pos="29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rFonts w:ascii="Times New Roman" w:cs="Times New Roman" w:eastAsia="Times New Roman" w:hAnsi="Times New Roman"/>
          <w:sz w:val="18"/>
          <w:szCs w:val="18"/>
          <w:color w:val="auto"/>
        </w:rPr>
      </w:pPr>
    </w:p>
    <w:p>
      <w:pPr>
        <w:ind w:right="100" w:firstLine="2629"/>
        <w:spacing w:after="0" w:line="261" w:lineRule="auto"/>
        <w:tabs>
          <w:tab w:leader="none" w:pos="29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179" w:lineRule="exact"/>
        <w:rPr>
          <w:rFonts w:ascii="Times New Roman" w:cs="Times New Roman" w:eastAsia="Times New Roman" w:hAnsi="Times New Roman"/>
          <w:sz w:val="18"/>
          <w:szCs w:val="18"/>
          <w:color w:val="auto"/>
        </w:rPr>
      </w:pPr>
    </w:p>
    <w:p>
      <w:pPr>
        <w:ind w:right="140" w:firstLine="2629"/>
        <w:spacing w:after="0" w:line="261" w:lineRule="auto"/>
        <w:tabs>
          <w:tab w:leader="none" w:pos="29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with the Series 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 Participating Preferred Stock; or</w:t>
      </w:r>
    </w:p>
    <w:p>
      <w:pPr>
        <w:spacing w:after="0" w:line="179" w:lineRule="exact"/>
        <w:rPr>
          <w:rFonts w:ascii="Times New Roman" w:cs="Times New Roman" w:eastAsia="Times New Roman" w:hAnsi="Times New Roman"/>
          <w:sz w:val="18"/>
          <w:szCs w:val="18"/>
          <w:color w:val="auto"/>
        </w:rPr>
      </w:pPr>
    </w:p>
    <w:p>
      <w:pPr>
        <w:ind w:firstLine="2629"/>
        <w:spacing w:after="0" w:line="258" w:lineRule="auto"/>
        <w:tabs>
          <w:tab w:leader="none" w:pos="29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w:t>
      </w:r>
    </w:p>
    <w:p>
      <w:pPr>
        <w:spacing w:after="0" w:line="183" w:lineRule="exact"/>
        <w:rPr>
          <w:rFonts w:ascii="Times New Roman" w:cs="Times New Roman" w:eastAsia="Times New Roman" w:hAnsi="Times New Roman"/>
          <w:sz w:val="18"/>
          <w:szCs w:val="18"/>
          <w:color w:val="auto"/>
        </w:rPr>
      </w:pPr>
    </w:p>
    <w:p>
      <w:pPr>
        <w:ind w:right="120" w:firstLine="1505"/>
        <w:spacing w:after="0" w:line="266"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permit any subsidiary of the Corporation to purchase or otherwise acquire for consideration any shares of stock of the Corporation unless the Corporation could, pursuant to Section 4(a), purchase or otherwise acquire such shares at such time and in such manner.</w:t>
      </w:r>
    </w:p>
    <w:p>
      <w:pPr>
        <w:spacing w:after="0" w:line="174"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Reacquired Shares of Preferred Stock</w:t>
      </w:r>
      <w:r>
        <w:rPr>
          <w:rFonts w:ascii="Times New Roman" w:cs="Times New Roman" w:eastAsia="Times New Roman" w:hAnsi="Times New Roman"/>
          <w:sz w:val="18"/>
          <w:szCs w:val="18"/>
          <w:color w:val="auto"/>
        </w:rPr>
        <w:t>. Any shares of Series A Participating Preferred Stock purchased or otherwise acquired by the Corporation in any manner whatsoever will be retired and canceled promptly after the acquisition thereof. All such shares will upon their cancellation become authorized but unissued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w:t>
      </w: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192"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i w:val="1"/>
          <w:iCs w:val="1"/>
          <w:color w:val="auto"/>
        </w:rPr>
        <w:t>Liquidation, Dissolution or Winding Up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505"/>
        <w:spacing w:after="0" w:line="253" w:lineRule="auto"/>
        <w:tabs>
          <w:tab w:leader="none" w:pos="185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will be made to the holders of shares of stock ranking junior (either as to dividends or upon liquidation, dissolution or winding up) to the Series A Participating Preferred Stock unless, prior thereto, the holders of shares of Series A Participating Preferred Stock will have received an amount per share (the “</w:t>
      </w:r>
      <w:r>
        <w:rPr>
          <w:rFonts w:ascii="Times New Roman" w:cs="Times New Roman" w:eastAsia="Times New Roman" w:hAnsi="Times New Roman"/>
          <w:sz w:val="18"/>
          <w:szCs w:val="18"/>
          <w:b w:val="1"/>
          <w:bCs w:val="1"/>
          <w:color w:val="auto"/>
        </w:rPr>
        <w:t>Series A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Preference</w:t>
      </w:r>
      <w:r>
        <w:rPr>
          <w:rFonts w:ascii="Times New Roman" w:cs="Times New Roman" w:eastAsia="Times New Roman" w:hAnsi="Times New Roman"/>
          <w:sz w:val="18"/>
          <w:szCs w:val="18"/>
          <w:color w:val="auto"/>
        </w:rPr>
        <w:t>”) equal to the greater of (i) $1.00 plus an amount equal to accrued and unpaid dividends and distributions thereon, whether or not declared,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18"/>
          <w:szCs w:val="18"/>
          <w:b w:val="1"/>
          <w:bCs w:val="1"/>
          <w:color w:val="auto"/>
        </w:rPr>
        <w:t>Adjustment Number</w:t>
      </w:r>
      <w:r>
        <w:rPr>
          <w:rFonts w:ascii="Times New Roman" w:cs="Times New Roman" w:eastAsia="Times New Roman" w:hAnsi="Times New Roman"/>
          <w:sz w:val="18"/>
          <w:szCs w:val="18"/>
          <w:color w:val="auto"/>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1" w:lineRule="exact"/>
        <w:rPr>
          <w:rFonts w:ascii="Times New Roman" w:cs="Times New Roman" w:eastAsia="Times New Roman" w:hAnsi="Times New Roman"/>
          <w:sz w:val="18"/>
          <w:szCs w:val="18"/>
          <w:color w:val="auto"/>
        </w:rPr>
      </w:pPr>
    </w:p>
    <w:p>
      <w:pPr>
        <w:ind w:right="80" w:firstLine="1505"/>
        <w:spacing w:after="0" w:line="261" w:lineRule="auto"/>
        <w:tabs>
          <w:tab w:leader="none" w:pos="185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not sufficient assets available to permit payment in full of the Series A Liquidation Preference and the liquidation preferences of all other classes and series of Preferred Stock, if any, that rank on a parity with the Series A Participating Preferred Stock, then the assets available for distribution will be distributed ratably to the holders of the Series A Participating Preferred Stock and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ind w:right="260" w:firstLine="1505"/>
        <w:spacing w:after="0" w:line="312" w:lineRule="auto"/>
        <w:tabs>
          <w:tab w:leader="none" w:pos="1857"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merger or consolidation of the Corporation into or with another entity or the merger or consolidation of any other entity into or with the Corporation will be deemed to be a liquidation, dissolution or winding up of the Corporation within the meaning of this Section 6.</w:t>
      </w:r>
    </w:p>
    <w:p>
      <w:pPr>
        <w:spacing w:after="0" w:line="13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Consolidation, Merger, etc</w:t>
      </w:r>
      <w:r>
        <w:rPr>
          <w:rFonts w:ascii="Times New Roman" w:cs="Times New Roman" w:eastAsia="Times New Roman" w:hAnsi="Times New Roman"/>
          <w:sz w:val="18"/>
          <w:szCs w:val="18"/>
          <w:color w:val="auto"/>
        </w:rPr>
        <w:t>.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i w:val="1"/>
          <w:iCs w:val="1"/>
          <w:color w:val="auto"/>
        </w:rPr>
        <w:t>No Redemption</w:t>
      </w:r>
      <w:r>
        <w:rPr>
          <w:rFonts w:ascii="Times New Roman" w:cs="Times New Roman" w:eastAsia="Times New Roman" w:hAnsi="Times New Roman"/>
          <w:sz w:val="17"/>
          <w:szCs w:val="17"/>
          <w:color w:val="auto"/>
        </w:rPr>
        <w:t>. The shares of Series A Participating Preferred Stock will not be redeemable.</w:t>
      </w:r>
    </w:p>
    <w:p>
      <w:pPr>
        <w:spacing w:after="0" w:line="225"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A Participating Preferred Stock will rank junior to all other series of the Preferred Stock as to the payment of dividends and the distribution of assets, unless the terms of any such series will provide otherwise, and will rank senior to the Common Stock as to such matters.</w:t>
      </w:r>
    </w:p>
    <w:p>
      <w:pPr>
        <w:spacing w:after="0" w:line="17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At any time when any shares of Series A Participating Preferred Stock are outstanding, neither the Charter nor this Certificate of Designation will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180" w:lineRule="exact"/>
        <w:rPr>
          <w:sz w:val="20"/>
          <w:szCs w:val="20"/>
          <w:color w:val="auto"/>
        </w:rPr>
      </w:pPr>
    </w:p>
    <w:p>
      <w:pPr>
        <w:jc w:val="both"/>
        <w:ind w:right="20" w:firstLine="749"/>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Fractional Shares of Preferred Stock</w:t>
      </w:r>
      <w:r>
        <w:rPr>
          <w:rFonts w:ascii="Times New Roman" w:cs="Times New Roman" w:eastAsia="Times New Roman" w:hAnsi="Times New Roman"/>
          <w:sz w:val="18"/>
          <w:szCs w:val="18"/>
          <w:color w:val="auto"/>
        </w:rPr>
        <w:t>. Series 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 Participating Preferred Stock.</w:t>
      </w:r>
    </w:p>
    <w:p>
      <w:pPr>
        <w:spacing w:after="0" w:line="175" w:lineRule="exact"/>
        <w:rPr>
          <w:sz w:val="20"/>
          <w:szCs w:val="20"/>
          <w:color w:val="auto"/>
        </w:rPr>
      </w:pPr>
    </w:p>
    <w:p>
      <w:pPr>
        <w:jc w:val="center"/>
        <w:spacing w:after="0"/>
        <w:tabs>
          <w:tab w:leader="none" w:pos="260" w:val="left"/>
          <w:tab w:leader="none" w:pos="2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as of the 26th day of February, 2026.</w:t>
      </w:r>
    </w:p>
    <w:p>
      <w:pPr>
        <w:spacing w:after="0" w:line="200" w:lineRule="exact"/>
        <w:rPr>
          <w:sz w:val="20"/>
          <w:szCs w:val="20"/>
          <w:color w:val="auto"/>
        </w:rPr>
      </w:pPr>
    </w:p>
    <w:p>
      <w:pPr>
        <w:spacing w:after="0" w:line="24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0" w:lineRule="exact"/>
        <w:rPr>
          <w:sz w:val="20"/>
          <w:szCs w:val="20"/>
          <w:color w:val="auto"/>
        </w:rPr>
      </w:pPr>
    </w:p>
    <w:p>
      <w:pPr>
        <w:spacing w:after="0" w:line="2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-7620</wp:posOffset>
            </wp:positionV>
            <wp:extent cx="2286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07"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Certificate No. R-[●]</w:t>
        <w:tab/>
        <w:t>[●] Rights</w:t>
      </w:r>
    </w:p>
    <w:p>
      <w:pPr>
        <w:spacing w:after="0" w:line="225" w:lineRule="exact"/>
        <w:rPr>
          <w:sz w:val="20"/>
          <w:szCs w:val="20"/>
          <w:color w:val="auto"/>
        </w:rPr>
      </w:pPr>
    </w:p>
    <w:p>
      <w:pPr>
        <w:ind w:left="760" w:right="920"/>
        <w:spacing w:after="0" w:line="255" w:lineRule="auto"/>
        <w:rPr>
          <w:sz w:val="20"/>
          <w:szCs w:val="20"/>
          <w:color w:val="auto"/>
        </w:rPr>
      </w:pPr>
      <w:r>
        <w:rPr>
          <w:rFonts w:ascii="Times New Roman" w:cs="Times New Roman" w:eastAsia="Times New Roman" w:hAnsi="Times New Roman"/>
          <w:sz w:val="18"/>
          <w:szCs w:val="18"/>
          <w:color w:val="auto"/>
        </w:rPr>
        <w:t>NOT EXERCISABLE AFTER FEBRUARY 25, 2029, OR SUCH EARLIER DATE AS THE RIGHTS ARE REDEEMED, EXCHANGED OR TERMINATED. THE RIGHTS ARE SUBJECT TO REDEMPTION, AT THE OPTION OF THE COMPANY (AS DEFINED BELOW), AT $0.001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THAT IT REPRESENTS MAY BECOME NULL AND VOID IN THE CIRCUMSTANCES SPECIFIED IN SECTION 7(e) OF THE PLAN.]</w:t>
      </w:r>
      <w:r>
        <w:rPr>
          <w:rFonts w:ascii="Times New Roman" w:cs="Times New Roman" w:eastAsia="Times New Roman" w:hAnsi="Times New Roman"/>
          <w:sz w:val="24"/>
          <w:szCs w:val="24"/>
          <w:color w:val="auto"/>
          <w:vertAlign w:val="superscript"/>
        </w:rPr>
        <w:t>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certifies that ______________________________, or registered assigns, is the registered owner of the number of Rights set forth above,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each of which entitles the owner thereof, subject to the terms, provisions and conditions of the Tax Benefit Preservation Plan, dated as of February 26, 2026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between Seer,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Trust Company, N.A., a federally chartered trust company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which term will include any successor Rights Agent pursuant to the Plan), to purchase from the Company at any time after the Distribution Date (as such term is defined in the Plan) and prior to the Expiration Date (as such term is defined in the Plan) at the office of the Rights Agent designated for such purpose, or at the office of its successor as Rights Agent, one one-thousandth of a fully paid and nonassessable share of Series A Participating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Company, at an exercise price of $11.00 per one one-thousandth of a share of Preferred Stock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presentation and surrender of this Rights Certificate with the Form of Election to Purchase and related Certificate duly executed. The number of Rights evidenced by this Rights Certificate (and the number of one one-thousandths of a share of Preferred Stock that may be purchased upon exercise hereof) set forth above, and the Exercise Price per share set forth above, are the number and Exercise Price as of February 26, 2026, based on the Preferred Stock as constituted at such date. As provided in the Plan, the Exercise Price and the number and kind of Preferred Stock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Plan) that a number of Rights be exercised so that only whole shares of Preferred Stock will be issued. Capitalized terms used in this Rights Certificate without definition will have the meanings ascribed to them in the Plan.</w:t>
      </w:r>
    </w:p>
    <w:p>
      <w:pPr>
        <w:spacing w:after="0" w:line="19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Upon the occurrence of a Section 11(a)(ii) Event, if the Rights evidenced by this Rights Certificate are beneficially owned by an Acquiring Person, an Affiliate or Associate of an Acquiring Person, a Post-Event Transferee, a Pre-Event Transferee, a Subsequent Transferee or any nominee of any of the foregoing, such Rights will become null and void and no holder hereof will have any right with respect to such Rights from and after the occurrence of such Section 11(a)(ii)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left="360" w:right="3060" w:hanging="352"/>
        <w:spacing w:after="0" w:line="828" w:lineRule="auto"/>
        <w:tabs>
          <w:tab w:leader="none" w:pos="105" w:val="left"/>
        </w:tabs>
        <w:numPr>
          <w:ilvl w:val="0"/>
          <w:numId w:val="1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portion of the legend in brackets is to be inserted only if applicable and will replace the preceding sentence.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spacing w:after="0" w:line="19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This Rights Certificate is subject to all of the terms, provisions and conditions of the Plan, which terms, provisions and conditions are incorporated by reference and made a part of this Rights Certificate and to which reference is made for a full description of the rights, limitations of rights, obligations, duties and immunities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Plan, the Rights evidenced by this Rights Certificate may be redeemed by the Company, at its option, at a redemption price of $0.001 per Right at any time prior to the earlier of (i) the Distribution Date or (ii) the Close of Business on the Final Expiration Date. In addition, under certain circumstances after any Person becomes an Acquiring Person, the Rights may be exchanged, in whole or in part, for Common Stock,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Stock (or cash or other securities or assets of the Company) issuable upon such exchange.</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share of Preferred Stock as the Rights evidenced by the Rights Certificate or Rights Certificates surrendered will have entitled such holder to purchase. If this Rights Certificate is exercised in part, then the holder will be entitled to receive upon surrender hereof another Rights Certificate or Rights Certificates for the number of whole Rights not exercised.</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No fractions of shares of Preferred Stock (other than fractions that are integral multiples of one one-thousandth of a share of Preferred Stock, which may, at the election of the Company, be evidenced by depositary receipts) will be issued upon the exercise of any Right. In lieu thereof, a cash payment will be made as provided in the Plan. The Company, at its election, may require that a number of Rights be exercised so that only whole shares of Preferred Stock would be issued.</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No holder of this Rights Certificate, as such, will be entitled to vote or receive dividends or be deemed for any purpose the holder of the number of one one-thousandths of a share of Preferred Stock or any other securities of the Company that may at any time be issuable on the exercise or exchange hereof, nor will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will have been exercised or exchange in accordance with the Plan.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Rights Certificate will not be valid or obligatory for any purpose until it has been countersigned by the Rights Agent.</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WITNESS the signature of the proper officers of the Company and its 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_______________, 20[●].</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4" w:lineRule="exact"/>
        <w:rPr>
          <w:sz w:val="20"/>
          <w:szCs w:val="20"/>
          <w:color w:val="auto"/>
        </w:rPr>
      </w:pPr>
    </w:p>
    <w:p>
      <w:pPr>
        <w:sectPr>
          <w:pgSz w:w="11900" w:h="16838" w:orient="portrait"/>
          <w:cols w:equalWidth="0" w:num="2">
            <w:col w:w="720" w:space="720"/>
            <w:col w:w="8699"/>
          </w:cols>
          <w:pgMar w:left="320" w:top="1440" w:right="1440" w:bottom="1440" w:gutter="0" w:footer="0" w:header="0"/>
          <w:type w:val="continuous"/>
        </w:sectPr>
      </w:pPr>
    </w:p>
    <w:p>
      <w:pPr>
        <w:spacing w:after="0" w:line="24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2286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-7620</wp:posOffset>
            </wp:positionV>
            <wp:extent cx="2286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60325</wp:posOffset>
            </wp:positionV>
            <wp:extent cx="3111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29" w:name="page130"/>
    <w:bookmarkEnd w:id="12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of Reverse Side of Rights Certificate]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holder desires to transfer the Rights Certificate.)</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VALUE RECEIVED _____________________ sells, assigns and transfers unto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______________________________________________________________________________</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Rights Certificate, together with all right, title and interest therein, and irrevocably constitutes and appoints ______________________________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 to transfer this Rights Certificate on the books of the Company, with full power of substitution.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403225</wp:posOffset>
            </wp:positionV>
            <wp:extent cx="4572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130" w:name="page131"/>
    <w:bookmarkEnd w:id="13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undersigned certifies, for the benefit of the Company and all holders of Rights and Common Stock, by checking the appropriate boxes that:</w:t>
      </w:r>
    </w:p>
    <w:p>
      <w:pPr>
        <w:spacing w:after="0" w:line="225" w:lineRule="exact"/>
        <w:rPr>
          <w:sz w:val="20"/>
          <w:szCs w:val="20"/>
          <w:color w:val="auto"/>
        </w:rPr>
      </w:pPr>
    </w:p>
    <w:p>
      <w:pPr>
        <w:ind w:left="1120" w:hanging="363"/>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are not Beneficially Owned and</w:t>
      </w:r>
    </w:p>
    <w:p>
      <w:pPr>
        <w:spacing w:after="0" w:line="225" w:lineRule="exact"/>
        <w:rPr>
          <w:rFonts w:ascii="Times New Roman" w:cs="Times New Roman" w:eastAsia="Times New Roman" w:hAnsi="Times New Roman"/>
          <w:sz w:val="18"/>
          <w:szCs w:val="18"/>
          <w:color w:val="auto"/>
        </w:rPr>
      </w:pPr>
    </w:p>
    <w:p>
      <w:pPr>
        <w:ind w:left="1800" w:hanging="250"/>
        <w:spacing w:after="0"/>
        <w:tabs>
          <w:tab w:leader="none" w:pos="1800" w:val="left"/>
        </w:tabs>
        <w:numPr>
          <w:ilvl w:val="1"/>
          <w:numId w:val="1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w:t>
      </w:r>
    </w:p>
    <w:p>
      <w:pPr>
        <w:spacing w:after="0" w:line="117" w:lineRule="exact"/>
        <w:rPr>
          <w:rFonts w:ascii="MS PGothic" w:cs="MS PGothic" w:eastAsia="MS PGothic" w:hAnsi="MS PGothic"/>
          <w:sz w:val="18"/>
          <w:szCs w:val="18"/>
          <w:color w:val="auto"/>
        </w:rPr>
      </w:pPr>
    </w:p>
    <w:p>
      <w:pPr>
        <w:ind w:left="1800" w:hanging="250"/>
        <w:spacing w:after="0"/>
        <w:tabs>
          <w:tab w:leader="none" w:pos="1800" w:val="left"/>
        </w:tabs>
        <w:numPr>
          <w:ilvl w:val="1"/>
          <w:numId w:val="1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 not</w:t>
      </w:r>
    </w:p>
    <w:p>
      <w:pPr>
        <w:spacing w:after="0" w:line="225" w:lineRule="exact"/>
        <w:rPr>
          <w:sz w:val="20"/>
          <w:szCs w:val="20"/>
          <w:color w:val="auto"/>
        </w:rPr>
      </w:pPr>
    </w:p>
    <w:p>
      <w:pPr>
        <w:ind w:left="1500"/>
        <w:spacing w:after="0" w:line="266" w:lineRule="auto"/>
        <w:rPr>
          <w:sz w:val="20"/>
          <w:szCs w:val="20"/>
          <w:color w:val="auto"/>
        </w:rPr>
      </w:pPr>
      <w:r>
        <w:rPr>
          <w:rFonts w:ascii="Times New Roman" w:cs="Times New Roman" w:eastAsia="Times New Roman" w:hAnsi="Times New Roman"/>
          <w:sz w:val="18"/>
          <w:szCs w:val="18"/>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176" w:lineRule="exact"/>
        <w:rPr>
          <w:sz w:val="20"/>
          <w:szCs w:val="20"/>
          <w:color w:val="auto"/>
        </w:rPr>
      </w:pPr>
    </w:p>
    <w:p>
      <w:pPr>
        <w:ind w:left="1120" w:hanging="363"/>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it</w:t>
      </w:r>
    </w:p>
    <w:p>
      <w:pPr>
        <w:spacing w:after="0" w:line="225" w:lineRule="exact"/>
        <w:rPr>
          <w:rFonts w:ascii="Times New Roman" w:cs="Times New Roman" w:eastAsia="Times New Roman" w:hAnsi="Times New Roman"/>
          <w:sz w:val="18"/>
          <w:szCs w:val="18"/>
          <w:color w:val="auto"/>
        </w:rPr>
      </w:pPr>
    </w:p>
    <w:p>
      <w:pPr>
        <w:ind w:left="1800" w:hanging="250"/>
        <w:spacing w:after="0"/>
        <w:tabs>
          <w:tab w:leader="none" w:pos="1800" w:val="left"/>
        </w:tabs>
        <w:numPr>
          <w:ilvl w:val="1"/>
          <w:numId w:val="1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w:t>
      </w:r>
    </w:p>
    <w:p>
      <w:pPr>
        <w:spacing w:after="0" w:line="117" w:lineRule="exact"/>
        <w:rPr>
          <w:rFonts w:ascii="MS PGothic" w:cs="MS PGothic" w:eastAsia="MS PGothic" w:hAnsi="MS PGothic"/>
          <w:sz w:val="18"/>
          <w:szCs w:val="18"/>
          <w:color w:val="auto"/>
        </w:rPr>
      </w:pPr>
    </w:p>
    <w:p>
      <w:pPr>
        <w:ind w:left="1800" w:hanging="250"/>
        <w:spacing w:after="0"/>
        <w:tabs>
          <w:tab w:leader="none" w:pos="1800" w:val="left"/>
        </w:tabs>
        <w:numPr>
          <w:ilvl w:val="1"/>
          <w:numId w:val="1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 not</w:t>
      </w:r>
    </w:p>
    <w:p>
      <w:pPr>
        <w:spacing w:after="0" w:line="225" w:lineRule="exact"/>
        <w:rPr>
          <w:sz w:val="20"/>
          <w:szCs w:val="20"/>
          <w:color w:val="auto"/>
        </w:rPr>
      </w:pPr>
    </w:p>
    <w:p>
      <w:pPr>
        <w:ind w:left="1500"/>
        <w:spacing w:after="0" w:line="266" w:lineRule="auto"/>
        <w:rPr>
          <w:sz w:val="20"/>
          <w:szCs w:val="20"/>
          <w:color w:val="auto"/>
        </w:rPr>
      </w:pPr>
      <w:r>
        <w:rPr>
          <w:rFonts w:ascii="Times New Roman" w:cs="Times New Roman" w:eastAsia="Times New Roman" w:hAnsi="Times New Roman"/>
          <w:sz w:val="18"/>
          <w:szCs w:val="18"/>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403225</wp:posOffset>
            </wp:positionV>
            <wp:extent cx="4572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131" w:name="page132"/>
    <w:bookmarkEnd w:id="131"/>
    <w:p>
      <w:pPr>
        <w:ind w:left="3460"/>
        <w:spacing w:after="0"/>
        <w:rPr>
          <w:sz w:val="20"/>
          <w:szCs w:val="20"/>
          <w:color w:val="auto"/>
        </w:rPr>
      </w:pPr>
      <w:r>
        <w:rPr>
          <w:rFonts w:ascii="Times New Roman" w:cs="Times New Roman" w:eastAsia="Times New Roman" w:hAnsi="Times New Roman"/>
          <w:sz w:val="18"/>
          <w:szCs w:val="18"/>
          <w:b w:val="1"/>
          <w:bCs w:val="1"/>
          <w:color w:val="auto"/>
        </w:rPr>
        <w:t>[Form of Reverse Side of Rights Certificate – continued]</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FORM OF ELECTION TO PURCHASE</w:t>
      </w:r>
    </w:p>
    <w:p>
      <w:pPr>
        <w:spacing w:after="0" w:line="1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exercise Rights represented by the Rights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Seer, Inc.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undersigned irrevocably elects to exercise _________________________ Rights represented by this Rights Certificate to purchase the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number of one one-thousandths of a share of Preferred Stock (or such other securities of the Company or of any other Person that may be issuable upon the exercise of the Rights) issuable upon the exercise of such Rights and requests that certificates for such shares be issued in the name of and delivered 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-7620</wp:posOffset>
            </wp:positionV>
            <wp:extent cx="1276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2286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number of Rights is not all of the Rights evidenced by this Rights Certificate, a new Rights Certificate for the balance remaining of such Rights will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-7620</wp:posOffset>
            </wp:positionV>
            <wp:extent cx="1276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2286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403225</wp:posOffset>
            </wp:positionV>
            <wp:extent cx="4572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32" w:name="page133"/>
    <w:bookmarkEnd w:id="1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undersigned certifies, for the benefit of the Company and all holders of Rights and Common Stock, by checking the appropriate boxes that:</w:t>
      </w:r>
    </w:p>
    <w:p>
      <w:pPr>
        <w:spacing w:after="0" w:line="225" w:lineRule="exact"/>
        <w:rPr>
          <w:sz w:val="20"/>
          <w:szCs w:val="20"/>
          <w:color w:val="auto"/>
        </w:rPr>
      </w:pPr>
    </w:p>
    <w:p>
      <w:pPr>
        <w:ind w:left="1120" w:hanging="363"/>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are not Beneficially Owned and</w:t>
      </w:r>
    </w:p>
    <w:p>
      <w:pPr>
        <w:spacing w:after="0" w:line="225" w:lineRule="exact"/>
        <w:rPr>
          <w:rFonts w:ascii="Times New Roman" w:cs="Times New Roman" w:eastAsia="Times New Roman" w:hAnsi="Times New Roman"/>
          <w:sz w:val="18"/>
          <w:szCs w:val="18"/>
          <w:color w:val="auto"/>
        </w:rPr>
      </w:pPr>
    </w:p>
    <w:p>
      <w:pPr>
        <w:ind w:left="1800" w:hanging="250"/>
        <w:spacing w:after="0"/>
        <w:tabs>
          <w:tab w:leader="none" w:pos="1800" w:val="left"/>
        </w:tabs>
        <w:numPr>
          <w:ilvl w:val="1"/>
          <w:numId w:val="1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w:t>
      </w:r>
    </w:p>
    <w:p>
      <w:pPr>
        <w:spacing w:after="0" w:line="117" w:lineRule="exact"/>
        <w:rPr>
          <w:rFonts w:ascii="MS PGothic" w:cs="MS PGothic" w:eastAsia="MS PGothic" w:hAnsi="MS PGothic"/>
          <w:sz w:val="18"/>
          <w:szCs w:val="18"/>
          <w:color w:val="auto"/>
        </w:rPr>
      </w:pPr>
    </w:p>
    <w:p>
      <w:pPr>
        <w:ind w:left="1800" w:hanging="250"/>
        <w:spacing w:after="0"/>
        <w:tabs>
          <w:tab w:leader="none" w:pos="1800" w:val="left"/>
        </w:tabs>
        <w:numPr>
          <w:ilvl w:val="1"/>
          <w:numId w:val="1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 not</w:t>
      </w:r>
    </w:p>
    <w:p>
      <w:pPr>
        <w:spacing w:after="0" w:line="225" w:lineRule="exact"/>
        <w:rPr>
          <w:sz w:val="20"/>
          <w:szCs w:val="20"/>
          <w:color w:val="auto"/>
        </w:rPr>
      </w:pPr>
    </w:p>
    <w:p>
      <w:pPr>
        <w:ind w:left="1500"/>
        <w:spacing w:after="0" w:line="266" w:lineRule="auto"/>
        <w:rPr>
          <w:sz w:val="20"/>
          <w:szCs w:val="20"/>
          <w:color w:val="auto"/>
        </w:rPr>
      </w:pPr>
      <w:r>
        <w:rPr>
          <w:rFonts w:ascii="Times New Roman" w:cs="Times New Roman" w:eastAsia="Times New Roman" w:hAnsi="Times New Roman"/>
          <w:sz w:val="18"/>
          <w:szCs w:val="18"/>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176" w:lineRule="exact"/>
        <w:rPr>
          <w:sz w:val="20"/>
          <w:szCs w:val="20"/>
          <w:color w:val="auto"/>
        </w:rPr>
      </w:pPr>
    </w:p>
    <w:p>
      <w:pPr>
        <w:ind w:left="1120" w:hanging="363"/>
        <w:spacing w:after="0"/>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it</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1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w:t>
      </w:r>
    </w:p>
    <w:p>
      <w:pPr>
        <w:spacing w:after="0" w:line="117" w:lineRule="exact"/>
        <w:rPr>
          <w:rFonts w:ascii="MS PGothic" w:cs="MS PGothic" w:eastAsia="MS PGothic" w:hAnsi="MS PGothic"/>
          <w:sz w:val="18"/>
          <w:szCs w:val="18"/>
          <w:color w:val="auto"/>
        </w:rPr>
      </w:pPr>
    </w:p>
    <w:p>
      <w:pPr>
        <w:ind w:left="1760" w:hanging="255"/>
        <w:spacing w:after="0"/>
        <w:tabs>
          <w:tab w:leader="none" w:pos="1760" w:val="left"/>
        </w:tabs>
        <w:numPr>
          <w:ilvl w:val="1"/>
          <w:numId w:val="1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 not</w:t>
      </w:r>
    </w:p>
    <w:p>
      <w:pPr>
        <w:spacing w:after="0" w:line="225" w:lineRule="exact"/>
        <w:rPr>
          <w:sz w:val="20"/>
          <w:szCs w:val="20"/>
          <w:color w:val="auto"/>
        </w:rPr>
      </w:pPr>
    </w:p>
    <w:p>
      <w:pPr>
        <w:ind w:left="1500"/>
        <w:spacing w:after="0" w:line="266" w:lineRule="auto"/>
        <w:rPr>
          <w:sz w:val="20"/>
          <w:szCs w:val="20"/>
          <w:color w:val="auto"/>
        </w:rPr>
      </w:pPr>
      <w:r>
        <w:rPr>
          <w:rFonts w:ascii="Times New Roman" w:cs="Times New Roman" w:eastAsia="Times New Roman" w:hAnsi="Times New Roman"/>
          <w:sz w:val="18"/>
          <w:szCs w:val="18"/>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403225</wp:posOffset>
            </wp:positionV>
            <wp:extent cx="4572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133" w:name="page134"/>
    <w:bookmarkEnd w:id="1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Reverse Side of Rights Certificate –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Forms of Assignment and Election to Purchase, as the case may be, must conform to the name as written upon the face of this Rights Certificate in every particular, without alteration or enlargement or any change whatsoever.</w:t>
      </w:r>
    </w:p>
    <w:p>
      <w:pPr>
        <w:spacing w:after="0" w:line="15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IF THE CERTIFICATIONS SET FORTH IN THE FOREGOING FORMS OF ASSIGNMENT AND ELECTION TO PURCHASE, AS THE CASE MAY BE, ARE NOT COMPLETED, THEN THE COMPANY AND THE RIGHTS AGENT WILL DEEM THE BENEFICIAL OWNER OF THE RIGHTS EVIDENCED BY THIS RIGHTS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RIGHTS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3"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As of February 26, 2026,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Seer,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authorized and declared a dividend distribution of one right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for each outstanding share of Class A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to stockholders of record as of the close of business on March 9,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Each Right entitles the registered holder to purchase from the Company one one-thousandth of a share of Series A Participating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Company at an exercise price of $11.00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subject to adjustment. The complete terms of the Rights are set forth in a Tax Benefit Preservation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dated as of February 26, 2026, between the Company and Computershare Trust Company, N.A., as rights agent.</w:t>
      </w:r>
    </w:p>
    <w:p>
      <w:pPr>
        <w:spacing w:after="0" w:line="186"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By adopting the Plan, the Board is seeking to protect the Company’s ability to use its net operating losses and other tax attributes (collectively, “</w:t>
      </w:r>
      <w:r>
        <w:rPr>
          <w:rFonts w:ascii="Times New Roman" w:cs="Times New Roman" w:eastAsia="Times New Roman" w:hAnsi="Times New Roman"/>
          <w:sz w:val="18"/>
          <w:szCs w:val="18"/>
          <w:b w:val="1"/>
          <w:bCs w:val="1"/>
          <w:color w:val="auto"/>
        </w:rPr>
        <w:t>Tax Benefits</w:t>
      </w:r>
      <w:r>
        <w:rPr>
          <w:rFonts w:ascii="Times New Roman" w:cs="Times New Roman" w:eastAsia="Times New Roman" w:hAnsi="Times New Roman"/>
          <w:sz w:val="18"/>
          <w:szCs w:val="18"/>
          <w:color w:val="auto"/>
        </w:rPr>
        <w:t>”). The Company views its Tax Benefits as highly valuable assets of the Company that are likely to inure to the benefit of the Company and its stockholders. However, if the Company experiences an “ownership change,” as defined in Section 382 of the Internal Revenue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 percent or more of the outstanding Common Stock by any person without the approval of the Board. This would protect the Tax Benefits because changes in ownership by a person owning less than 4.9 percent of the Common Stock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For those interested in the specific terms of the Plan, the following is a summary description. Please note, however, that this description is only a summary and is not complete, and should be read together with the entire Plan, which has been filed by the Company with the United States Securities and Exchange Commission as an exhibit to a Registration Statement on Form 8-A and a Current Report on Form 8-K. A copy of the Plan is available free of charge from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Distribution and Transfer of</w:t>
            </w:r>
          </w:p>
        </w:tc>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Board has declared a dividend of one Right for each outstanding share of Common Stock. Prior to the</w:t>
            </w:r>
          </w:p>
        </w:tc>
        <w:tc>
          <w:tcPr>
            <w:tcW w:w="0" w:type="dxa"/>
            <w:vAlign w:val="bottom"/>
          </w:tcPr>
          <w:p>
            <w:pPr>
              <w:spacing w:after="0"/>
              <w:rPr>
                <w:sz w:val="1"/>
                <w:szCs w:val="1"/>
                <w:color w:val="auto"/>
              </w:rPr>
            </w:pPr>
          </w:p>
        </w:tc>
      </w:tr>
      <w:tr>
        <w:trPr>
          <w:trHeight w:val="238"/>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Rights; Rights Certificates:</w:t>
            </w:r>
          </w:p>
        </w:tc>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Distribution Date referred to below:</w:t>
            </w:r>
          </w:p>
        </w:tc>
        <w:tc>
          <w:tcPr>
            <w:tcW w:w="0" w:type="dxa"/>
            <w:vAlign w:val="bottom"/>
          </w:tcPr>
          <w:p>
            <w:pPr>
              <w:spacing w:after="0"/>
              <w:rPr>
                <w:sz w:val="1"/>
                <w:szCs w:val="1"/>
                <w:color w:val="auto"/>
              </w:rPr>
            </w:pPr>
          </w:p>
        </w:tc>
      </w:tr>
      <w:tr>
        <w:trPr>
          <w:trHeight w:val="427"/>
        </w:trPr>
        <w:tc>
          <w:tcPr>
            <w:tcW w:w="2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Rights will be evidenced by and trade with the certificates for the Common Stock (or, with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 to any uncertificated Common Stock registered in book entry form, by notation in book entry),</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20" w:type="dxa"/>
            <w:vAlign w:val="bottom"/>
            <w:vMerge w:val="restart"/>
          </w:tcPr>
          <w:p>
            <w:pPr>
              <w:spacing w:after="0"/>
              <w:rPr>
                <w:sz w:val="19"/>
                <w:szCs w:val="19"/>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no separate rights certificates will be distributed;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new Common Stock certificates issued after the Record Date will contain a legend incorporating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Plan by reference (for uncertificated Common Stock registered in book entry form, this legend will</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820" w:type="dxa"/>
            <w:vAlign w:val="bottom"/>
            <w:vMerge w:val="restart"/>
          </w:tcPr>
          <w:p>
            <w:pPr>
              <w:spacing w:after="0"/>
              <w:rPr>
                <w:sz w:val="19"/>
                <w:szCs w:val="19"/>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contained in a notation in book entry); and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surrender for transfer of any certificates for Common Stock (or the surrender for transfer of</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uncertificated Common Stock registered in book entry form) will also constitute the transfer of the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associated with such Common Stock.</w:t>
            </w:r>
          </w:p>
        </w:tc>
        <w:tc>
          <w:tcPr>
            <w:tcW w:w="0" w:type="dxa"/>
            <w:vAlign w:val="bottom"/>
          </w:tcPr>
          <w:p>
            <w:pPr>
              <w:spacing w:after="0"/>
              <w:rPr>
                <w:sz w:val="1"/>
                <w:szCs w:val="1"/>
                <w:color w:val="auto"/>
              </w:rPr>
            </w:pPr>
          </w:p>
        </w:tc>
      </w:tr>
      <w:tr>
        <w:trPr>
          <w:trHeight w:val="648"/>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C-1</w:t>
            </w:r>
          </w:p>
        </w:tc>
        <w:tc>
          <w:tcPr>
            <w:tcW w:w="8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5" w:name="page136"/>
    <w:bookmarkEnd w:id="135"/>
    <w:p>
      <w:pPr>
        <w:spacing w:after="0" w:line="19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Rights will accompany any new shares of Common Stock that are issued after the Record Date.</w:t>
      </w:r>
    </w:p>
    <w:p>
      <w:pPr>
        <w:sectPr>
          <w:pgSz w:w="11900" w:h="16838" w:orient="portrait"/>
          <w:cols w:equalWidth="0" w:num="1">
            <w:col w:w="11040"/>
          </w:cols>
          <w:pgMar w:left="420" w:top="1440" w:right="4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certain exceptions specified in the Plan, the Rights will separate from the Common Stock and become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following (1) the 10th business day (or such later date as may be determined by the Board)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announcement that a person or group of affiliated or associated persons (such person or group,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has acquired beneficial ownership of 4.9 percent or more of the Common Stock or (2)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business day (or such later date as may be determined by the Board) after a person or group announces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or exchange offer that would result in ownership by a person or group of 4.9 percent or more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For purposes of the Plan, beneficial ownership is defined to include the ownership of derivative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well as ownership of securities pursuant to Section 382 of the Code.</w:t>
      </w:r>
    </w:p>
    <w:p>
      <w:pPr>
        <w:spacing w:after="0" w:line="200" w:lineRule="exact"/>
        <w:rPr>
          <w:sz w:val="20"/>
          <w:szCs w:val="20"/>
          <w:color w:val="auto"/>
        </w:rPr>
      </w:pPr>
    </w:p>
    <w:p>
      <w:pPr>
        <w:sectPr>
          <w:pgSz w:w="11900" w:h="16838" w:orient="portrait"/>
          <w:cols w:equalWidth="0" w:num="2">
            <w:col w:w="2220" w:space="720"/>
            <w:col w:w="8100"/>
          </w:cols>
          <w:pgMar w:left="420" w:top="1440" w:right="439" w:bottom="1440" w:gutter="0" w:footer="0" w:header="0"/>
          <w:type w:val="continuous"/>
        </w:sectPr>
      </w:pPr>
    </w:p>
    <w:p>
      <w:pPr>
        <w:spacing w:after="0" w:line="7" w:lineRule="exact"/>
        <w:rPr>
          <w:sz w:val="20"/>
          <w:szCs w:val="20"/>
          <w:color w:val="auto"/>
        </w:rPr>
      </w:pPr>
    </w:p>
    <w:p>
      <w:pPr>
        <w:ind w:left="2940" w:right="340"/>
        <w:spacing w:after="0" w:line="282" w:lineRule="auto"/>
        <w:rPr>
          <w:sz w:val="20"/>
          <w:szCs w:val="20"/>
          <w:color w:val="auto"/>
        </w:rPr>
      </w:pPr>
      <w:r>
        <w:rPr>
          <w:rFonts w:ascii="Times New Roman" w:cs="Times New Roman" w:eastAsia="Times New Roman" w:hAnsi="Times New Roman"/>
          <w:sz w:val="18"/>
          <w:szCs w:val="18"/>
          <w:color w:val="auto"/>
        </w:rPr>
        <w:t>The date on which the Rights separate from the Common Stock and become exercisable is referred to as the “</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940" w:right="140"/>
        <w:spacing w:after="0" w:line="266" w:lineRule="auto"/>
        <w:rPr>
          <w:sz w:val="20"/>
          <w:szCs w:val="20"/>
          <w:color w:val="auto"/>
        </w:rPr>
      </w:pPr>
      <w:r>
        <w:rPr>
          <w:rFonts w:ascii="Times New Roman" w:cs="Times New Roman" w:eastAsia="Times New Roman" w:hAnsi="Times New Roman"/>
          <w:sz w:val="18"/>
          <w:szCs w:val="18"/>
          <w:color w:val="auto"/>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sectPr>
          <w:pgSz w:w="11900" w:h="16838" w:orient="portrait"/>
          <w:cols w:equalWidth="0" w:num="1">
            <w:col w:w="11040"/>
          </w:cols>
          <w:pgMar w:left="420" w:top="1440" w:right="439" w:bottom="1440" w:gutter="0" w:footer="0" w:header="0"/>
          <w:type w:val="continuous"/>
        </w:sectPr>
      </w:pPr>
    </w:p>
    <w:p>
      <w:pPr>
        <w:spacing w:after="0" w:line="172"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Preferred Stock Purchasable Upon</w:t>
      </w:r>
      <w:r>
        <w:rPr>
          <w:sz w:val="20"/>
          <w:szCs w:val="20"/>
          <w:color w:val="auto"/>
        </w:rPr>
        <w:tab/>
      </w:r>
      <w:r>
        <w:rPr>
          <w:rFonts w:ascii="Times New Roman" w:cs="Times New Roman" w:eastAsia="Times New Roman" w:hAnsi="Times New Roman"/>
          <w:sz w:val="17"/>
          <w:szCs w:val="17"/>
          <w:color w:val="auto"/>
        </w:rPr>
        <w:t>After the Distribution Date, each Right will entitle the holder to purchase, for the Exercise Price, one one-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Rights:</w:t>
            </w: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thousandth of a share of Preferred Stock having economic and other terms similar to that of one share of</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Common Stock. This portion of a share of Preferred Stock is intended to give the stockholder approximately the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same dividend, voting and liquidation rights as would one share of Common Stock, and should approximate the</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value of one share of Common Stock.</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More specifically, each one one-thousandth of a share of Preferred Stock, if issued, will:</w:t>
            </w:r>
          </w:p>
        </w:tc>
        <w:tc>
          <w:tcPr>
            <w:tcW w:w="0" w:type="dxa"/>
            <w:vAlign w:val="bottom"/>
          </w:tcPr>
          <w:p>
            <w:pPr>
              <w:spacing w:after="0"/>
              <w:rPr>
                <w:sz w:val="1"/>
                <w:szCs w:val="1"/>
                <w:color w:val="auto"/>
              </w:rPr>
            </w:pPr>
          </w:p>
        </w:tc>
      </w:tr>
      <w:tr>
        <w:trPr>
          <w:trHeight w:val="440"/>
        </w:trPr>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 be redeemable;</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entitle holders to quarterly dividend payments of $0.001 per one one-thousandth of a share of</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or an amount equal to the dividend paid on one share of Common Stock, whichever is</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1220" w:type="dxa"/>
            <w:vAlign w:val="bottom"/>
            <w:vMerge w:val="restart"/>
          </w:tcPr>
          <w:p>
            <w:pPr>
              <w:spacing w:after="0"/>
              <w:rPr>
                <w:sz w:val="19"/>
                <w:szCs w:val="19"/>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greater;</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entitle holders upon liquidation either to receive $1 per one one-thousandth of a share of</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or an amount equal to the payment made on one share of Common Stock, whichever is</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1220" w:type="dxa"/>
            <w:vAlign w:val="bottom"/>
            <w:vMerge w:val="restart"/>
          </w:tcPr>
          <w:p>
            <w:pPr>
              <w:spacing w:after="0"/>
              <w:rPr>
                <w:sz w:val="19"/>
                <w:szCs w:val="19"/>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greater;</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have the same voting power as one share of Common Stock; and</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entitle holders to a payment per one one-thousandth of a share of Preferred Stock equal to the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made on one share of Common Stock if the Common Stock is exchanged via merger,</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consolidation or a similar transaction.</w:t>
            </w: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Flip-In Trigger:</w:t>
            </w: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If an Acquiring Person obtains beneficial ownership of 4.9 percent or more of the Common Stock,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each</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8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Right will entitle the holder thereof to purchase, for the Exercise Price, a number of shares of Common Stock</w:t>
            </w:r>
          </w:p>
        </w:tc>
        <w:tc>
          <w:tcPr>
            <w:tcW w:w="0" w:type="dxa"/>
            <w:vAlign w:val="bottom"/>
          </w:tcPr>
          <w:p>
            <w:pPr>
              <w:spacing w:after="0"/>
              <w:rPr>
                <w:sz w:val="1"/>
                <w:szCs w:val="1"/>
                <w:color w:val="auto"/>
              </w:rPr>
            </w:pPr>
          </w:p>
        </w:tc>
      </w:tr>
    </w:tbl>
    <w:p>
      <w:pPr>
        <w:ind w:left="2940" w:right="240"/>
        <w:spacing w:after="0" w:line="253" w:lineRule="auto"/>
        <w:rPr>
          <w:sz w:val="20"/>
          <w:szCs w:val="20"/>
          <w:color w:val="auto"/>
        </w:rPr>
      </w:pPr>
      <w:r>
        <w:rPr>
          <w:rFonts w:ascii="Times New Roman" w:cs="Times New Roman" w:eastAsia="Times New Roman" w:hAnsi="Times New Roman"/>
          <w:sz w:val="18"/>
          <w:szCs w:val="18"/>
          <w:color w:val="auto"/>
        </w:rPr>
        <w:t>(or,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type w:val="continuous"/>
        </w:sectPr>
      </w:pPr>
    </w:p>
    <w:bookmarkStart w:id="136" w:name="page137"/>
    <w:bookmarkEnd w:id="136"/>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Following the occurrence of an event set forth in preceding paragraph, all Rights that are or, under certain</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circumstances specified in the Plan, were beneficially owned by an Acquiring Person or certain of its transferees</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will be void.</w:t>
            </w:r>
          </w:p>
        </w:tc>
      </w:tr>
      <w:tr>
        <w:trPr>
          <w:trHeight w:val="414"/>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Flip-Over Trigger:</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after an Acquiring Person obtains 4.9 percent or more of the Common Stock, (1) the Company merges into</w:t>
            </w:r>
          </w:p>
        </w:tc>
      </w:tr>
      <w:tr>
        <w:trPr>
          <w:trHeight w:val="214"/>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another entity, (2) an acquiring entity merges into the Company or (3) the Company sells or transfers 50 percent</w:t>
            </w:r>
          </w:p>
        </w:tc>
      </w:tr>
      <w:tr>
        <w:trPr>
          <w:trHeight w:val="218"/>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or more of its assets, cash flow or earning power,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each Right (except for Rights that have previously been</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voided as set forth above) will entitle the holder thereof to purchase, for the Exercise Price, a number of shares</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common stock of the person engaging in the transaction having a then-current market value of twice the</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414"/>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Redemption of the Rights:</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Rights will be redeemable at the Company’s option for $0.001 per Right (payable in cash, Common Stock</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other consideration deemed appropriate by the Board) at any time on or prior to the 10th business day (or</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 later date as may be determined by the Board) after the public announcement that an Acquiring Person has</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beneficial ownership of 4.9 percent or more of the Common Stock. Immediately upon the action of the</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ordering redemption, the Rights will terminate and the only right of the holders of the Rights will be to</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 the $0.001 redemption price. The redemption price will be adjusted if the Company undertakes a stock</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or a stock split.</w:t>
            </w:r>
          </w:p>
        </w:tc>
      </w:tr>
      <w:tr>
        <w:trPr>
          <w:trHeight w:val="414"/>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Exchange Provision:</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any time after the date on which an Acquiring Person beneficially owns 4.9 percent or more of the Common</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and prior to the acquisition by the Acquiring Person of 50 percent of the Common Stock, the Board may</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the Rights (except for Rights that have previously been voided as set forth above), in whole or in part,</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Common Stock at an exchange ratio of one share of Common Stock per Right (subject to adjustment). In</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circumstances, the Company may elect to exchange the Rights for cash or other securities of the</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having a value approximately equal to one share of Common Stock.</w:t>
            </w:r>
          </w:p>
        </w:tc>
      </w:tr>
      <w:tr>
        <w:trPr>
          <w:trHeight w:val="414"/>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Expiration of the Rights:</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Rights expire on the earliest of (1) 5:00 p.m., New York City time, on February 25, 2029 (unless such date</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 extended); (2) the redemption or exchange of the Rights as described above; (3) 5:00 p.m., New York City</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on February 25, 2027, if the Company’s stockholders do not ratify the Plan; or (4) when the Board, its sole</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discretion, determines that (a) the Plan is no longer necessary or desirable for the preservation of the Tax</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(b) the Tax Benefits are fully utilized or no longer available pursuant to Section 382 or Section 383 of</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Code, (c) no Tax Benefits may be carried forward or (d) the Plan and the Rights are no longer in the best</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 of the Company and its stockholders.</w:t>
            </w:r>
          </w:p>
        </w:tc>
      </w:tr>
      <w:tr>
        <w:trPr>
          <w:trHeight w:val="410"/>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Amendment of Terms of the Plan</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terms of the Rights and the Plan may be amended in any respect without the consent of the holders of the</w:t>
            </w:r>
          </w:p>
        </w:tc>
      </w:tr>
      <w:tr>
        <w:trPr>
          <w:trHeight w:val="220"/>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on or prior to the Distribution Date. Thereafter, the terms of the Rights and the Plan may be amended</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without the consent of the holders of Rights in order to (1) cure any ambiguities, (2) shorten or lengthen any</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period pursuant to the Plan or (3) make changes that do not adversely affect the interests of holders of the</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w:t>
            </w:r>
          </w:p>
        </w:tc>
      </w:tr>
      <w:tr>
        <w:trPr>
          <w:trHeight w:val="410"/>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Voting Rights; Other Stockholder</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Rights will not have any voting rights. Until a Right is exercised, the holder thereof, as such, will have no</w:t>
            </w:r>
          </w:p>
        </w:tc>
      </w:tr>
      <w:tr>
        <w:trPr>
          <w:trHeight w:val="238"/>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 rights as stockholder of the Company.</w:t>
            </w:r>
          </w:p>
        </w:tc>
      </w:tr>
      <w:tr>
        <w:trPr>
          <w:trHeight w:val="414"/>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Anti-Dilution Provisions:</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may adjust the Exercise Price, the number of shares of Preferred Stock issuable and the number of</w:t>
            </w:r>
          </w:p>
        </w:tc>
      </w:tr>
      <w:tr>
        <w:trPr>
          <w:trHeight w:val="216"/>
        </w:trPr>
        <w:tc>
          <w:tcPr>
            <w:tcW w:w="288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Rights to prevent dilution that may occur from a stock dividend, a stock split or a reclassification of</w:t>
            </w:r>
          </w:p>
        </w:tc>
      </w:tr>
      <w:tr>
        <w:trPr>
          <w:trHeight w:val="234"/>
        </w:trPr>
        <w:tc>
          <w:tcPr>
            <w:tcW w:w="288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Preferred Stock or Common Stock.</w:t>
            </w:r>
          </w:p>
        </w:tc>
      </w:tr>
      <w:tr>
        <w:trPr>
          <w:trHeight w:val="648"/>
        </w:trPr>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C-3</w:t>
            </w:r>
          </w:p>
        </w:tc>
        <w:tc>
          <w:tcPr>
            <w:tcW w:w="8360" w:type="dxa"/>
            <w:vAlign w:val="bottom"/>
          </w:tcPr>
          <w:p>
            <w:pPr>
              <w:spacing w:after="0"/>
              <w:rPr>
                <w:sz w:val="24"/>
                <w:szCs w:val="24"/>
                <w:color w:val="auto"/>
              </w:rPr>
            </w:pPr>
          </w:p>
        </w:tc>
      </w:tr>
      <w:tr>
        <w:trPr>
          <w:trHeight w:val="763"/>
        </w:trPr>
        <w:tc>
          <w:tcPr>
            <w:tcW w:w="28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94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With certain exceptions, no adjustments to the Exercise Price will be made until the cumulative adjustments</w:t>
            </w:r>
          </w:p>
        </w:tc>
      </w:tr>
      <w:tr>
        <w:trPr>
          <w:trHeight w:val="216"/>
        </w:trPr>
        <w:tc>
          <w:tcPr>
            <w:tcW w:w="1840" w:type="dxa"/>
            <w:vAlign w:val="bottom"/>
          </w:tcPr>
          <w:p>
            <w:pPr>
              <w:spacing w:after="0"/>
              <w:rPr>
                <w:sz w:val="18"/>
                <w:szCs w:val="18"/>
                <w:color w:val="auto"/>
              </w:rPr>
            </w:pPr>
          </w:p>
        </w:tc>
        <w:tc>
          <w:tcPr>
            <w:tcW w:w="94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amount to at least one percent of the Exercise Price. No fractional shares of Preferred Stock will be issued and,</w:t>
            </w:r>
          </w:p>
        </w:tc>
      </w:tr>
      <w:tr>
        <w:trPr>
          <w:trHeight w:val="234"/>
        </w:trPr>
        <w:tc>
          <w:tcPr>
            <w:tcW w:w="1840" w:type="dxa"/>
            <w:vAlign w:val="bottom"/>
          </w:tcPr>
          <w:p>
            <w:pPr>
              <w:spacing w:after="0"/>
              <w:rPr>
                <w:sz w:val="20"/>
                <w:szCs w:val="20"/>
                <w:color w:val="auto"/>
              </w:rPr>
            </w:pPr>
          </w:p>
        </w:tc>
        <w:tc>
          <w:tcPr>
            <w:tcW w:w="94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 lieu thereof, an adjustment in cash will be made based on the current market price of the Preferred Stock.</w:t>
            </w:r>
          </w:p>
        </w:tc>
      </w:tr>
      <w:tr>
        <w:trPr>
          <w:trHeight w:val="414"/>
        </w:trPr>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94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distribution of Rights should not be taxable for federal income tax purposes. However, following an event</w:t>
            </w:r>
          </w:p>
        </w:tc>
      </w:tr>
      <w:tr>
        <w:trPr>
          <w:trHeight w:val="216"/>
        </w:trPr>
        <w:tc>
          <w:tcPr>
            <w:tcW w:w="1840" w:type="dxa"/>
            <w:vAlign w:val="bottom"/>
          </w:tcPr>
          <w:p>
            <w:pPr>
              <w:spacing w:after="0"/>
              <w:rPr>
                <w:sz w:val="18"/>
                <w:szCs w:val="18"/>
                <w:color w:val="auto"/>
              </w:rPr>
            </w:pPr>
          </w:p>
        </w:tc>
        <w:tc>
          <w:tcPr>
            <w:tcW w:w="94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that renders the Rights exercisable or upon redemption of the Rights, stockholders may recognize taxable</w:t>
            </w:r>
          </w:p>
        </w:tc>
      </w:tr>
      <w:tr>
        <w:trPr>
          <w:trHeight w:val="234"/>
        </w:trPr>
        <w:tc>
          <w:tcPr>
            <w:tcW w:w="1840" w:type="dxa"/>
            <w:vAlign w:val="bottom"/>
          </w:tcPr>
          <w:p>
            <w:pPr>
              <w:spacing w:after="0"/>
              <w:rPr>
                <w:sz w:val="20"/>
                <w:szCs w:val="20"/>
                <w:color w:val="auto"/>
              </w:rPr>
            </w:pPr>
          </w:p>
        </w:tc>
        <w:tc>
          <w:tcPr>
            <w:tcW w:w="94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income.</w:t>
            </w:r>
          </w:p>
        </w:tc>
      </w:tr>
      <w:tr>
        <w:trPr>
          <w:trHeight w:val="648"/>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C-4</w:t>
            </w:r>
          </w:p>
        </w:tc>
        <w:tc>
          <w:tcPr>
            <w:tcW w:w="9400" w:type="dxa"/>
            <w:vAlign w:val="bottom"/>
          </w:tcPr>
          <w:p>
            <w:pPr>
              <w:spacing w:after="0"/>
              <w:rPr>
                <w:sz w:val="24"/>
                <w:szCs w:val="24"/>
                <w:color w:val="auto"/>
              </w:rPr>
            </w:pPr>
          </w:p>
        </w:tc>
      </w:tr>
      <w:tr>
        <w:trPr>
          <w:trHeight w:val="763"/>
        </w:trPr>
        <w:tc>
          <w:tcPr>
            <w:tcW w:w="184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20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This Amendment No. 1 to Tax Benefit Preservation Plan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March 13,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amends the Tax Benefit Preservation Plan, dated as of February 26, 2026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between Seer,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Trust Company, N.A., a federally chartered trust company, as rights agent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Capitalized terms used in this Amendment and not otherwise defined have the meaning given to them in the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120" w:hanging="363"/>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entered into the Plan.</w:t>
      </w:r>
    </w:p>
    <w:p>
      <w:pPr>
        <w:spacing w:after="0" w:line="225" w:lineRule="exact"/>
        <w:rPr>
          <w:rFonts w:ascii="Times New Roman" w:cs="Times New Roman" w:eastAsia="Times New Roman" w:hAnsi="Times New Roman"/>
          <w:sz w:val="18"/>
          <w:szCs w:val="18"/>
          <w:color w:val="auto"/>
        </w:rPr>
      </w:pPr>
    </w:p>
    <w:p>
      <w:pPr>
        <w:ind w:right="100" w:firstLine="757"/>
        <w:spacing w:after="0" w:line="266" w:lineRule="auto"/>
        <w:tabs>
          <w:tab w:leader="none" w:pos="110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28 of the Plan, for so long as the Rights are redeemable, the Company may in its sole discretion supplement or amend the Plan in any respect without the approval of any holders of Rights Certificates, Preferred Stock or Common Stock, and the Rights Agent must, if the Company so directs, execute such supplement or amendment.</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are currently redeemable and no person is an Acquiring Person.</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wishes to clarify certain terms in the Plan.</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Rights Agent a certificate stating that this Amendment complies with Section 28 of the Plan.</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directed to join in this Amendment.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w:t>
      </w:r>
      <w:r>
        <w:rPr>
          <w:rFonts w:ascii="Times New Roman" w:cs="Times New Roman" w:eastAsia="Times New Roman" w:hAnsi="Times New Roman"/>
          <w:sz w:val="17"/>
          <w:szCs w:val="17"/>
          <w:i w:val="1"/>
          <w:iCs w:val="1"/>
          <w:color w:val="auto"/>
        </w:rPr>
        <w:t>Amendment of the Plan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2040" w:hanging="535"/>
        <w:spacing w:after="0"/>
        <w:tabs>
          <w:tab w:leader="none" w:pos="20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1(e) of the Plan is amended and restated as follows:</w:t>
      </w:r>
    </w:p>
    <w:p>
      <w:pPr>
        <w:spacing w:after="0" w:line="194" w:lineRule="exact"/>
        <w:rPr>
          <w:sz w:val="20"/>
          <w:szCs w:val="20"/>
          <w:color w:val="auto"/>
        </w:rPr>
      </w:pPr>
    </w:p>
    <w:p>
      <w:pPr>
        <w:ind w:left="2260" w:right="160" w:firstLine="749"/>
        <w:spacing w:after="0" w:line="286" w:lineRule="auto"/>
        <w:rPr>
          <w:sz w:val="20"/>
          <w:szCs w:val="20"/>
          <w:color w:val="auto"/>
        </w:rPr>
      </w:pPr>
      <w:r>
        <w:rPr>
          <w:rFonts w:ascii="Times New Roman" w:cs="Times New Roman" w:eastAsia="Times New Roman" w:hAnsi="Times New Roman"/>
          <w:sz w:val="18"/>
          <w:szCs w:val="18"/>
          <w:color w:val="auto"/>
        </w:rPr>
        <w:t>“(e) A Person will be deemed to be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will be deemed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and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any securities:</w:t>
      </w:r>
    </w:p>
    <w:p>
      <w:pPr>
        <w:spacing w:after="0" w:line="159" w:lineRule="exact"/>
        <w:rPr>
          <w:sz w:val="20"/>
          <w:szCs w:val="20"/>
          <w:color w:val="auto"/>
        </w:rPr>
      </w:pPr>
    </w:p>
    <w:p>
      <w:pPr>
        <w:ind w:left="2260" w:right="40" w:firstLine="1492"/>
        <w:spacing w:after="0" w:line="258" w:lineRule="auto"/>
        <w:tabs>
          <w:tab w:leader="none" w:pos="41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spacing w:after="0" w:line="183" w:lineRule="exact"/>
        <w:rPr>
          <w:rFonts w:ascii="Times New Roman" w:cs="Times New Roman" w:eastAsia="Times New Roman" w:hAnsi="Times New Roman"/>
          <w:sz w:val="18"/>
          <w:szCs w:val="18"/>
          <w:color w:val="auto"/>
        </w:rPr>
      </w:pPr>
    </w:p>
    <w:p>
      <w:pPr>
        <w:ind w:left="2260" w:right="20" w:firstLine="1492"/>
        <w:spacing w:after="0" w:line="256" w:lineRule="auto"/>
        <w:tabs>
          <w:tab w:leader="none" w:pos="41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4" w:lineRule="exact"/>
        <w:rPr>
          <w:sz w:val="20"/>
          <w:szCs w:val="20"/>
          <w:color w:val="auto"/>
        </w:rPr>
      </w:pPr>
    </w:p>
    <w:p>
      <w:pPr>
        <w:ind w:left="1820" w:right="40"/>
        <w:spacing w:after="0" w:line="251" w:lineRule="auto"/>
        <w:rPr>
          <w:sz w:val="20"/>
          <w:szCs w:val="20"/>
          <w:color w:val="auto"/>
        </w:rPr>
      </w:pPr>
      <w:r>
        <w:rPr>
          <w:rFonts w:ascii="Times New Roman" w:cs="Times New Roman" w:eastAsia="Times New Roman" w:hAnsi="Times New Roman"/>
          <w:sz w:val="18"/>
          <w:szCs w:val="18"/>
          <w:color w:val="auto"/>
        </w:rPr>
        <w:t>group members with respect to a bona fide public offering of securities), but only if the effect of such agreement, arrangement or understanding is to treat such Person, or any of such Person’s Affiliates or Associates, as an “entity” as defined in Treasury Regulation § 1.382-3(a)(1);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“Original Rights”)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spacing w:after="0" w:line="205" w:lineRule="exact"/>
        <w:rPr>
          <w:sz w:val="20"/>
          <w:szCs w:val="20"/>
          <w:color w:val="auto"/>
        </w:rPr>
      </w:pPr>
    </w:p>
    <w:p>
      <w:pPr>
        <w:ind w:left="1820" w:firstLine="1492"/>
        <w:spacing w:after="0" w:line="252" w:lineRule="auto"/>
        <w:tabs>
          <w:tab w:leader="none" w:pos="367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 provided however that this Section 1(e)(iii) shall apply in respect of an agreement, arrangement or understanding only if the effect of such agreement, arrangement or understanding is to treat such Person, or any of such Person’s Affiliates or Associates, as an “entity” as defined in Treasury Regulation § 1.382-3(a)(1);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40" w:name="page141"/>
    <w:bookmarkEnd w:id="140"/>
    <w:p>
      <w:pPr>
        <w:spacing w:after="0" w:line="194" w:lineRule="exact"/>
        <w:rPr>
          <w:sz w:val="20"/>
          <w:szCs w:val="20"/>
          <w:color w:val="auto"/>
        </w:rPr>
      </w:pPr>
    </w:p>
    <w:p>
      <w:pPr>
        <w:ind w:left="1820" w:firstLine="1492"/>
        <w:spacing w:after="0" w:line="252" w:lineRule="auto"/>
        <w:tabs>
          <w:tab w:leader="none" w:pos="36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Section 1(e)(iii)) or disposing of any securities of the Company, but only if the effect of such agreement, arrangement or understanding is to treat such Person, or any of such Person’s Affiliates or Associates, as an “entity” as defined in Treasury Regulation § 1.382-3(a)(1),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such Persons to be treated as an “entity” as defined in Treasury Regulation § 1.382-3(a)(1); 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41" w:name="page142"/>
    <w:bookmarkEnd w:id="141"/>
    <w:p>
      <w:pPr>
        <w:spacing w:after="0" w:line="194" w:lineRule="exact"/>
        <w:rPr>
          <w:sz w:val="20"/>
          <w:szCs w:val="20"/>
          <w:color w:val="auto"/>
        </w:rPr>
      </w:pPr>
    </w:p>
    <w:p>
      <w:pPr>
        <w:ind w:left="2260" w:firstLine="1492"/>
        <w:spacing w:after="0" w:line="267" w:lineRule="auto"/>
        <w:tabs>
          <w:tab w:leader="none" w:pos="4117"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spacing w:after="0" w:line="387" w:lineRule="exact"/>
        <w:rPr>
          <w:sz w:val="20"/>
          <w:szCs w:val="20"/>
          <w:color w:val="auto"/>
        </w:rPr>
      </w:pPr>
    </w:p>
    <w:p>
      <w:pPr>
        <w:jc w:val="both"/>
        <w:ind w:right="260" w:firstLine="749"/>
        <w:spacing w:after="0" w:line="247" w:lineRule="auto"/>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17"/>
          <w:szCs w:val="17"/>
          <w:i w:val="1"/>
          <w:iCs w:val="1"/>
          <w:color w:val="auto"/>
        </w:rPr>
        <w:t>No Other Amendment; Effect of Amendment</w:t>
      </w:r>
      <w:r>
        <w:rPr>
          <w:rFonts w:ascii="Times New Roman" w:cs="Times New Roman" w:eastAsia="Times New Roman" w:hAnsi="Times New Roman"/>
          <w:sz w:val="17"/>
          <w:szCs w:val="17"/>
          <w:color w:val="auto"/>
        </w:rPr>
        <w:t>. Except as and to the extent expressly modified by this Amendment, the Plan and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exhibits thereto remain in full force and effect in all respects without any modification. This Amendment will be deemed an amendment to the Plan and will become effective on the Effective Date. In the event of a conflict or inconsistency between this Amendment, on the one hand, and the Plan and the exhibits thereto, on the other hand, the provisions of this Amendment will govern.</w:t>
      </w:r>
    </w:p>
    <w:p>
      <w:pPr>
        <w:spacing w:after="0" w:line="184" w:lineRule="exact"/>
        <w:rPr>
          <w:sz w:val="20"/>
          <w:szCs w:val="20"/>
          <w:color w:val="auto"/>
        </w:rPr>
      </w:pPr>
    </w:p>
    <w:p>
      <w:pPr>
        <w:ind w:right="300" w:firstLine="749"/>
        <w:spacing w:after="0" w:line="286" w:lineRule="auto"/>
        <w:rPr>
          <w:sz w:val="20"/>
          <w:szCs w:val="20"/>
          <w:color w:val="auto"/>
        </w:rPr>
      </w:pPr>
      <w:r>
        <w:rPr>
          <w:rFonts w:ascii="Times New Roman" w:cs="Times New Roman" w:eastAsia="Times New Roman" w:hAnsi="Times New Roman"/>
          <w:sz w:val="22"/>
          <w:szCs w:val="22"/>
          <w:color w:val="auto"/>
        </w:rPr>
        <w:t>Section 3.</w:t>
      </w:r>
      <w:r>
        <w:rPr>
          <w:rFonts w:ascii="Times New Roman" w:cs="Times New Roman" w:eastAsia="Times New Roman" w:hAnsi="Times New Roman"/>
          <w:sz w:val="17"/>
          <w:szCs w:val="17"/>
          <w:i w:val="1"/>
          <w:iCs w:val="1"/>
          <w:color w:val="auto"/>
        </w:rPr>
        <w:t>Further Assurances</w:t>
      </w:r>
      <w:r>
        <w:rPr>
          <w:rFonts w:ascii="Times New Roman" w:cs="Times New Roman" w:eastAsia="Times New Roman" w:hAnsi="Times New Roman"/>
          <w:sz w:val="17"/>
          <w:szCs w:val="17"/>
          <w:color w:val="auto"/>
        </w:rPr>
        <w:t>. Each of the Parties will cooperate and take such action as may be reasonably requested by the other Party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order to carry out the provisions and purposes of this Amendment, the Plan and the transactions contemplated hereunder and thereunder.</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17"/>
          <w:szCs w:val="17"/>
          <w:i w:val="1"/>
          <w:iCs w:val="1"/>
          <w:color w:val="auto"/>
        </w:rPr>
        <w:t>Miscellaneous</w:t>
      </w:r>
      <w:r>
        <w:rPr>
          <w:rFonts w:ascii="Times New Roman" w:cs="Times New Roman" w:eastAsia="Times New Roman" w:hAnsi="Times New Roman"/>
          <w:sz w:val="17"/>
          <w:szCs w:val="17"/>
          <w:color w:val="auto"/>
        </w:rPr>
        <w:t>. Section 28, Section 32, Section 33, Section 34 and Section 35 of the Plan apply to this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i w:val="1"/>
          <w:iCs w:val="1"/>
          <w:color w:val="auto"/>
        </w:rPr>
        <w:t>mutatis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are signing this Amendment on the Effective Date.</w:t>
      </w:r>
    </w:p>
    <w:p>
      <w:pPr>
        <w:spacing w:after="0" w:line="2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Horn</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David Horn</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0" w:lineRule="exact"/>
        <w:rPr>
          <w:sz w:val="20"/>
          <w:szCs w:val="20"/>
          <w:color w:val="auto"/>
        </w:rPr>
      </w:pP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Albert Guinto</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Albert Guinto</w:t>
      </w:r>
    </w:p>
    <w:p>
      <w:pPr>
        <w:spacing w:after="0" w:line="9"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color w:val="auto"/>
        </w:rPr>
        <w:t>Title: Manager, Client Management, Issuer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1021715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 Regarding Participants in the Solicitation</w:t>
      </w:r>
    </w:p>
    <w:p>
      <w:pPr>
        <w:spacing w:after="0" w:line="2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applicable SEC rules and regulations, members of our board of directors, our nominees for director and certain of our executive officers are “Participants” with respect to the Company’s solicitation of proxies in connection with the Annual Meeting. The following sets forth certain information about the persons who are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are names of our directors (certain of whom are also nominees for election as directors at the Annual Meeting). The principal occupations or employment of each such person is contained in the accompanying proxy statement. The business address of each such person is c/o Seer, Inc., 3800 Bridge Parkway, Suite 102, Redwood City, CA 94065.</w:t>
      </w:r>
    </w:p>
    <w:p>
      <w:pPr>
        <w:spacing w:after="0" w:line="32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Omid Farokhzad, M.D.</w:t>
            </w:r>
          </w:p>
        </w:tc>
        <w:tc>
          <w:tcPr>
            <w:tcW w:w="19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Dipchand (Deep) Nishar</w:t>
            </w:r>
          </w:p>
        </w:tc>
      </w:tr>
      <w:tr>
        <w:trPr>
          <w:trHeight w:val="44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Meeta Gulyani</w:t>
            </w:r>
          </w:p>
        </w:tc>
        <w:tc>
          <w:tcPr>
            <w:tcW w:w="19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Isaac Ro</w:t>
            </w:r>
          </w:p>
        </w:tc>
      </w:tr>
      <w:tr>
        <w:trPr>
          <w:trHeight w:val="44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Robert Langer, Sc.D.</w:t>
            </w:r>
          </w:p>
        </w:tc>
        <w:tc>
          <w:tcPr>
            <w:tcW w:w="19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Nicolas Roelofs, Ph.D.</w:t>
            </w:r>
          </w:p>
        </w:tc>
      </w:tr>
    </w:tbl>
    <w:p>
      <w:pPr>
        <w:spacing w:after="0" w:line="211" w:lineRule="exact"/>
        <w:rPr>
          <w:sz w:val="20"/>
          <w:szCs w:val="20"/>
          <w:color w:val="auto"/>
        </w:rPr>
      </w:pPr>
    </w:p>
    <w:p>
      <w:pPr>
        <w:ind w:left="720" w:hanging="286"/>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Officers and Employees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and principal occupation of the Company’s officers (other than Mr. Farokhzad) who are Participants. The principal business address of each such person is c/o Seer, Inc., 3800 Bridge Parkway, Suite 102, Redwood City, CA 94065.</w:t>
      </w:r>
    </w:p>
    <w:p>
      <w:pPr>
        <w:sectPr>
          <w:pgSz w:w="11900" w:h="16838" w:orient="portrait"/>
          <w:cols w:equalWidth="0" w:num="1">
            <w:col w:w="11240"/>
          </w:cols>
          <w:pgMar w:left="320" w:top="769" w:right="339" w:bottom="1440" w:gutter="0" w:footer="0" w:header="0"/>
        </w:sectPr>
      </w:pP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Occupation</w:t>
      </w:r>
    </w:p>
    <w:p>
      <w:pPr>
        <w:spacing w:after="0" w:line="211" w:lineRule="exact"/>
        <w:rPr>
          <w:sz w:val="20"/>
          <w:szCs w:val="20"/>
          <w:color w:val="auto"/>
        </w:rPr>
      </w:pPr>
    </w:p>
    <w:p>
      <w:pPr>
        <w:sectPr>
          <w:pgSz w:w="11900" w:h="16838" w:orient="portrait"/>
          <w:cols w:equalWidth="0" w:num="2">
            <w:col w:w="1820" w:space="720"/>
            <w:col w:w="8700"/>
          </w:cols>
          <w:pgMar w:left="320" w:top="769" w:right="339" w:bottom="1440" w:gutter="0" w:footer="0" w:header="0"/>
          <w:type w:val="continuous"/>
        </w:sectPr>
      </w:pPr>
    </w:p>
    <w:p>
      <w:pPr>
        <w:spacing w:after="0" w:line="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David Horn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0" w:lineRule="exact"/>
        <w:rPr>
          <w:sz w:val="20"/>
          <w:szCs w:val="20"/>
          <w:color w:val="auto"/>
        </w:rPr>
      </w:pPr>
    </w:p>
    <w:p>
      <w:pPr>
        <w:sectPr>
          <w:pgSz w:w="11900" w:h="16838" w:orient="portrait"/>
          <w:cols w:equalWidth="0" w:num="2">
            <w:col w:w="2180" w:space="720"/>
            <w:col w:w="8340"/>
          </w:cols>
          <w:pgMar w:left="320" w:top="769"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Ownership of the Company’s Securities by Participants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May 11, 2026, the number of securities of the Company beneficially owned by directors and executive officers who are Participants is set forth under the title “Security Ownership of Certain Beneficial Owners and Management”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Transactions in the Company’s Securities by Participants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1D1B11"/>
        </w:rPr>
        <w:t>The following table sets forth information regarding purchases and sales of the Company’s securities by each Participant during the period from May 11, 2024 through May 11, 2026. No part of the purchase price or market value of these securities is represented by funds borrowed or otherwise obtained for the purpose of acquiring or holding such securities.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20" w:type="dxa"/>
            <w:vAlign w:val="bottom"/>
            <w:shd w:val="clear" w:color="auto" w:fill="DBDBDB"/>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3200" w:type="dxa"/>
            <w:vAlign w:val="bottom"/>
            <w:shd w:val="clear" w:color="auto" w:fill="DBDBDB"/>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Transaction Description</w:t>
            </w:r>
          </w:p>
        </w:tc>
      </w:tr>
      <w:tr>
        <w:trPr>
          <w:trHeight w:val="268"/>
        </w:trPr>
        <w:tc>
          <w:tcPr>
            <w:tcW w:w="2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Omid Farokhzad, M.D.</w:t>
            </w:r>
          </w:p>
        </w:tc>
        <w:tc>
          <w:tcPr>
            <w:tcW w:w="2420" w:type="dxa"/>
            <w:vAlign w:val="bottom"/>
            <w:shd w:val="clear" w:color="auto" w:fill="DBDBDB"/>
          </w:tcPr>
          <w:p>
            <w:pPr>
              <w:jc w:val="center"/>
              <w:ind w:left="290"/>
              <w:spacing w:after="0"/>
              <w:rPr>
                <w:sz w:val="20"/>
                <w:szCs w:val="20"/>
                <w:color w:val="auto"/>
              </w:rPr>
            </w:pPr>
            <w:r>
              <w:rPr>
                <w:rFonts w:ascii="Times New Roman" w:cs="Times New Roman" w:eastAsia="Times New Roman" w:hAnsi="Times New Roman"/>
                <w:sz w:val="18"/>
                <w:szCs w:val="18"/>
                <w:color w:val="auto"/>
                <w:w w:val="98"/>
              </w:rPr>
              <w:t>10/4/2024</w:t>
            </w:r>
          </w:p>
        </w:tc>
        <w:tc>
          <w:tcPr>
            <w:tcW w:w="3200" w:type="dxa"/>
            <w:vAlign w:val="bottom"/>
            <w:shd w:val="clear" w:color="auto" w:fill="DBDBDB"/>
          </w:tcPr>
          <w:p>
            <w:pPr>
              <w:jc w:val="right"/>
              <w:ind w:right="970"/>
              <w:spacing w:after="0"/>
              <w:rPr>
                <w:sz w:val="20"/>
                <w:szCs w:val="20"/>
                <w:color w:val="auto"/>
              </w:rPr>
            </w:pPr>
            <w:r>
              <w:rPr>
                <w:rFonts w:ascii="Times New Roman" w:cs="Times New Roman" w:eastAsia="Times New Roman" w:hAnsi="Times New Roman"/>
                <w:sz w:val="18"/>
                <w:szCs w:val="18"/>
                <w:color w:val="auto"/>
              </w:rPr>
              <w:t>(878,375)</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70"/>
        </w:trPr>
        <w:tc>
          <w:tcPr>
            <w:tcW w:w="2820" w:type="dxa"/>
            <w:vAlign w:val="bottom"/>
            <w:shd w:val="clear" w:color="auto" w:fill="DBDBDB"/>
          </w:tcPr>
          <w:p>
            <w:pPr>
              <w:spacing w:after="0"/>
              <w:rPr>
                <w:sz w:val="23"/>
                <w:szCs w:val="23"/>
                <w:color w:val="auto"/>
              </w:rPr>
            </w:pPr>
          </w:p>
        </w:tc>
        <w:tc>
          <w:tcPr>
            <w:tcW w:w="2420" w:type="dxa"/>
            <w:vAlign w:val="bottom"/>
            <w:shd w:val="clear" w:color="auto" w:fill="DBDBDB"/>
          </w:tcPr>
          <w:p>
            <w:pPr>
              <w:jc w:val="center"/>
              <w:ind w:left="290"/>
              <w:spacing w:after="0"/>
              <w:rPr>
                <w:sz w:val="20"/>
                <w:szCs w:val="20"/>
                <w:color w:val="auto"/>
              </w:rPr>
            </w:pPr>
            <w:r>
              <w:rPr>
                <w:rFonts w:ascii="Times New Roman" w:cs="Times New Roman" w:eastAsia="Times New Roman" w:hAnsi="Times New Roman"/>
                <w:sz w:val="18"/>
                <w:szCs w:val="18"/>
                <w:color w:val="auto"/>
                <w:w w:val="98"/>
              </w:rPr>
              <w:t>10/4/2024</w:t>
            </w:r>
          </w:p>
        </w:tc>
        <w:tc>
          <w:tcPr>
            <w:tcW w:w="3200" w:type="dxa"/>
            <w:vAlign w:val="bottom"/>
            <w:shd w:val="clear" w:color="auto" w:fill="DBDBDB"/>
          </w:tcPr>
          <w:p>
            <w:pPr>
              <w:jc w:val="right"/>
              <w:ind w:right="1030"/>
              <w:spacing w:after="0"/>
              <w:rPr>
                <w:sz w:val="20"/>
                <w:szCs w:val="20"/>
                <w:color w:val="auto"/>
              </w:rPr>
            </w:pPr>
            <w:r>
              <w:rPr>
                <w:rFonts w:ascii="Times New Roman" w:cs="Times New Roman" w:eastAsia="Times New Roman" w:hAnsi="Times New Roman"/>
                <w:sz w:val="18"/>
                <w:szCs w:val="18"/>
                <w:color w:val="auto"/>
              </w:rPr>
              <w:t>878,375</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83"/>
        </w:trPr>
        <w:tc>
          <w:tcPr>
            <w:tcW w:w="2820" w:type="dxa"/>
            <w:vAlign w:val="bottom"/>
            <w:shd w:val="clear" w:color="auto" w:fill="DBDBDB"/>
          </w:tcPr>
          <w:p>
            <w:pPr>
              <w:spacing w:after="0"/>
              <w:rPr>
                <w:sz w:val="24"/>
                <w:szCs w:val="24"/>
                <w:color w:val="auto"/>
              </w:rPr>
            </w:pPr>
          </w:p>
        </w:tc>
        <w:tc>
          <w:tcPr>
            <w:tcW w:w="2420" w:type="dxa"/>
            <w:vAlign w:val="bottom"/>
            <w:shd w:val="clear" w:color="auto" w:fill="DBDBDB"/>
          </w:tcPr>
          <w:p>
            <w:pPr>
              <w:jc w:val="center"/>
              <w:ind w:left="290"/>
              <w:spacing w:after="0"/>
              <w:rPr>
                <w:sz w:val="20"/>
                <w:szCs w:val="20"/>
                <w:color w:val="auto"/>
              </w:rPr>
            </w:pPr>
            <w:r>
              <w:rPr>
                <w:rFonts w:ascii="Times New Roman" w:cs="Times New Roman" w:eastAsia="Times New Roman" w:hAnsi="Times New Roman"/>
                <w:sz w:val="18"/>
                <w:szCs w:val="18"/>
                <w:color w:val="auto"/>
                <w:w w:val="98"/>
              </w:rPr>
              <w:t>10/4/2024</w:t>
            </w:r>
          </w:p>
        </w:tc>
        <w:tc>
          <w:tcPr>
            <w:tcW w:w="3200" w:type="dxa"/>
            <w:vAlign w:val="bottom"/>
            <w:shd w:val="clear" w:color="auto" w:fill="DBDBDB"/>
          </w:tcPr>
          <w:p>
            <w:pPr>
              <w:jc w:val="right"/>
              <w:ind w:right="970"/>
              <w:spacing w:after="0"/>
              <w:rPr>
                <w:sz w:val="20"/>
                <w:szCs w:val="20"/>
                <w:color w:val="auto"/>
              </w:rPr>
            </w:pPr>
            <w:r>
              <w:rPr>
                <w:rFonts w:ascii="Times New Roman" w:cs="Times New Roman" w:eastAsia="Times New Roman" w:hAnsi="Times New Roman"/>
                <w:sz w:val="18"/>
                <w:szCs w:val="18"/>
                <w:color w:val="auto"/>
              </w:rPr>
              <w:t>(532,653)</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32"/>
        </w:trPr>
        <w:tc>
          <w:tcPr>
            <w:tcW w:w="2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tcPr>
          <w:p>
            <w:pPr>
              <w:spacing w:after="0"/>
              <w:rPr>
                <w:sz w:val="24"/>
                <w:szCs w:val="24"/>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20" w:type="dxa"/>
            <w:vAlign w:val="bottom"/>
            <w:shd w:val="clear" w:color="auto" w:fill="DBDBDB"/>
          </w:tcPr>
          <w:p>
            <w:pPr>
              <w:spacing w:after="0"/>
              <w:rPr>
                <w:sz w:val="22"/>
                <w:szCs w:val="22"/>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532,653</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(584,265)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584,265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(87,000)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87,000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(650,000)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650,000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2/4/2025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(8,068)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2/28/2025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(88,494)</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5/20/2025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(33,663)</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(33,992)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11/19/2025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(33,838)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1,438,057</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(1,438,057)</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2,117,138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(2,117,138)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2/3/2026</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697,162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2/3/2026</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512,000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2820" w:type="dxa"/>
            <w:vAlign w:val="bottom"/>
            <w:shd w:val="clear" w:color="auto" w:fill="DBDBDB"/>
          </w:tcPr>
          <w:p>
            <w:pPr>
              <w:spacing w:after="0"/>
              <w:rPr>
                <w:sz w:val="24"/>
                <w:szCs w:val="24"/>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2/18/2026</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(24,385)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Meeta Gulyani</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58,178</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20,500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28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30,500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David Horn</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(566,460)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566,460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(140,662)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140,662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(135,100)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135,100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(34,125)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34,125</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(124,000)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124,000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(140,000)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140,000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2/4/2025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(3,550)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2/18/2025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(26,572)</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2820" w:type="dxa"/>
            <w:vAlign w:val="bottom"/>
            <w:shd w:val="clear" w:color="auto" w:fill="DBDBDB"/>
          </w:tcPr>
          <w:p>
            <w:pPr>
              <w:spacing w:after="0"/>
              <w:rPr>
                <w:sz w:val="24"/>
                <w:szCs w:val="24"/>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5/20/2025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(6,760)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sectPr>
          <w:pgSz w:w="11900" w:h="16838" w:orient="portrait"/>
          <w:cols w:equalWidth="0" w:num="1">
            <w:col w:w="11240"/>
          </w:cols>
          <w:pgMar w:left="320" w:top="769"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20" w:type="dxa"/>
            <w:vAlign w:val="bottom"/>
            <w:shd w:val="clear" w:color="auto" w:fill="DBDBDB"/>
          </w:tcPr>
          <w:p>
            <w:pPr>
              <w:spacing w:after="0"/>
              <w:rPr>
                <w:sz w:val="22"/>
                <w:szCs w:val="22"/>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(6,827)</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11/19/2025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(6,797)</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2/3/2025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79,000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2/3/2025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119,000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2820" w:type="dxa"/>
            <w:vAlign w:val="bottom"/>
            <w:shd w:val="clear" w:color="auto" w:fill="DBDBDB"/>
          </w:tcPr>
          <w:p>
            <w:pPr>
              <w:spacing w:after="0"/>
              <w:rPr>
                <w:sz w:val="24"/>
                <w:szCs w:val="24"/>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2/18/2026</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(7,743)</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Langer, Sc.D.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58,178</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20,500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28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30,500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Terrance McGuire</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58,178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20,500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30,500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2820" w:type="dxa"/>
            <w:vAlign w:val="bottom"/>
            <w:shd w:val="clear" w:color="auto" w:fill="DBDBDB"/>
          </w:tcPr>
          <w:p>
            <w:pPr>
              <w:spacing w:after="0"/>
              <w:rPr>
                <w:sz w:val="23"/>
                <w:szCs w:val="23"/>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12/5/2025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4,088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7</w:t>
            </w:r>
          </w:p>
        </w:tc>
      </w:tr>
      <w:tr>
        <w:trPr>
          <w:trHeight w:val="283"/>
        </w:trPr>
        <w:tc>
          <w:tcPr>
            <w:tcW w:w="2820" w:type="dxa"/>
            <w:vAlign w:val="bottom"/>
            <w:shd w:val="clear" w:color="auto" w:fill="DBDBDB"/>
          </w:tcPr>
          <w:p>
            <w:pPr>
              <w:spacing w:after="0"/>
              <w:rPr>
                <w:sz w:val="24"/>
                <w:szCs w:val="24"/>
                <w:color w:val="auto"/>
              </w:rPr>
            </w:pP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12/5/2025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(4,088)</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Dipchand (Deep) Nishar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58,178</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(12,109)</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(30,253)</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20,500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28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30,500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2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Isaac Ro</w:t>
            </w:r>
          </w:p>
        </w:tc>
        <w:tc>
          <w:tcPr>
            <w:tcW w:w="2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28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41,000</w:t>
            </w:r>
          </w:p>
        </w:tc>
        <w:tc>
          <w:tcPr>
            <w:tcW w:w="2800" w:type="dxa"/>
            <w:vAlign w:val="bottom"/>
            <w:shd w:val="clear" w:color="auto" w:fill="DBDBDB"/>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Nicolas Roelofs, Ph.D.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46,886</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69,470</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17,083</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28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25,416</w:t>
            </w: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w:t>
            </w:r>
          </w:p>
        </w:tc>
      </w:tr>
    </w:tbl>
    <w:p>
      <w:pPr>
        <w:spacing w:after="0" w:line="148" w:lineRule="exact"/>
        <w:rPr>
          <w:sz w:val="20"/>
          <w:szCs w:val="20"/>
          <w:color w:val="auto"/>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Open market or private sale</w:t>
      </w:r>
    </w:p>
    <w:p>
      <w:pPr>
        <w:spacing w:after="0" w:line="72"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of RSUs</w:t>
      </w:r>
    </w:p>
    <w:p>
      <w:pPr>
        <w:spacing w:after="0" w:line="72"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withheld or sold to satisfy tax withholding and remittance obligations in connection with the net settlement of RSUs and PSUs</w:t>
      </w:r>
    </w:p>
    <w:p>
      <w:pPr>
        <w:spacing w:after="0" w:line="72"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of employee stock option (right to buy)</w:t>
      </w:r>
    </w:p>
    <w:p>
      <w:pPr>
        <w:spacing w:after="0" w:line="72"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of employee stock option (right to buy) pursuant to a one-time stock option repricing</w:t>
      </w:r>
    </w:p>
    <w:p>
      <w:pPr>
        <w:spacing w:after="0" w:line="72"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1D1B11"/>
        </w:rPr>
      </w:pPr>
      <w:r>
        <w:rPr>
          <w:rFonts w:ascii="Times New Roman" w:cs="Times New Roman" w:eastAsia="Times New Roman" w:hAnsi="Times New Roman"/>
          <w:sz w:val="16"/>
          <w:szCs w:val="16"/>
          <w:color w:val="1D1B11"/>
        </w:rPr>
        <w:t>Disposition of employee stock option (right to buy)</w:t>
      </w:r>
      <w:r>
        <w:rPr>
          <w:rFonts w:ascii="Times New Roman" w:cs="Times New Roman" w:eastAsia="Times New Roman" w:hAnsi="Times New Roman"/>
          <w:sz w:val="16"/>
          <w:szCs w:val="16"/>
          <w:color w:val="000000"/>
        </w:rPr>
        <w:t>pursuant to a one-time stock option repricing</w:t>
      </w:r>
    </w:p>
    <w:p>
      <w:pPr>
        <w:spacing w:after="0" w:line="72" w:lineRule="exact"/>
        <w:rPr>
          <w:rFonts w:ascii="Times New Roman" w:cs="Times New Roman" w:eastAsia="Times New Roman" w:hAnsi="Times New Roman"/>
          <w:sz w:val="16"/>
          <w:szCs w:val="16"/>
          <w:color w:val="1D1B11"/>
        </w:rPr>
      </w:pPr>
    </w:p>
    <w:p>
      <w:pPr>
        <w:ind w:left="180" w:hanging="172"/>
        <w:spacing w:after="0"/>
        <w:tabs>
          <w:tab w:leader="none" w:pos="1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 of derivative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-1093470</wp:posOffset>
            </wp:positionV>
            <wp:extent cx="19030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 Information Concerning Participants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Except as described in this proxy statement, no Participant or any of such Participant’s respective associates or affiliates (together, Participant Affiliates) is either a party to any transaction or series of transactions since May 11, 2025, or has knowledge of any current proposed transaction or series of proposed transactions, (i) to which the Company or any of its subsidiaries was or is to be a participant; (ii) in which the amount involved exceeds $120,000; and (iii) in which any Participant or Participant Affiliate had, or will have, a direct or indirect material interest. Furthermore, except as described in this proxy statement, (i) no Participant or Participant Affiliate, directly or indirectly, beneficially owns any securities of the Company, any parent of the Company or any subsidiary of the Company; and (ii) no Participant owns any securities of the Company of record but not beneficially.</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Except as described in this proxy statement, no Participant or Participant Affiliate has entered into any agreement or understanding with any person with respect to any future employment by the Company or any of its affiliates or any future transactions to which the Company or any of its affiliates will or may be a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Except as described in this proxy statement, there are no contracts, arrangements or understandings by any Participant or Participant Affiliate, since May 11, 2025,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in this proxy statement, and excluding any director or executive officer of the Company acting solely in that capacity, no person who is a party to an arrangement or understanding pursuant to which a nominee for election as director is proposed to be elected has any substantial interest, direct or indirect, by security holdings or otherwise, in any matter to be acted upon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1."/>
      <w:numFmt w:val="decimal"/>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1)"/>
      <w:numFmt w:val="decimal"/>
      <w:start w:val="1"/>
    </w:lvl>
  </w:abstractNum>
  <w:abstractNum w:abstractNumId="23">
    <w:nsid w:val="68EB2F63"/>
    <w:multiLevelType w:val="hybridMultilevel"/>
    <w:lvl w:ilvl="0">
      <w:lvlJc w:val="left"/>
      <w:lvlText w:val="(%1)"/>
      <w:numFmt w:val="decimal"/>
      <w:start w:val="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1)"/>
      <w:numFmt w:val="decimal"/>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1)"/>
      <w:numFmt w:val="decimal"/>
      <w:start w:val="8"/>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2"/>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1)"/>
      <w:numFmt w:val="decimal"/>
      <w:start w:val="1"/>
    </w:lvl>
  </w:abstractNum>
  <w:abstractNum w:abstractNumId="44">
    <w:nsid w:val="2DF6D648"/>
    <w:multiLevelType w:val="hybridMultilevel"/>
    <w:lvl w:ilvl="0">
      <w:lvlJc w:val="left"/>
      <w:lvlText w:val="(%1)"/>
      <w:numFmt w:val="decimal"/>
      <w:start w:val="2"/>
    </w:lvl>
  </w:abstractNum>
  <w:abstractNum w:abstractNumId="45">
    <w:nsid w:val="46B7D447"/>
    <w:multiLevelType w:val="hybridMultilevel"/>
    <w:lvl w:ilvl="0">
      <w:lvlJc w:val="left"/>
      <w:lvlText w:val="(%1)"/>
      <w:numFmt w:val="decimal"/>
      <w:start w:val="4"/>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lvl w:ilvl="1">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1)"/>
      <w:numFmt w:val="decimal"/>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1)"/>
      <w:numFmt w:val="decimal"/>
      <w:start w:val="1"/>
    </w:lvl>
  </w:abstractNum>
  <w:abstractNum w:abstractNumId="55">
    <w:nsid w:val="7055A5F5"/>
    <w:multiLevelType w:val="hybridMultilevel"/>
    <w:lvl w:ilvl="0">
      <w:lvlJc w:val="left"/>
      <w:lvlText w:val="(%1)"/>
      <w:numFmt w:val="decimal"/>
      <w:start w:val="2"/>
    </w:lvl>
  </w:abstractNum>
  <w:abstractNum w:abstractNumId="56">
    <w:nsid w:val="5FB8370B"/>
    <w:multiLevelType w:val="hybridMultilevel"/>
    <w:lvl w:ilvl="0">
      <w:lvlJc w:val="left"/>
      <w:lvlText w:val="(%1)"/>
      <w:numFmt w:val="decimal"/>
      <w:start w:val="12"/>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1."/>
      <w:numFmt w:val="upperLetter"/>
      <w:start w:val="1"/>
    </w:lvl>
  </w:abstractNum>
  <w:abstractNum w:abstractNumId="59">
    <w:nsid w:val="5FB8011C"/>
    <w:multiLevelType w:val="hybridMultilevel"/>
    <w:lvl w:ilvl="0">
      <w:lvlJc w:val="left"/>
      <w:lvlText w:val="(%1)"/>
      <w:numFmt w:val="lowerLetter"/>
      <w:start w:val="1"/>
    </w:lvl>
    <w:lvl w:ilvl="1">
      <w:lvlJc w:val="left"/>
      <w:lvlText w:val="(%2)"/>
      <w:numFmt w:val="lowerLetter"/>
      <w:start w:val="9"/>
    </w:lvl>
  </w:abstractNum>
  <w:abstractNum w:abstractNumId="60">
    <w:nsid w:val="6AA78F7F"/>
    <w:multiLevelType w:val="hybridMultilevel"/>
    <w:lvl w:ilvl="0">
      <w:lvlJc w:val="left"/>
      <w:lvlText w:val="(%1)"/>
      <w:numFmt w:val="lowerRoman"/>
      <w:start w:val="2"/>
    </w:lvl>
  </w:abstractNum>
  <w:abstractNum w:abstractNumId="61">
    <w:nsid w:val="7672BD23"/>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9"/>
    </w:lvl>
  </w:abstractNum>
  <w:abstractNum w:abstractNumId="62">
    <w:nsid w:val="6FC75AF8"/>
    <w:multiLevelType w:val="hybridMultilevel"/>
    <w:lvl w:ilvl="0">
      <w:lvlJc w:val="left"/>
      <w:lvlText w:val="(%1)"/>
      <w:numFmt w:val="lowerRoman"/>
      <w:start w:val="2"/>
    </w:lvl>
  </w:abstractNum>
  <w:abstractNum w:abstractNumId="63">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64">
    <w:nsid w:val="7D5E18F8"/>
    <w:multiLevelType w:val="hybridMultilevel"/>
    <w:lvl w:ilvl="0">
      <w:lvlJc w:val="left"/>
      <w:lvlText w:val="(%1)"/>
      <w:numFmt w:val="upperLetter"/>
      <w:start w:val="2"/>
    </w:lvl>
    <w:lvl w:ilvl="1">
      <w:lvlJc w:val="left"/>
      <w:lvlText w:val="(%2)"/>
      <w:numFmt w:val="lowerLetter"/>
      <w:start w:val="6"/>
    </w:lvl>
    <w:lvl w:ilvl="2">
      <w:lvlJc w:val="left"/>
      <w:lvlText w:val="%3"/>
      <w:numFmt w:val="lowerLetter"/>
      <w:start w:val="1"/>
    </w:lvl>
  </w:abstractNum>
  <w:abstractNum w:abstractNumId="65">
    <w:nsid w:val="5F3534A4"/>
    <w:multiLevelType w:val="hybridMultilevel"/>
    <w:lvl w:ilvl="0">
      <w:lvlJc w:val="left"/>
      <w:lvlText w:val="(%1)"/>
      <w:numFmt w:val="lowerLetter"/>
      <w:start w:val="11"/>
    </w:lvl>
  </w:abstractNum>
  <w:abstractNum w:abstractNumId="66">
    <w:nsid w:val="73A1821B"/>
    <w:multiLevelType w:val="hybridMultilevel"/>
    <w:lvl w:ilvl="0">
      <w:lvlJc w:val="left"/>
      <w:lvlText w:val="%1"/>
      <w:numFmt w:val="lowerLetter"/>
      <w:start w:val="1"/>
    </w:lvl>
    <w:lvl w:ilvl="1">
      <w:lvlJc w:val="left"/>
      <w:lvlText w:val="(%2)"/>
      <w:numFmt w:val="lowerLetter"/>
      <w:start w:val="16"/>
    </w:lvl>
  </w:abstractNum>
  <w:abstractNum w:abstractNumId="67">
    <w:nsid w:val="7DE67713"/>
    <w:multiLevelType w:val="hybridMultilevel"/>
    <w:lvl w:ilvl="0">
      <w:lvlJc w:val="left"/>
      <w:lvlText w:val="(%1)"/>
      <w:numFmt w:val="lowerLetter"/>
      <w:start w:val="35"/>
    </w:lvl>
    <w:lvl w:ilvl="1">
      <w:lvlJc w:val="left"/>
      <w:lvlText w:val="(%2)"/>
      <w:numFmt w:val="lowerLetter"/>
      <w:start w:val="23"/>
    </w:lvl>
  </w:abstractNum>
  <w:abstractNum w:abstractNumId="68">
    <w:nsid w:val="555C55B5"/>
    <w:multiLevelType w:val="hybridMultilevel"/>
    <w:lvl w:ilvl="0">
      <w:lvlJc w:val="left"/>
      <w:lvlText w:val="(%1)"/>
      <w:numFmt w:val="lowerLetter"/>
      <w:start w:val="27"/>
    </w:lvl>
  </w:abstractNum>
  <w:abstractNum w:abstractNumId="69">
    <w:nsid w:val="3FA62ACA"/>
    <w:multiLevelType w:val="hybridMultilevel"/>
    <w:lvl w:ilvl="0">
      <w:lvlJc w:val="left"/>
      <w:lvlText w:val="(%1)"/>
      <w:numFmt w:val="lowerLetter"/>
      <w:start w:val="37"/>
    </w:lvl>
  </w:abstractNum>
  <w:abstractNum w:abstractNumId="70">
    <w:nsid w:val="14FCE74E"/>
    <w:multiLevelType w:val="hybridMultilevel"/>
    <w:lvl w:ilvl="0">
      <w:lvlJc w:val="left"/>
      <w:lvlText w:val="(%1)"/>
      <w:numFmt w:val="lowerLetter"/>
      <w:start w:val="53"/>
    </w:lvl>
  </w:abstractNum>
  <w:abstractNum w:abstractNumId="71">
    <w:nsid w:val="6A3DD3E8"/>
    <w:multiLevelType w:val="hybridMultilevel"/>
    <w:lvl w:ilvl="0">
      <w:lvlJc w:val="left"/>
      <w:lvlText w:val="(%1)"/>
      <w:numFmt w:val="lowerLetter"/>
      <w:start w:val="58"/>
    </w:lvl>
  </w:abstractNum>
  <w:abstractNum w:abstractNumId="72">
    <w:nsid w:val="71C91298"/>
    <w:multiLevelType w:val="hybridMultilevel"/>
    <w:lvl w:ilvl="0">
      <w:lvlJc w:val="left"/>
      <w:lvlText w:val="(%1)"/>
      <w:numFmt w:val="lowerLetter"/>
      <w:start w:val="1"/>
    </w:lvl>
  </w:abstractNum>
  <w:abstractNum w:abstractNumId="73">
    <w:nsid w:val="9DAF632"/>
    <w:multiLevelType w:val="hybridMultilevel"/>
    <w:lvl w:ilvl="0">
      <w:lvlJc w:val="left"/>
      <w:lvlText w:val="(%1)"/>
      <w:numFmt w:val="lowerLetter"/>
      <w:start w:val="2"/>
    </w:lvl>
  </w:abstractNum>
  <w:abstractNum w:abstractNumId="74">
    <w:nsid w:val="53299938"/>
    <w:multiLevelType w:val="hybridMultilevel"/>
    <w:lvl w:ilvl="0">
      <w:lvlJc w:val="left"/>
      <w:lvlText w:val="(%1)"/>
      <w:numFmt w:val="lowerLetter"/>
      <w:start w:val="4"/>
    </w:lvl>
  </w:abstractNum>
  <w:abstractNum w:abstractNumId="75">
    <w:nsid w:val="1FBFE8E0"/>
    <w:multiLevelType w:val="hybridMultilevel"/>
    <w:lvl w:ilvl="0">
      <w:lvlJc w:val="left"/>
      <w:lvlText w:val="(%1)"/>
      <w:numFmt w:val="lowerLetter"/>
      <w:start w:val="1"/>
    </w:lvl>
  </w:abstractNum>
  <w:abstractNum w:abstractNumId="76">
    <w:nsid w:val="5092CA79"/>
    <w:multiLevelType w:val="hybridMultilevel"/>
    <w:lvl w:ilvl="0">
      <w:lvlJc w:val="left"/>
      <w:lvlText w:val="(%1)"/>
      <w:numFmt w:val="lowerLetter"/>
      <w:start w:val="3"/>
    </w:lvl>
  </w:abstractNum>
  <w:abstractNum w:abstractNumId="77">
    <w:nsid w:val="1D545C4D"/>
    <w:multiLevelType w:val="hybridMultilevel"/>
    <w:lvl w:ilvl="0">
      <w:lvlJc w:val="left"/>
      <w:lvlText w:val="(%1)"/>
      <w:numFmt w:val="lowerLetter"/>
      <w:start w:val="1"/>
    </w:lvl>
  </w:abstractNum>
  <w:abstractNum w:abstractNumId="78">
    <w:nsid w:val="59ADEA3D"/>
    <w:multiLevelType w:val="hybridMultilevel"/>
    <w:lvl w:ilvl="0">
      <w:lvlJc w:val="left"/>
      <w:lvlText w:val="(%1)"/>
      <w:numFmt w:val="lowerLetter"/>
      <w:start w:val="1"/>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Letter"/>
      <w:start w:val="2"/>
    </w:lvl>
  </w:abstractNum>
  <w:abstractNum w:abstractNumId="81">
    <w:nsid w:val="1D9F6E5F"/>
    <w:multiLevelType w:val="hybridMultilevel"/>
    <w:lvl w:ilvl="0">
      <w:lvlJc w:val="left"/>
      <w:lvlText w:val="(%1)"/>
      <w:numFmt w:val="lowerLetter"/>
      <w:start w:val="6"/>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lowerLetter"/>
      <w:start w:val="1"/>
    </w:lvl>
    <w:lvl w:ilvl="1">
      <w:lvlJc w:val="left"/>
      <w:lvlText w:val="(%2)"/>
      <w:numFmt w:val="lowerLetter"/>
      <w:start w:val="9"/>
    </w:lvl>
  </w:abstractNum>
  <w:abstractNum w:abstractNumId="84">
    <w:nsid w:val="1CA0C5FA"/>
    <w:multiLevelType w:val="hybridMultilevel"/>
    <w:lvl w:ilvl="0">
      <w:lvlJc w:val="left"/>
      <w:lvlText w:val="(%1)"/>
      <w:numFmt w:val="lowerRoman"/>
      <w:start w:val="2"/>
    </w:lvl>
  </w:abstractNum>
  <w:abstractNum w:abstractNumId="85">
    <w:nsid w:val="53584BCB"/>
    <w:multiLevelType w:val="hybridMultilevel"/>
    <w:lvl w:ilvl="0">
      <w:lvlJc w:val="left"/>
      <w:lvlText w:val="(%1)"/>
      <w:numFmt w:val="lowerLetter"/>
      <w:start w:val="2"/>
    </w:lvl>
    <w:lvl w:ilvl="1">
      <w:lvlJc w:val="left"/>
      <w:lvlText w:val="(%2)"/>
      <w:numFmt w:val="lowerLetter"/>
      <w:start w:val="2"/>
    </w:lvl>
  </w:abstractNum>
  <w:abstractNum w:abstractNumId="86">
    <w:nsid w:val="415E286C"/>
    <w:multiLevelType w:val="hybridMultilevel"/>
    <w:lvl w:ilvl="0">
      <w:lvlJc w:val="left"/>
      <w:lvlText w:val="(%1)"/>
      <w:numFmt w:val="lowerLetter"/>
      <w:start w:val="4"/>
    </w:lvl>
  </w:abstractNum>
  <w:abstractNum w:abstractNumId="87">
    <w:nsid w:val="7C58FD05"/>
    <w:multiLevelType w:val="hybridMultilevel"/>
    <w:lvl w:ilvl="0">
      <w:lvlJc w:val="left"/>
      <w:lvlText w:val="(%1)"/>
      <w:numFmt w:val="lowerLetter"/>
      <w:start w:val="9"/>
    </w:lvl>
  </w:abstractNum>
  <w:abstractNum w:abstractNumId="88">
    <w:nsid w:val="23D86AAC"/>
    <w:multiLevelType w:val="hybridMultilevel"/>
    <w:lvl w:ilvl="0">
      <w:lvlJc w:val="left"/>
      <w:lvlText w:val="(%1)"/>
      <w:numFmt w:val="lowerLetter"/>
      <w:start w:val="15"/>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lowerLetter"/>
      <w:start w:val="2"/>
    </w:lvl>
    <w:lvl w:ilvl="1">
      <w:lvlJc w:val="left"/>
      <w:lvlText w:val="(%2)"/>
      <w:numFmt w:val="lowerLetter"/>
      <w:start w:val="9"/>
    </w:lvl>
  </w:abstractNum>
  <w:abstractNum w:abstractNumId="91">
    <w:nsid w:val="E7FFA2B"/>
    <w:multiLevelType w:val="hybridMultilevel"/>
    <w:lvl w:ilvl="0">
      <w:lvlJc w:val="left"/>
      <w:lvlText w:val="%1"/>
      <w:numFmt w:val="lowerLetter"/>
      <w:start w:val="1"/>
    </w:lvl>
    <w:lvl w:ilvl="1">
      <w:lvlJc w:val="left"/>
      <w:lvlText w:val="(%2)"/>
      <w:numFmt w:val="lowerRoman"/>
      <w:start w:val="2"/>
    </w:lvl>
  </w:abstractNum>
  <w:abstractNum w:abstractNumId="92">
    <w:nsid w:val="3C5991AA"/>
    <w:multiLevelType w:val="hybridMultilevel"/>
    <w:lvl w:ilvl="0">
      <w:lvlJc w:val="left"/>
      <w:lvlText w:val="(%1)"/>
      <w:numFmt w:val="lowerLetter"/>
      <w:start w:val="3"/>
    </w:lvl>
    <w:lvl w:ilvl="1">
      <w:lvlJc w:val="left"/>
      <w:lvlText w:val="(%2)"/>
      <w:numFmt w:val="lowerRoman"/>
      <w:start w:val="1"/>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2"/>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1"/>
    </w:lvl>
  </w:abstractNum>
  <w:abstractNum w:abstractNumId="97">
    <w:nsid w:val="6C80EC70"/>
    <w:multiLevelType w:val="hybridMultilevel"/>
    <w:lvl w:ilvl="0">
      <w:lvlJc w:val="left"/>
      <w:lvlText w:val="(%1)"/>
      <w:numFmt w:val="lowerLetter"/>
      <w:start w:val="2"/>
    </w:lvl>
  </w:abstractNum>
  <w:abstractNum w:abstractNumId="98">
    <w:nsid w:val="379E21B5"/>
    <w:multiLevelType w:val="hybridMultilevel"/>
    <w:lvl w:ilvl="0">
      <w:lvlJc w:val="left"/>
      <w:lvlText w:val="(%1)"/>
      <w:numFmt w:val="lowerLetter"/>
      <w:start w:val="1"/>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lowerLetter"/>
      <w:start w:val="6"/>
    </w:lvl>
  </w:abstractNum>
  <w:abstractNum w:abstractNumId="101">
    <w:nsid w:val="4C9B0904"/>
    <w:multiLevelType w:val="hybridMultilevel"/>
    <w:lvl w:ilvl="0">
      <w:lvlJc w:val="left"/>
      <w:lvlText w:val="%1"/>
      <w:numFmt w:val="lowerLetter"/>
      <w:start w:val="1"/>
    </w:lvl>
    <w:lvl w:ilvl="1">
      <w:lvlJc w:val="left"/>
      <w:lvlText w:val="(%2)"/>
      <w:numFmt w:val="lowerLetter"/>
      <w:start w:val="13"/>
    </w:lvl>
  </w:abstractNum>
  <w:abstractNum w:abstractNumId="102">
    <w:nsid w:val="6AA7B75C"/>
    <w:multiLevelType w:val="hybridMultilevel"/>
    <w:lvl w:ilvl="0">
      <w:lvlJc w:val="left"/>
      <w:lvlText w:val="(%1)"/>
      <w:numFmt w:val="lowerLetter"/>
      <w:start w:val="9"/>
    </w:lvl>
    <w:lvl w:ilvl="1">
      <w:lvlJc w:val="left"/>
      <w:lvlText w:val="(%2)"/>
      <w:numFmt w:val="lowerLetter"/>
      <w:start w:val="17"/>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3"/>
    </w:lvl>
  </w:abstractNum>
  <w:abstractNum w:abstractNumId="105">
    <w:nsid w:val="3DD15094"/>
    <w:multiLevelType w:val="hybridMultilevel"/>
    <w:lvl w:ilvl="0">
      <w:lvlJc w:val="left"/>
      <w:lvlText w:val="(%1)"/>
      <w:numFmt w:val="lowerLetter"/>
      <w:start w:val="1"/>
    </w:lvl>
    <w:lvl w:ilvl="1">
      <w:lvlJc w:val="left"/>
      <w:lvlText w:val="(%2)"/>
      <w:numFmt w:val="lowerLetter"/>
      <w:start w:val="9"/>
    </w:lvl>
  </w:abstractNum>
  <w:abstractNum w:abstractNumId="106">
    <w:nsid w:val="3DB012B3"/>
    <w:multiLevelType w:val="hybridMultilevel"/>
    <w:lvl w:ilvl="0">
      <w:lvlJc w:val="left"/>
      <w:lvlText w:val="%1"/>
      <w:numFmt w:val="lowerLetter"/>
      <w:start w:val="1"/>
    </w:lvl>
    <w:lvl w:ilvl="1">
      <w:lvlJc w:val="left"/>
      <w:lvlText w:val="(%2)"/>
      <w:numFmt w:val="lowerLetter"/>
      <w:start w:val="35"/>
    </w:lvl>
  </w:abstractNum>
  <w:abstractNum w:abstractNumId="107">
    <w:nsid w:val="2708C9AF"/>
    <w:multiLevelType w:val="hybridMultilevel"/>
    <w:lvl w:ilvl="0">
      <w:lvlJc w:val="left"/>
      <w:lvlText w:val="(%1)"/>
      <w:numFmt w:val="lowerLetter"/>
      <w:start w:val="3"/>
    </w:lvl>
    <w:lvl w:ilvl="1">
      <w:lvlJc w:val="left"/>
      <w:lvlText w:val="%2"/>
      <w:numFmt w:val="lowerLetter"/>
      <w:start w:val="1"/>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upperLetter"/>
      <w:start w:val="1"/>
    </w:lvl>
    <w:lvl w:ilvl="1">
      <w:lvlJc w:val="left"/>
      <w:lvlText w:val="(%2)"/>
      <w:numFmt w:val="lowerLetter"/>
      <w:start w:val="2"/>
    </w:lvl>
  </w:abstractNum>
  <w:abstractNum w:abstractNumId="110">
    <w:nsid w:val="4F97E3E4"/>
    <w:multiLevelType w:val="hybridMultilevel"/>
    <w:lvl w:ilvl="0">
      <w:lvlJc w:val="left"/>
      <w:lvlText w:val="(%1)"/>
      <w:numFmt w:val="upperLetter"/>
      <w:start w:val="2"/>
    </w:lvl>
    <w:lvl w:ilvl="1">
      <w:lvlJc w:val="left"/>
      <w:lvlText w:val="%2"/>
      <w:numFmt w:val="lowerLetter"/>
      <w:start w:val="1"/>
    </w:lvl>
  </w:abstractNum>
  <w:abstractNum w:abstractNumId="111">
    <w:nsid w:val="53B0A9E"/>
    <w:multiLevelType w:val="hybridMultilevel"/>
    <w:lvl w:ilvl="0">
      <w:lvlJc w:val="left"/>
      <w:lvlText w:val="%1"/>
      <w:numFmt w:val="lowerRoman"/>
      <w:start w:val="1"/>
    </w:lvl>
    <w:lvl w:ilvl="1">
      <w:lvlJc w:val="left"/>
      <w:lvlText w:val="(%2)"/>
      <w:numFmt w:val="lowerLetter"/>
      <w:start w:val="1"/>
    </w:lvl>
  </w:abstractNum>
  <w:abstractNum w:abstractNumId="112">
    <w:nsid w:val="34FD6B4F"/>
    <w:multiLevelType w:val="hybridMultilevel"/>
    <w:lvl w:ilvl="0">
      <w:lvlJc w:val="left"/>
      <w:lvlText w:val="(%1)"/>
      <w:numFmt w:val="lowerRoman"/>
      <w:start w:val="4"/>
    </w:lvl>
    <w:lvl w:ilvl="1">
      <w:lvlJc w:val="left"/>
      <w:lvlText w:val="(%2)"/>
      <w:numFmt w:val="lowerLetter"/>
      <w:start w:val="2"/>
    </w:lvl>
  </w:abstractNum>
  <w:abstractNum w:abstractNumId="113">
    <w:nsid w:val="5915FF32"/>
    <w:multiLevelType w:val="hybridMultilevel"/>
    <w:lvl w:ilvl="0">
      <w:lvlJc w:val="left"/>
      <w:lvlText w:val="(%1)"/>
      <w:numFmt w:val="lowerRoman"/>
      <w:start w:val="2"/>
    </w:lvl>
    <w:lvl w:ilvl="1">
      <w:lvlJc w:val="left"/>
      <w:lvlText w:val="%2"/>
      <w:numFmt w:val="lowerLetter"/>
      <w:start w:val="1"/>
    </w:lvl>
  </w:abstractNum>
  <w:abstractNum w:abstractNumId="114">
    <w:nsid w:val="56438D15"/>
    <w:multiLevelType w:val="hybridMultilevel"/>
    <w:lvl w:ilvl="0">
      <w:lvlJc w:val="left"/>
      <w:lvlText w:val="(%1)"/>
      <w:numFmt w:val="lowerRoman"/>
      <w:start w:val="4"/>
    </w:lvl>
  </w:abstractNum>
  <w:abstractNum w:abstractNumId="115">
    <w:nsid w:val="519E3149"/>
    <w:multiLevelType w:val="hybridMultilevel"/>
    <w:lvl w:ilvl="0">
      <w:lvlJc w:val="left"/>
      <w:lvlText w:val="(%1)"/>
      <w:numFmt w:val="lowerLetter"/>
      <w:start w:val="1"/>
    </w:lvl>
    <w:lvl w:ilvl="1">
      <w:lvlJc w:val="left"/>
      <w:lvlText w:val="(%2)"/>
      <w:numFmt w:val="lowerRoman"/>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2"/>
    </w:lvl>
  </w:abstractNum>
  <w:abstractNum w:abstractNumId="118">
    <w:nsid w:val="4DF72E4E"/>
    <w:multiLevelType w:val="hybridMultilevel"/>
    <w:lvl w:ilvl="0">
      <w:lvlJc w:val="left"/>
      <w:lvlText w:val="(%1)"/>
      <w:numFmt w:val="lowerLetter"/>
      <w:start w:val="1"/>
    </w:lvl>
  </w:abstractNum>
  <w:abstractNum w:abstractNumId="119">
    <w:nsid w:val="5046B5A9"/>
    <w:multiLevelType w:val="hybridMultilevel"/>
    <w:lvl w:ilvl="0">
      <w:lvlJc w:val="left"/>
      <w:lvlText w:val="(%1)"/>
      <w:numFmt w:val="lowerLetter"/>
      <w:start w:val="2"/>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1"/>
    </w:lvl>
    <w:lvl w:ilvl="1">
      <w:lvlJc w:val="left"/>
      <w:lvlText w:val="(%2)"/>
      <w:numFmt w:val="lowerRoman"/>
      <w:start w:val="1"/>
    </w:lvl>
  </w:abstractNum>
  <w:abstractNum w:abstractNumId="122">
    <w:nsid w:val="5EC6AFD4"/>
    <w:multiLevelType w:val="hybridMultilevel"/>
    <w:lvl w:ilvl="0">
      <w:lvlJc w:val="left"/>
      <w:lvlText w:val="(%1)"/>
      <w:numFmt w:val="lowerLetter"/>
      <w:start w:val="1"/>
    </w:lvl>
  </w:abstractNum>
  <w:abstractNum w:abstractNumId="123">
    <w:nsid w:val="19E21BB2"/>
    <w:multiLevelType w:val="hybridMultilevel"/>
    <w:lvl w:ilvl="0">
      <w:lvlJc w:val="left"/>
      <w:lvlText w:val="1"/>
      <w:numFmt w:val="bullet"/>
      <w:start w:val="1"/>
    </w:lvl>
  </w:abstractNum>
  <w:abstractNum w:abstractNumId="124">
    <w:nsid w:val="75E0858A"/>
    <w:multiLevelType w:val="hybridMultilevel"/>
    <w:lvl w:ilvl="0">
      <w:lvlJc w:val="left"/>
      <w:lvlText w:val="(%1)"/>
      <w:numFmt w:val="decimal"/>
      <w:start w:val="1"/>
    </w:lvl>
    <w:lvl w:ilvl="1">
      <w:lvlJc w:val="left"/>
      <w:lvlText w:val="☐"/>
      <w:numFmt w:val="bullet"/>
      <w:start w:val="1"/>
    </w:lvl>
  </w:abstractNum>
  <w:abstractNum w:abstractNumId="125">
    <w:nsid w:val="57A61A29"/>
    <w:multiLevelType w:val="hybridMultilevel"/>
    <w:lvl w:ilvl="0">
      <w:lvlJc w:val="left"/>
      <w:lvlText w:val="(%1)"/>
      <w:numFmt w:val="decimal"/>
      <w:start w:val="2"/>
    </w:lvl>
    <w:lvl w:ilvl="1">
      <w:lvlJc w:val="left"/>
      <w:lvlText w:val="☐"/>
      <w:numFmt w:val="bullet"/>
      <w:start w:val="1"/>
    </w:lvl>
  </w:abstractNum>
  <w:abstractNum w:abstractNumId="126">
    <w:nsid w:val="5399C654"/>
    <w:multiLevelType w:val="hybridMultilevel"/>
    <w:lvl w:ilvl="0">
      <w:lvlJc w:val="left"/>
      <w:lvlText w:val="(%1)"/>
      <w:numFmt w:val="decimal"/>
      <w:start w:val="1"/>
    </w:lvl>
    <w:lvl w:ilvl="1">
      <w:lvlJc w:val="left"/>
      <w:lvlText w:val="☐"/>
      <w:numFmt w:val="bullet"/>
      <w:start w:val="1"/>
    </w:lvl>
  </w:abstractNum>
  <w:abstractNum w:abstractNumId="127">
    <w:nsid w:val="20EE1348"/>
    <w:multiLevelType w:val="hybridMultilevel"/>
    <w:lvl w:ilvl="0">
      <w:lvlJc w:val="left"/>
      <w:lvlText w:val="(%1)"/>
      <w:numFmt w:val="decimal"/>
      <w:start w:val="2"/>
    </w:lvl>
    <w:lvl w:ilvl="1">
      <w:lvlJc w:val="left"/>
      <w:lvlText w:val="☐"/>
      <w:numFmt w:val="bullet"/>
      <w:start w:val="1"/>
    </w:lvl>
  </w:abstractNum>
  <w:abstractNum w:abstractNumId="128">
    <w:nsid w:val="4427069A"/>
    <w:multiLevelType w:val="hybridMultilevel"/>
    <w:lvl w:ilvl="0">
      <w:lvlJc w:val="left"/>
      <w:lvlText w:val="%1."/>
      <w:numFmt w:val="upperLetter"/>
      <w:start w:val="1"/>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Roman"/>
      <w:start w:val="1"/>
    </w:lvl>
  </w:abstractNum>
  <w:abstractNum w:abstractNumId="131">
    <w:nsid w:val="704E1DD5"/>
    <w:multiLevelType w:val="hybridMultilevel"/>
    <w:lvl w:ilvl="0">
      <w:lvlJc w:val="left"/>
      <w:lvlText w:val="(%1)"/>
      <w:numFmt w:val="lowerRoman"/>
      <w:start w:val="3"/>
    </w:lvl>
  </w:abstractNum>
  <w:abstractNum w:abstractNumId="132">
    <w:nsid w:val="57D2F10E"/>
    <w:multiLevelType w:val="hybridMultilevel"/>
    <w:lvl w:ilvl="0">
      <w:lvlJc w:val="left"/>
      <w:lvlText w:val="(%1)"/>
      <w:numFmt w:val="lowerRoman"/>
      <w:start w:val="4"/>
    </w:lvl>
  </w:abstractNum>
  <w:abstractNum w:abstractNumId="133">
    <w:nsid w:val="BFFAE18"/>
    <w:multiLevelType w:val="hybridMultilevel"/>
    <w:lvl w:ilvl="0">
      <w:lvlJc w:val="left"/>
      <w:lvlText w:val="(%1)"/>
      <w:numFmt w:val="lowerRoman"/>
      <w:start w:val="5"/>
    </w:lvl>
  </w:abstractNum>
  <w:abstractNum w:abstractNumId="134">
    <w:nsid w:val="E3E47A8"/>
    <w:multiLevelType w:val="hybridMultilevel"/>
    <w:lvl w:ilvl="0">
      <w:lvlJc w:val="left"/>
      <w:lvlText w:val="•"/>
      <w:numFmt w:val="bullet"/>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2026-05-18T16:16:05Z</dcterms:created>
  <dcterms:modified xsi:type="dcterms:W3CDTF">2026-05-18T16:16:05Z</dcterms:modified>
</cp:coreProperties>
</file>