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confidentially submitted to the Securities and Exchange Commission on September 25, 2020.</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w:t>
      </w:r>
    </w:p>
    <w:p>
      <w:pPr>
        <w:spacing w:after="0" w:line="80" w:lineRule="exact"/>
        <w:rPr>
          <w:sz w:val="24"/>
          <w:szCs w:val="24"/>
          <w:color w:val="auto"/>
        </w:rPr>
      </w:pPr>
    </w:p>
    <w:p>
      <w:pPr>
        <w:ind w:left="93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-95885</wp:posOffset>
            </wp:positionV>
            <wp:extent cx="192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i w:val="1"/>
          <w:iCs w:val="1"/>
          <w:color w:val="auto"/>
        </w:rPr>
        <w:t>Under</w:t>
      </w:r>
    </w:p>
    <w:p>
      <w:pPr>
        <w:jc w:val="center"/>
        <w:ind w:right="20"/>
        <w:spacing w:after="0"/>
        <w:rPr>
          <w:sz w:val="20"/>
          <w:szCs w:val="20"/>
          <w:color w:val="auto"/>
        </w:rPr>
      </w:pPr>
      <w:r>
        <w:rPr>
          <w:rFonts w:ascii="Arial" w:cs="Arial" w:eastAsia="Arial" w:hAnsi="Arial"/>
          <w:sz w:val="20"/>
          <w:szCs w:val="20"/>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SEER,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22"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310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Delaware</w:t>
            </w:r>
          </w:p>
        </w:tc>
        <w:tc>
          <w:tcPr>
            <w:tcW w:w="360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6"/>
              </w:rPr>
              <w:t>3826</w:t>
            </w:r>
          </w:p>
        </w:tc>
        <w:tc>
          <w:tcPr>
            <w:tcW w:w="640" w:type="dxa"/>
            <w:vAlign w:val="bottom"/>
          </w:tcPr>
          <w:p>
            <w:pPr>
              <w:spacing w:after="0"/>
              <w:rPr>
                <w:sz w:val="16"/>
                <w:szCs w:val="16"/>
                <w:color w:val="auto"/>
              </w:rPr>
            </w:pPr>
          </w:p>
        </w:tc>
        <w:tc>
          <w:tcPr>
            <w:tcW w:w="2840" w:type="dxa"/>
            <w:vAlign w:val="bottom"/>
          </w:tcPr>
          <w:p>
            <w:pPr>
              <w:jc w:val="right"/>
              <w:ind w:right="848"/>
              <w:spacing w:after="0"/>
              <w:rPr>
                <w:sz w:val="20"/>
                <w:szCs w:val="20"/>
                <w:color w:val="auto"/>
              </w:rPr>
            </w:pPr>
            <w:r>
              <w:rPr>
                <w:rFonts w:ascii="Arial" w:cs="Arial" w:eastAsia="Arial" w:hAnsi="Arial"/>
                <w:sz w:val="14"/>
                <w:szCs w:val="14"/>
                <w:b w:val="1"/>
                <w:bCs w:val="1"/>
                <w:color w:val="auto"/>
              </w:rPr>
              <w:t>82-1153150</w:t>
            </w:r>
          </w:p>
        </w:tc>
        <w:tc>
          <w:tcPr>
            <w:tcW w:w="0" w:type="dxa"/>
            <w:vAlign w:val="bottom"/>
          </w:tcPr>
          <w:p>
            <w:pPr>
              <w:spacing w:after="0"/>
              <w:rPr>
                <w:sz w:val="1"/>
                <w:szCs w:val="1"/>
                <w:color w:val="auto"/>
              </w:rPr>
            </w:pPr>
          </w:p>
        </w:tc>
      </w:tr>
      <w:tr>
        <w:trPr>
          <w:trHeight w:val="165"/>
        </w:trPr>
        <w:tc>
          <w:tcPr>
            <w:tcW w:w="310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4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(Primary Standard Industrial Classification Code Number)</w:t>
            </w:r>
          </w:p>
        </w:tc>
        <w:tc>
          <w:tcPr>
            <w:tcW w:w="284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10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organization)</w:t>
            </w:r>
          </w:p>
        </w:tc>
        <w:tc>
          <w:tcPr>
            <w:tcW w:w="4240" w:type="dxa"/>
            <w:vAlign w:val="bottom"/>
            <w:gridSpan w:val="3"/>
            <w:vMerge w:val="continue"/>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3800 Bridge Parkway, Suite 102</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Redwood City, California 94065</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360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4"/>
              </w:rPr>
              <w:t>650-453-0000</w:t>
            </w:r>
          </w:p>
        </w:tc>
        <w:tc>
          <w:tcPr>
            <w:tcW w:w="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18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Omid Farokhzad, M.D.</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Chief Executive Officer</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Seer, Inc.</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3800 Bridge Parkway, Suite 102</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Redwood City, California 94065</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360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4"/>
              </w:rPr>
              <w:t>650-453-0000</w:t>
            </w:r>
          </w:p>
        </w:tc>
        <w:tc>
          <w:tcPr>
            <w:tcW w:w="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18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w w:val="91"/>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gridSpan w:val="2"/>
          </w:tcPr>
          <w:p>
            <w:pPr>
              <w:jc w:val="center"/>
              <w:ind w:right="660"/>
              <w:spacing w:after="0"/>
              <w:rPr>
                <w:sz w:val="20"/>
                <w:szCs w:val="20"/>
                <w:color w:val="auto"/>
              </w:rPr>
            </w:pPr>
            <w:r>
              <w:rPr>
                <w:rFonts w:ascii="Arial" w:cs="Arial" w:eastAsia="Arial" w:hAnsi="Arial"/>
                <w:sz w:val="16"/>
                <w:szCs w:val="16"/>
                <w:i w:val="1"/>
                <w:iCs w:val="1"/>
                <w:color w:val="auto"/>
                <w:w w:val="94"/>
              </w:rPr>
              <w:t>Copies to:</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jc w:val="center"/>
              <w:ind w:right="4169"/>
              <w:spacing w:after="0"/>
              <w:rPr>
                <w:sz w:val="20"/>
                <w:szCs w:val="20"/>
                <w:color w:val="auto"/>
              </w:rPr>
            </w:pPr>
            <w:r>
              <w:rPr>
                <w:rFonts w:ascii="Arial" w:cs="Arial" w:eastAsia="Arial" w:hAnsi="Arial"/>
                <w:sz w:val="14"/>
                <w:szCs w:val="14"/>
                <w:b w:val="1"/>
                <w:bCs w:val="1"/>
                <w:color w:val="auto"/>
                <w:w w:val="91"/>
              </w:rPr>
              <w:t>Tony Jeffries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Alan F. Denenberg</w:t>
            </w:r>
          </w:p>
        </w:tc>
      </w:tr>
      <w:tr>
        <w:trPr>
          <w:trHeight w:val="149"/>
        </w:trPr>
        <w:tc>
          <w:tcPr>
            <w:tcW w:w="8280" w:type="dxa"/>
            <w:vAlign w:val="bottom"/>
          </w:tcPr>
          <w:p>
            <w:pPr>
              <w:jc w:val="center"/>
              <w:ind w:right="4149"/>
              <w:spacing w:after="0" w:line="149" w:lineRule="exact"/>
              <w:rPr>
                <w:sz w:val="20"/>
                <w:szCs w:val="20"/>
                <w:color w:val="auto"/>
              </w:rPr>
            </w:pPr>
            <w:r>
              <w:rPr>
                <w:rFonts w:ascii="Arial" w:cs="Arial" w:eastAsia="Arial" w:hAnsi="Arial"/>
                <w:sz w:val="14"/>
                <w:szCs w:val="14"/>
                <w:b w:val="1"/>
                <w:bCs w:val="1"/>
                <w:color w:val="auto"/>
                <w:w w:val="93"/>
              </w:rPr>
              <w:t>Christina L. Poulsen</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8280" w:type="dxa"/>
            <w:vAlign w:val="bottom"/>
          </w:tcPr>
          <w:p>
            <w:pPr>
              <w:jc w:val="center"/>
              <w:ind w:right="4169"/>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1600 El Camino Real</w:t>
            </w:r>
          </w:p>
        </w:tc>
      </w:tr>
      <w:tr>
        <w:trPr>
          <w:trHeight w:val="148"/>
        </w:trPr>
        <w:tc>
          <w:tcPr>
            <w:tcW w:w="8280" w:type="dxa"/>
            <w:vAlign w:val="bottom"/>
          </w:tcPr>
          <w:p>
            <w:pPr>
              <w:jc w:val="center"/>
              <w:ind w:right="4169"/>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Menlo Park, California 94025</w:t>
            </w:r>
          </w:p>
        </w:tc>
      </w:tr>
      <w:tr>
        <w:trPr>
          <w:trHeight w:val="149"/>
        </w:trPr>
        <w:tc>
          <w:tcPr>
            <w:tcW w:w="8280" w:type="dxa"/>
            <w:vAlign w:val="bottom"/>
          </w:tcPr>
          <w:p>
            <w:pPr>
              <w:jc w:val="center"/>
              <w:ind w:right="4149"/>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650-752-2000</w:t>
            </w:r>
          </w:p>
        </w:tc>
      </w:tr>
      <w:tr>
        <w:trPr>
          <w:trHeight w:val="186"/>
        </w:trPr>
        <w:tc>
          <w:tcPr>
            <w:tcW w:w="8280" w:type="dxa"/>
            <w:vAlign w:val="bottom"/>
          </w:tcPr>
          <w:p>
            <w:pPr>
              <w:jc w:val="center"/>
              <w:ind w:right="4149"/>
              <w:spacing w:after="0"/>
              <w:rPr>
                <w:sz w:val="20"/>
                <w:szCs w:val="20"/>
                <w:color w:val="auto"/>
              </w:rPr>
            </w:pPr>
            <w:r>
              <w:rPr>
                <w:rFonts w:ascii="Arial" w:cs="Arial" w:eastAsia="Arial" w:hAnsi="Arial"/>
                <w:sz w:val="14"/>
                <w:szCs w:val="14"/>
                <w:b w:val="1"/>
                <w:bCs w:val="1"/>
                <w:color w:val="auto"/>
                <w:w w:val="94"/>
              </w:rPr>
              <w:t>650-493-9300</w:t>
            </w:r>
          </w:p>
        </w:tc>
        <w:tc>
          <w:tcPr>
            <w:tcW w:w="1860" w:type="dxa"/>
            <w:vAlign w:val="bottom"/>
          </w:tcPr>
          <w:p>
            <w:pPr>
              <w:spacing w:after="0"/>
              <w:rPr>
                <w:sz w:val="16"/>
                <w:szCs w:val="16"/>
                <w:color w:val="auto"/>
              </w:rPr>
            </w:pPr>
          </w:p>
        </w:tc>
      </w:tr>
      <w:tr>
        <w:trPr>
          <w:trHeight w:val="214"/>
        </w:trPr>
        <w:tc>
          <w:tcPr>
            <w:tcW w:w="8280" w:type="dxa"/>
            <w:vAlign w:val="bottom"/>
          </w:tcPr>
          <w:p>
            <w:pPr>
              <w:spacing w:after="0"/>
              <w:rPr>
                <w:sz w:val="20"/>
                <w:szCs w:val="20"/>
                <w:color w:val="auto"/>
              </w:rPr>
            </w:pPr>
            <w:r>
              <w:rPr>
                <w:rFonts w:ascii="Arial" w:cs="Arial" w:eastAsia="Arial" w:hAnsi="Arial"/>
                <w:sz w:val="13"/>
                <w:szCs w:val="13"/>
                <w:b w:val="1"/>
                <w:bCs w:val="1"/>
                <w:color w:val="auto"/>
                <w:w w:val="92"/>
              </w:rPr>
              <w:t>Approximate date of commencement of proposed sale to the public: As soon as practicable after the effective date of this registration statement.</w:t>
            </w:r>
          </w:p>
        </w:tc>
        <w:tc>
          <w:tcPr>
            <w:tcW w:w="1860" w:type="dxa"/>
            <w:vAlign w:val="bottom"/>
          </w:tcPr>
          <w:p>
            <w:pPr>
              <w:spacing w:after="0"/>
              <w:rPr>
                <w:sz w:val="18"/>
                <w:szCs w:val="18"/>
                <w:color w:val="auto"/>
              </w:rPr>
            </w:pPr>
          </w:p>
        </w:tc>
      </w:tr>
    </w:tbl>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right="100"/>
        <w:spacing w:after="0" w:line="17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120"/>
        <w:spacing w:after="0" w:line="29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6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060" w:type="dxa"/>
            <w:vAlign w:val="bottom"/>
          </w:tcPr>
          <w:p>
            <w:pPr>
              <w:ind w:left="3240"/>
              <w:spacing w:after="0"/>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7" w:lineRule="exact"/>
        <w:rPr>
          <w:sz w:val="24"/>
          <w:szCs w:val="24"/>
          <w:color w:val="auto"/>
        </w:rPr>
      </w:pPr>
    </w:p>
    <w:p>
      <w:pPr>
        <w:jc w:val="both"/>
        <w:ind w:right="180"/>
        <w:spacing w:after="0" w:line="17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68580</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7740" w:type="dxa"/>
            <w:vAlign w:val="bottom"/>
            <w:tcBorders>
              <w:top w:val="single" w:sz="8" w:color="auto"/>
              <w:left w:val="single" w:sz="8" w:color="auto"/>
              <w:right w:val="single" w:sz="8" w:color="auto"/>
            </w:tcBorders>
          </w:tcPr>
          <w:p>
            <w:pPr>
              <w:spacing w:after="0"/>
              <w:rPr>
                <w:sz w:val="15"/>
                <w:szCs w:val="15"/>
                <w:color w:val="auto"/>
              </w:rPr>
            </w:pPr>
          </w:p>
        </w:tc>
        <w:tc>
          <w:tcPr>
            <w:tcW w:w="17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Proposed Maximum</w:t>
            </w:r>
          </w:p>
        </w:tc>
        <w:tc>
          <w:tcPr>
            <w:tcW w:w="1760" w:type="dxa"/>
            <w:vAlign w:val="bottom"/>
            <w:tcBorders>
              <w:top w:val="single" w:sz="8" w:color="auto"/>
              <w:right w:val="single" w:sz="8" w:color="auto"/>
            </w:tcBorders>
          </w:tcPr>
          <w:p>
            <w:pPr>
              <w:spacing w:after="0"/>
              <w:rPr>
                <w:sz w:val="15"/>
                <w:szCs w:val="15"/>
                <w:color w:val="auto"/>
              </w:rPr>
            </w:pPr>
          </w:p>
        </w:tc>
      </w:tr>
      <w:tr>
        <w:trPr>
          <w:trHeight w:val="202"/>
        </w:trPr>
        <w:tc>
          <w:tcPr>
            <w:tcW w:w="7740" w:type="dxa"/>
            <w:vAlign w:val="bottom"/>
            <w:tcBorders>
              <w:left w:val="single" w:sz="8" w:color="auto"/>
              <w:bottom w:val="single" w:sz="8" w:color="auto"/>
              <w:right w:val="single" w:sz="8" w:color="auto"/>
            </w:tcBorders>
          </w:tcPr>
          <w:p>
            <w:pPr>
              <w:ind w:left="2460"/>
              <w:spacing w:after="0"/>
              <w:rPr>
                <w:sz w:val="20"/>
                <w:szCs w:val="20"/>
                <w:color w:val="auto"/>
              </w:rPr>
            </w:pPr>
            <w:r>
              <w:rPr>
                <w:rFonts w:ascii="Arial" w:cs="Arial" w:eastAsia="Arial" w:hAnsi="Arial"/>
                <w:sz w:val="14"/>
                <w:szCs w:val="14"/>
                <w:color w:val="auto"/>
              </w:rPr>
              <w:t>Title of Each Class of Securities to be Registered</w:t>
            </w:r>
          </w:p>
        </w:tc>
        <w:tc>
          <w:tcPr>
            <w:tcW w:w="1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5"/>
              </w:rPr>
              <w:t>Aggregate Offering Price</w:t>
            </w:r>
            <w:r>
              <w:rPr>
                <w:rFonts w:ascii="Arial" w:cs="Arial" w:eastAsia="Arial" w:hAnsi="Arial"/>
                <w:sz w:val="9"/>
                <w:szCs w:val="9"/>
                <w:color w:val="auto"/>
                <w:w w:val="95"/>
              </w:rPr>
              <w:t>(1)(2)</w:t>
            </w: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w w:val="97"/>
              </w:rPr>
              <w:t>Amount of Registration Fee</w:t>
            </w:r>
          </w:p>
        </w:tc>
      </w:tr>
      <w:tr>
        <w:trPr>
          <w:trHeight w:val="209"/>
        </w:trPr>
        <w:tc>
          <w:tcPr>
            <w:tcW w:w="7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Class A Common Stock, $ 0.00001 par value</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auto"/>
              <w:right w:val="single" w:sz="8" w:color="auto"/>
            </w:tcBorders>
          </w:tcPr>
          <w:p>
            <w:pPr>
              <w:jc w:val="right"/>
              <w:ind w:right="1610"/>
              <w:spacing w:after="0"/>
              <w:rPr>
                <w:sz w:val="20"/>
                <w:szCs w:val="20"/>
                <w:color w:val="auto"/>
              </w:rPr>
            </w:pPr>
            <w:r>
              <w:rPr>
                <w:rFonts w:ascii="Arial" w:cs="Arial" w:eastAsia="Arial" w:hAnsi="Arial"/>
                <w:sz w:val="13"/>
                <w:szCs w:val="13"/>
                <w:color w:val="auto"/>
                <w:w w:val="82"/>
              </w:rPr>
              <w:t>$</w:t>
            </w:r>
          </w:p>
        </w:tc>
      </w:tr>
      <w:tr>
        <w:trPr>
          <w:trHeight w:val="41"/>
        </w:trPr>
        <w:tc>
          <w:tcPr>
            <w:tcW w:w="77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bl>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Class A common stock that the underwriters have the option to purchase.</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44" w:lineRule="exact"/>
        <w:rPr>
          <w:sz w:val="24"/>
          <w:szCs w:val="24"/>
          <w:color w:val="auto"/>
        </w:rPr>
      </w:pPr>
    </w:p>
    <w:p>
      <w:pPr>
        <w:ind w:right="360"/>
        <w:spacing w:after="0" w:line="28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0"/>
          </w:cols>
          <w:pgMar w:left="320" w:top="630" w:right="319" w:bottom="1440" w:gutter="0" w:footer="0" w:header="0"/>
        </w:sectPr>
      </w:pPr>
    </w:p>
    <w:bookmarkStart w:id="1" w:name="page2"/>
    <w:bookmarkEnd w:id="1"/>
    <w:p>
      <w:pPr>
        <w:ind w:right="100"/>
        <w:spacing w:after="0" w:line="287" w:lineRule="auto"/>
        <w:rPr>
          <w:sz w:val="20"/>
          <w:szCs w:val="20"/>
          <w:color w:val="auto"/>
        </w:rPr>
      </w:pPr>
      <w:r>
        <w:rPr>
          <w:rFonts w:ascii="Arial" w:cs="Arial" w:eastAsia="Arial" w:hAnsi="Arial"/>
          <w:sz w:val="17"/>
          <w:szCs w:val="17"/>
          <w:b w:val="1"/>
          <w:bCs w:val="1"/>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b w:val="1"/>
          <w:bCs w:val="1"/>
          <w:color w:val="F1665F"/>
        </w:rPr>
        <w:t>SUBJECT TO COMPLETION, DATED</w:t>
      </w:r>
      <w:r>
        <w:rPr>
          <w:sz w:val="20"/>
          <w:szCs w:val="20"/>
          <w:color w:val="auto"/>
        </w:rPr>
        <w:tab/>
      </w:r>
      <w:r>
        <w:rPr>
          <w:rFonts w:ascii="Arial" w:cs="Arial" w:eastAsia="Arial" w:hAnsi="Arial"/>
          <w:sz w:val="15"/>
          <w:szCs w:val="15"/>
          <w:b w:val="1"/>
          <w:bCs w:val="1"/>
          <w:color w:val="F1665F"/>
        </w:rPr>
        <w:t>,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24130</wp:posOffset>
            </wp:positionV>
            <wp:extent cx="1285875" cy="128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200" w:lineRule="exact"/>
        <w:rPr>
          <w:sz w:val="20"/>
          <w:szCs w:val="20"/>
          <w:color w:val="auto"/>
        </w:rPr>
      </w:pPr>
    </w:p>
    <w:p>
      <w:pPr>
        <w:spacing w:after="0" w:line="25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offering shares of our Class A common stock. This is our initial public offering of our Class A common stock, and no public market currently exists for our Class A common stock. The rights of the holders of Class A common stock and Class B common stock are substantially identical, except with respect to voting and conversion. Each share of Class A common stock is entitled to one vote per share. Each share of Class B common stock is entitled to ten votes per share and is convertible at any time into one share of Class A common stock. Following this offering, outstanding</w:t>
      </w:r>
    </w:p>
    <w:p>
      <w:pPr>
        <w:spacing w:after="0" w:line="1"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shares of Class B common stock will represent approximately</w:t>
      </w:r>
      <w:r>
        <w:rPr>
          <w:sz w:val="20"/>
          <w:szCs w:val="20"/>
          <w:color w:val="auto"/>
        </w:rPr>
        <w:tab/>
      </w:r>
      <w:r>
        <w:rPr>
          <w:rFonts w:ascii="Arial" w:cs="Arial" w:eastAsia="Arial" w:hAnsi="Arial"/>
          <w:sz w:val="16"/>
          <w:szCs w:val="16"/>
          <w:color w:val="auto"/>
        </w:rPr>
        <w:t>% of the voting power of our outstanding capital stock.</w:t>
      </w:r>
    </w:p>
    <w:p>
      <w:pPr>
        <w:sectPr>
          <w:pgSz w:w="11900" w:h="16838" w:orient="portrait"/>
          <w:cols w:equalWidth="0" w:num="1">
            <w:col w:w="11240"/>
          </w:cols>
          <w:pgMar w:left="320" w:top="769" w:right="339" w:bottom="1440" w:gutter="0" w:footer="0" w:header="0"/>
        </w:sectPr>
      </w:pP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the initial public offering price to be between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per share. We intend to apply to list our Class A common stock on the</w:t>
      </w:r>
    </w:p>
    <w:p>
      <w:pPr>
        <w:spacing w:after="0" w:line="46" w:lineRule="exact"/>
        <w:rPr>
          <w:sz w:val="20"/>
          <w:szCs w:val="20"/>
          <w:color w:val="auto"/>
        </w:rPr>
      </w:pPr>
    </w:p>
    <w:p>
      <w:pPr>
        <w:sectPr>
          <w:pgSz w:w="11900" w:h="16838" w:orient="portrait"/>
          <w:cols w:equalWidth="0" w:num="3">
            <w:col w:w="4520" w:space="440"/>
            <w:col w:w="400" w:space="540"/>
            <w:col w:w="5340"/>
          </w:cols>
          <w:pgMar w:left="320" w:top="769" w:right="3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under the symbol “SEER.”</w:t>
      </w:r>
    </w:p>
    <w:p>
      <w:pPr>
        <w:sectPr>
          <w:pgSz w:w="11900" w:h="16838" w:orient="portrait"/>
          <w:cols w:equalWidth="0" w:num="1">
            <w:col w:w="11240"/>
          </w:cols>
          <w:pgMar w:left="320" w:top="769" w:right="339" w:bottom="1440" w:gutter="0" w:footer="0" w:header="0"/>
          <w:type w:val="continuous"/>
        </w:sectPr>
      </w:pPr>
    </w:p>
    <w:p>
      <w:pPr>
        <w:spacing w:after="0" w:line="18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Investing in our Class A common stock involves a high degree of risk. Please read “Risk Factors” beginning on page 17 of this prospectus.</w:t>
      </w:r>
    </w:p>
    <w:p>
      <w:pPr>
        <w:spacing w:after="0" w:line="179" w:lineRule="exact"/>
        <w:rPr>
          <w:sz w:val="20"/>
          <w:szCs w:val="20"/>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bottom w:val="single" w:sz="8" w:color="CCEEFF"/>
            </w:tcBorders>
            <w:shd w:val="clear" w:color="auto" w:fill="CCEEFF"/>
          </w:tcPr>
          <w:p>
            <w:pPr>
              <w:jc w:val="right"/>
              <w:ind w:right="137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375"/>
              <w:spacing w:after="0"/>
              <w:rPr>
                <w:sz w:val="20"/>
                <w:szCs w:val="20"/>
                <w:color w:val="auto"/>
              </w:rPr>
            </w:pPr>
            <w:r>
              <w:rPr>
                <w:rFonts w:ascii="Arial" w:cs="Arial" w:eastAsia="Arial" w:hAnsi="Arial"/>
                <w:sz w:val="18"/>
                <w:szCs w:val="18"/>
                <w:color w:val="auto"/>
                <w:w w:val="79"/>
              </w:rPr>
              <w:t>$</w:t>
            </w:r>
          </w:p>
        </w:tc>
      </w:tr>
      <w:tr>
        <w:trPr>
          <w:trHeight w:val="283"/>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560" w:type="dxa"/>
            <w:vAlign w:val="bottom"/>
          </w:tcPr>
          <w:p>
            <w:pPr>
              <w:jc w:val="right"/>
              <w:ind w:right="1375"/>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560" w:type="dxa"/>
            <w:vAlign w:val="bottom"/>
          </w:tcPr>
          <w:p>
            <w:pPr>
              <w:jc w:val="right"/>
              <w:ind w:right="1375"/>
              <w:spacing w:after="0"/>
              <w:rPr>
                <w:sz w:val="20"/>
                <w:szCs w:val="20"/>
                <w:color w:val="auto"/>
              </w:rPr>
            </w:pPr>
            <w:r>
              <w:rPr>
                <w:rFonts w:ascii="Arial" w:cs="Arial" w:eastAsia="Arial" w:hAnsi="Arial"/>
                <w:sz w:val="18"/>
                <w:szCs w:val="18"/>
                <w:color w:val="auto"/>
                <w:w w:val="7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to Seer, Inc., before expenses</w:t>
            </w:r>
          </w:p>
        </w:tc>
        <w:tc>
          <w:tcPr>
            <w:tcW w:w="1560" w:type="dxa"/>
            <w:vAlign w:val="bottom"/>
          </w:tcPr>
          <w:p>
            <w:pPr>
              <w:jc w:val="right"/>
              <w:ind w:right="1375"/>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560" w:type="dxa"/>
            <w:vAlign w:val="bottom"/>
          </w:tcPr>
          <w:p>
            <w:pPr>
              <w:jc w:val="right"/>
              <w:ind w:right="1375"/>
              <w:spacing w:after="0"/>
              <w:rPr>
                <w:sz w:val="20"/>
                <w:szCs w:val="20"/>
                <w:color w:val="auto"/>
              </w:rPr>
            </w:pPr>
            <w:r>
              <w:rPr>
                <w:rFonts w:ascii="Arial" w:cs="Arial" w:eastAsia="Arial" w:hAnsi="Arial"/>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See “Underwriting” beginning on page 160 for additional information regarding underwriter compensation.</w:t>
      </w:r>
    </w:p>
    <w:p>
      <w:pPr>
        <w:spacing w:after="0" w:line="15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Delivery of the shares of Class A common stock is expected to be made on or about , 2020. We have granted the underwriters an option for a period of 30 days to purchase an additional shares of our Class A common stock. If the underwriters exercise the option in full, the total underwriting discounts and commissions payable by us will be $ and the total proceeds to us, before expenses, will be $ .</w:t>
      </w:r>
    </w:p>
    <w:p>
      <w:pPr>
        <w:sectPr>
          <w:pgSz w:w="11900" w:h="16838" w:orient="portrait"/>
          <w:cols w:equalWidth="0" w:num="1">
            <w:col w:w="11240"/>
          </w:cols>
          <w:pgMar w:left="320" w:top="769" w:right="339" w:bottom="1440" w:gutter="0" w:footer="0" w:header="0"/>
          <w:type w:val="continuous"/>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11" w:lineRule="exact"/>
        <w:rPr>
          <w:sz w:val="20"/>
          <w:szCs w:val="20"/>
          <w:color w:val="auto"/>
        </w:rPr>
      </w:pPr>
    </w:p>
    <w:p>
      <w:pPr>
        <w:sectPr>
          <w:pgSz w:w="11900" w:h="16838" w:orient="portrait"/>
          <w:cols w:equalWidth="0" w:num="4">
            <w:col w:w="2540" w:space="720"/>
            <w:col w:w="2600" w:space="720"/>
            <w:col w:w="3080" w:space="720"/>
            <w:col w:w="860"/>
          </w:cols>
          <w:pgMar w:left="320" w:top="769" w:right="339" w:bottom="1440" w:gutter="0" w:footer="0" w:header="0"/>
          <w:type w:val="continuous"/>
        </w:sectPr>
      </w:pPr>
    </w:p>
    <w:p>
      <w:pPr>
        <w:spacing w:after="0" w:line="4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 2020</w:t>
      </w:r>
    </w:p>
    <w:p>
      <w:pPr>
        <w:sectPr>
          <w:pgSz w:w="11900" w:h="16838" w:orient="portrait"/>
          <w:cols w:equalWidth="0" w:num="2">
            <w:col w:w="6240" w:space="720"/>
            <w:col w:w="4280"/>
          </w:cols>
          <w:pgMar w:left="320" w:top="769" w:right="339" w:bottom="1440" w:gutter="0" w:footer="0" w:header="0"/>
          <w:type w:val="continuous"/>
        </w:sectPr>
      </w:pPr>
    </w:p>
    <w:bookmarkStart w:id="2" w:name="page3"/>
    <w:bookmarkEnd w:id="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920" w:type="dxa"/>
            <w:vAlign w:val="bottom"/>
            <w:gridSpan w:val="3"/>
          </w:tcPr>
          <w:p>
            <w:pPr>
              <w:jc w:val="center"/>
              <w:ind w:left="431"/>
              <w:spacing w:after="0"/>
              <w:rPr>
                <w:sz w:val="20"/>
                <w:szCs w:val="20"/>
                <w:color w:val="auto"/>
              </w:rPr>
            </w:pPr>
            <w:r>
              <w:rPr>
                <w:rFonts w:ascii="Arial" w:cs="Arial" w:eastAsia="Arial" w:hAnsi="Arial"/>
                <w:sz w:val="14"/>
                <w:szCs w:val="14"/>
                <w:b w:val="1"/>
                <w:bCs w:val="1"/>
                <w:color w:val="auto"/>
              </w:rPr>
              <w:t>PAGE</w:t>
            </w:r>
          </w:p>
        </w:tc>
      </w:tr>
      <w:tr>
        <w:trPr>
          <w:trHeight w:val="241"/>
        </w:trPr>
        <w:tc>
          <w:tcPr>
            <w:tcW w:w="1014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PROSPECTUS SUMMARY</w:t>
              </w:r>
            </w:hyperlink>
          </w:p>
        </w:tc>
        <w:tc>
          <w:tcPr>
            <w:tcW w:w="840" w:type="dxa"/>
            <w:vAlign w:val="bottom"/>
            <w:gridSpan w:val="2"/>
          </w:tcPr>
          <w:p>
            <w:pPr>
              <w:jc w:val="center"/>
              <w:ind w:left="511"/>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80" w:type="dxa"/>
            <w:vAlign w:val="bottom"/>
          </w:tcPr>
          <w:p>
            <w:pPr>
              <w:spacing w:after="0"/>
              <w:rPr>
                <w:sz w:val="20"/>
                <w:szCs w:val="20"/>
                <w:color w:val="auto"/>
              </w:rPr>
            </w:pPr>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GLOSSARY</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SPECIAL NOTE REGARDING FORWARD-LOOKING STATEMENTS</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58</w:t>
              </w:r>
            </w:hyperlink>
          </w:p>
        </w:tc>
        <w:tc>
          <w:tcPr>
            <w:tcW w:w="80" w:type="dxa"/>
            <w:vAlign w:val="bottom"/>
          </w:tcPr>
          <w:p>
            <w:pPr>
              <w:spacing w:after="0"/>
              <w:rPr>
                <w:sz w:val="19"/>
                <w:szCs w:val="19"/>
                <w:color w:val="auto"/>
              </w:rPr>
            </w:pPr>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MARKET, INDUSTRY AND OTHER DATA</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60</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USE OF PROCEEDS</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62</w:t>
              </w:r>
            </w:hyperlink>
          </w:p>
        </w:tc>
        <w:tc>
          <w:tcPr>
            <w:tcW w:w="80" w:type="dxa"/>
            <w:vAlign w:val="bottom"/>
          </w:tcPr>
          <w:p>
            <w:pPr>
              <w:spacing w:after="0"/>
              <w:rPr>
                <w:sz w:val="19"/>
                <w:szCs w:val="19"/>
                <w:color w:val="auto"/>
              </w:rPr>
            </w:pPr>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DIVIDEND POLICY</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63</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CAPITALIZATION</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64</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DILUTION</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67</w:t>
              </w:r>
            </w:hyperlink>
          </w:p>
        </w:tc>
        <w:tc>
          <w:tcPr>
            <w:tcW w:w="80" w:type="dxa"/>
            <w:vAlign w:val="bottom"/>
          </w:tcPr>
          <w:p>
            <w:pPr>
              <w:spacing w:after="0"/>
              <w:rPr>
                <w:sz w:val="19"/>
                <w:szCs w:val="19"/>
                <w:color w:val="auto"/>
              </w:rPr>
            </w:pPr>
          </w:p>
        </w:tc>
      </w:tr>
      <w:tr>
        <w:trPr>
          <w:trHeight w:val="190"/>
        </w:trPr>
        <w:tc>
          <w:tcPr>
            <w:tcW w:w="2440" w:type="dxa"/>
            <w:vAlign w:val="bottom"/>
            <w:tcBorders>
              <w:bottom w:val="single" w:sz="8" w:color="0000FF"/>
            </w:tcBorders>
          </w:tcPr>
          <w:p>
            <w:pPr>
              <w:spacing w:after="0" w:line="190"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SELECTED FINANCIAL DATA</w:t>
              </w:r>
            </w:hyperlink>
          </w:p>
        </w:tc>
        <w:tc>
          <w:tcPr>
            <w:tcW w:w="7700" w:type="dxa"/>
            <w:vAlign w:val="bottom"/>
            <w:gridSpan w:val="2"/>
          </w:tcPr>
          <w:p>
            <w:pPr>
              <w:spacing w:after="0"/>
              <w:rPr>
                <w:sz w:val="16"/>
                <w:szCs w:val="16"/>
                <w:color w:val="auto"/>
              </w:rPr>
            </w:pPr>
          </w:p>
        </w:tc>
        <w:tc>
          <w:tcPr>
            <w:tcW w:w="840" w:type="dxa"/>
            <w:vAlign w:val="bottom"/>
            <w:gridSpan w:val="2"/>
          </w:tcPr>
          <w:p>
            <w:pPr>
              <w:jc w:val="center"/>
              <w:ind w:left="491"/>
              <w:spacing w:after="0" w:line="190" w:lineRule="exact"/>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70</w:t>
              </w:r>
            </w:hyperlink>
          </w:p>
        </w:tc>
        <w:tc>
          <w:tcPr>
            <w:tcW w:w="80" w:type="dxa"/>
            <w:vAlign w:val="bottom"/>
          </w:tcPr>
          <w:p>
            <w:pPr>
              <w:spacing w:after="0"/>
              <w:rPr>
                <w:sz w:val="16"/>
                <w:szCs w:val="16"/>
                <w:color w:val="auto"/>
              </w:rPr>
            </w:pPr>
          </w:p>
        </w:tc>
      </w:tr>
      <w:tr>
        <w:trPr>
          <w:trHeight w:val="249"/>
        </w:trPr>
        <w:tc>
          <w:tcPr>
            <w:tcW w:w="10140" w:type="dxa"/>
            <w:vAlign w:val="bottom"/>
            <w:gridSpan w:val="3"/>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MANAGEMENT’S DISCUSSION AND ANALYSIS OF FINANCIAL CONDITION AND RESULTS OF OPERATIONS</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72</w:t>
              </w:r>
            </w:hyperlink>
          </w:p>
        </w:tc>
        <w:tc>
          <w:tcPr>
            <w:tcW w:w="80" w:type="dxa"/>
            <w:vAlign w:val="bottom"/>
          </w:tcPr>
          <w:p>
            <w:pPr>
              <w:spacing w:after="0"/>
              <w:rPr>
                <w:sz w:val="21"/>
                <w:szCs w:val="21"/>
                <w:color w:val="auto"/>
              </w:rPr>
            </w:pPr>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BUSINESS</w:t>
              </w:r>
            </w:hyperlink>
          </w:p>
        </w:tc>
        <w:tc>
          <w:tcPr>
            <w:tcW w:w="840" w:type="dxa"/>
            <w:vAlign w:val="bottom"/>
            <w:gridSpan w:val="2"/>
          </w:tcPr>
          <w:p>
            <w:pPr>
              <w:jc w:val="center"/>
              <w:ind w:left="491"/>
              <w:spacing w:after="0"/>
              <w:rPr>
                <w:rFonts w:ascii="Arial" w:cs="Arial" w:eastAsia="Arial" w:hAnsi="Arial"/>
                <w:sz w:val="18"/>
                <w:szCs w:val="18"/>
                <w:u w:val="single" w:color="auto"/>
                <w:color w:val="0000FF"/>
                <w:w w:val="89"/>
              </w:rPr>
            </w:pPr>
            <w:hyperlink w:anchor="page86">
              <w:r>
                <w:rPr>
                  <w:rFonts w:ascii="Arial" w:cs="Arial" w:eastAsia="Arial" w:hAnsi="Arial"/>
                  <w:sz w:val="18"/>
                  <w:szCs w:val="18"/>
                  <w:u w:val="single" w:color="auto"/>
                  <w:color w:val="0000FF"/>
                  <w:w w:val="89"/>
                </w:rPr>
                <w:t>84</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MANAGEMENT</w:t>
              </w:r>
            </w:hyperlink>
          </w:p>
        </w:tc>
        <w:tc>
          <w:tcPr>
            <w:tcW w:w="920" w:type="dxa"/>
            <w:vAlign w:val="bottom"/>
            <w:gridSpan w:val="3"/>
          </w:tcPr>
          <w:p>
            <w:pPr>
              <w:jc w:val="center"/>
              <w:ind w:left="411"/>
              <w:spacing w:after="0"/>
              <w:rPr>
                <w:rFonts w:ascii="Arial" w:cs="Arial" w:eastAsia="Arial" w:hAnsi="Arial"/>
                <w:sz w:val="18"/>
                <w:szCs w:val="18"/>
                <w:u w:val="single" w:color="auto"/>
                <w:color w:val="0000FF"/>
                <w:w w:val="86"/>
              </w:rPr>
            </w:pPr>
            <w:hyperlink w:anchor="page121">
              <w:r>
                <w:rPr>
                  <w:rFonts w:ascii="Arial" w:cs="Arial" w:eastAsia="Arial" w:hAnsi="Arial"/>
                  <w:sz w:val="18"/>
                  <w:szCs w:val="18"/>
                  <w:u w:val="single" w:color="auto"/>
                  <w:color w:val="0000FF"/>
                  <w:w w:val="86"/>
                </w:rPr>
                <w:t>119</w:t>
              </w:r>
            </w:hyperlink>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EXECUTIVE COMPENSATION</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29">
              <w:r>
                <w:rPr>
                  <w:rFonts w:ascii="Arial" w:cs="Arial" w:eastAsia="Arial" w:hAnsi="Arial"/>
                  <w:sz w:val="18"/>
                  <w:szCs w:val="18"/>
                  <w:u w:val="single" w:color="auto"/>
                  <w:color w:val="0000FF"/>
                  <w:w w:val="93"/>
                </w:rPr>
                <w:t>127</w:t>
              </w:r>
            </w:hyperlink>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CERTAIN RELATIONSHIPS AND RELATED-PARTY TRANSACTIONS</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40">
              <w:r>
                <w:rPr>
                  <w:rFonts w:ascii="Arial" w:cs="Arial" w:eastAsia="Arial" w:hAnsi="Arial"/>
                  <w:sz w:val="18"/>
                  <w:szCs w:val="18"/>
                  <w:u w:val="single" w:color="auto"/>
                  <w:color w:val="0000FF"/>
                  <w:w w:val="93"/>
                </w:rPr>
                <w:t>138</w:t>
              </w:r>
            </w:hyperlink>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PRINCIPAL STOCKHOLDERS</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46">
              <w:r>
                <w:rPr>
                  <w:rFonts w:ascii="Arial" w:cs="Arial" w:eastAsia="Arial" w:hAnsi="Arial"/>
                  <w:sz w:val="18"/>
                  <w:szCs w:val="18"/>
                  <w:u w:val="single" w:color="auto"/>
                  <w:color w:val="0000FF"/>
                  <w:w w:val="93"/>
                </w:rPr>
                <w:t>144</w:t>
              </w:r>
            </w:hyperlink>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DESCRIPTION OF CAPITAL STOCK</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49">
              <w:r>
                <w:rPr>
                  <w:rFonts w:ascii="Arial" w:cs="Arial" w:eastAsia="Arial" w:hAnsi="Arial"/>
                  <w:sz w:val="18"/>
                  <w:szCs w:val="18"/>
                  <w:u w:val="single" w:color="auto"/>
                  <w:color w:val="0000FF"/>
                  <w:w w:val="93"/>
                </w:rPr>
                <w:t>147</w:t>
              </w:r>
            </w:hyperlink>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55">
              <w:r>
                <w:rPr>
                  <w:rFonts w:ascii="Arial" w:cs="Arial" w:eastAsia="Arial" w:hAnsi="Arial"/>
                  <w:sz w:val="18"/>
                  <w:szCs w:val="18"/>
                  <w:u w:val="single" w:color="auto"/>
                  <w:color w:val="0000FF"/>
                </w:rPr>
                <w:t>SHARES ELIGIBLE FOR FUTURE SALE</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55">
              <w:r>
                <w:rPr>
                  <w:rFonts w:ascii="Arial" w:cs="Arial" w:eastAsia="Arial" w:hAnsi="Arial"/>
                  <w:sz w:val="18"/>
                  <w:szCs w:val="18"/>
                  <w:u w:val="single" w:color="auto"/>
                  <w:color w:val="0000FF"/>
                  <w:w w:val="93"/>
                </w:rPr>
                <w:t>153</w:t>
              </w:r>
            </w:hyperlink>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MATERIAL U.S. FEDERAL INCOME AND TAX CONSIDERATIONS FOR NON-U.S. HOLDERS OF OUR COMMON STOCK</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58">
              <w:r>
                <w:rPr>
                  <w:rFonts w:ascii="Arial" w:cs="Arial" w:eastAsia="Arial" w:hAnsi="Arial"/>
                  <w:sz w:val="18"/>
                  <w:szCs w:val="18"/>
                  <w:u w:val="single" w:color="auto"/>
                  <w:color w:val="0000FF"/>
                  <w:w w:val="93"/>
                </w:rPr>
                <w:t>156</w:t>
              </w:r>
            </w:hyperlink>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UNDERWRITING</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62">
              <w:r>
                <w:rPr>
                  <w:rFonts w:ascii="Arial" w:cs="Arial" w:eastAsia="Arial" w:hAnsi="Arial"/>
                  <w:sz w:val="18"/>
                  <w:szCs w:val="18"/>
                  <w:u w:val="single" w:color="auto"/>
                  <w:color w:val="0000FF"/>
                  <w:w w:val="93"/>
                </w:rPr>
                <w:t>160</w:t>
              </w:r>
            </w:hyperlink>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LEGAL MATTERS</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72">
              <w:r>
                <w:rPr>
                  <w:rFonts w:ascii="Arial" w:cs="Arial" w:eastAsia="Arial" w:hAnsi="Arial"/>
                  <w:sz w:val="18"/>
                  <w:szCs w:val="18"/>
                  <w:u w:val="single" w:color="auto"/>
                  <w:color w:val="0000FF"/>
                  <w:w w:val="93"/>
                </w:rPr>
                <w:t>170</w:t>
              </w:r>
            </w:hyperlink>
          </w:p>
        </w:tc>
      </w:t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EXPERTS</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73">
              <w:r>
                <w:rPr>
                  <w:rFonts w:ascii="Arial" w:cs="Arial" w:eastAsia="Arial" w:hAnsi="Arial"/>
                  <w:sz w:val="18"/>
                  <w:szCs w:val="18"/>
                  <w:u w:val="single" w:color="auto"/>
                  <w:color w:val="0000FF"/>
                  <w:w w:val="93"/>
                </w:rPr>
                <w:t>170</w:t>
              </w:r>
            </w:hyperlink>
          </w:p>
        </w:tc>
      </w:tr>
      <w:tr>
        <w:trPr>
          <w:trHeight w:val="229"/>
        </w:trPr>
        <w:tc>
          <w:tcPr>
            <w:tcW w:w="10140" w:type="dxa"/>
            <w:vAlign w:val="bottom"/>
            <w:gridSpan w:val="3"/>
          </w:tcPr>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WHERE YOU CAN FIND ADDITIONAL INFORMATION</w:t>
              </w:r>
            </w:hyperlink>
          </w:p>
        </w:tc>
        <w:tc>
          <w:tcPr>
            <w:tcW w:w="920" w:type="dxa"/>
            <w:vAlign w:val="bottom"/>
            <w:gridSpan w:val="3"/>
          </w:tcPr>
          <w:p>
            <w:pPr>
              <w:jc w:val="center"/>
              <w:ind w:left="431"/>
              <w:spacing w:after="0"/>
              <w:rPr>
                <w:rFonts w:ascii="Arial" w:cs="Arial" w:eastAsia="Arial" w:hAnsi="Arial"/>
                <w:sz w:val="18"/>
                <w:szCs w:val="18"/>
                <w:u w:val="single" w:color="auto"/>
                <w:color w:val="0000FF"/>
                <w:w w:val="93"/>
              </w:rPr>
            </w:pPr>
            <w:hyperlink w:anchor="page173">
              <w:r>
                <w:rPr>
                  <w:rFonts w:ascii="Arial" w:cs="Arial" w:eastAsia="Arial" w:hAnsi="Arial"/>
                  <w:sz w:val="18"/>
                  <w:szCs w:val="18"/>
                  <w:u w:val="single" w:color="auto"/>
                  <w:color w:val="0000FF"/>
                  <w:w w:val="93"/>
                </w:rPr>
                <w:t>170</w:t>
              </w:r>
            </w:hyperlink>
          </w:p>
        </w:tc>
      </w:tr>
      <w:tr>
        <w:trPr>
          <w:trHeight w:val="190"/>
        </w:trPr>
        <w:tc>
          <w:tcPr>
            <w:tcW w:w="10140" w:type="dxa"/>
            <w:vAlign w:val="bottom"/>
            <w:gridSpan w:val="3"/>
          </w:tcPr>
          <w:p>
            <w:pPr>
              <w:spacing w:after="0" w:line="190" w:lineRule="exact"/>
              <w:rPr>
                <w:rFonts w:ascii="Arial" w:cs="Arial" w:eastAsia="Arial" w:hAnsi="Arial"/>
                <w:sz w:val="18"/>
                <w:szCs w:val="18"/>
                <w:color w:val="0000FF"/>
              </w:rPr>
            </w:pPr>
            <w:hyperlink w:anchor="page173">
              <w:r>
                <w:rPr>
                  <w:rFonts w:ascii="Arial" w:cs="Arial" w:eastAsia="Arial" w:hAnsi="Arial"/>
                  <w:sz w:val="18"/>
                  <w:szCs w:val="18"/>
                  <w:color w:val="0000FF"/>
                </w:rPr>
                <w:t>INDEX TO FINANCIAL STATEMENTS</w:t>
              </w:r>
            </w:hyperlink>
          </w:p>
        </w:tc>
        <w:tc>
          <w:tcPr>
            <w:tcW w:w="920" w:type="dxa"/>
            <w:vAlign w:val="bottom"/>
            <w:gridSpan w:val="3"/>
          </w:tcPr>
          <w:p>
            <w:pPr>
              <w:jc w:val="center"/>
              <w:ind w:left="431"/>
              <w:spacing w:after="0" w:line="190" w:lineRule="exact"/>
              <w:rPr>
                <w:rFonts w:ascii="Arial" w:cs="Arial" w:eastAsia="Arial" w:hAnsi="Arial"/>
                <w:sz w:val="18"/>
                <w:szCs w:val="18"/>
                <w:color w:val="0000FF"/>
                <w:w w:val="88"/>
              </w:rPr>
            </w:pPr>
            <w:hyperlink w:anchor="page173">
              <w:r>
                <w:rPr>
                  <w:rFonts w:ascii="Arial" w:cs="Arial" w:eastAsia="Arial" w:hAnsi="Arial"/>
                  <w:sz w:val="18"/>
                  <w:szCs w:val="18"/>
                  <w:color w:val="0000FF"/>
                  <w:w w:val="88"/>
                </w:rPr>
                <w:t>F-1</w:t>
              </w:r>
            </w:hyperlink>
          </w:p>
        </w:tc>
      </w:tr>
      <w:tr>
        <w:trPr>
          <w:trHeight w:val="20"/>
        </w:trPr>
        <w:tc>
          <w:tcPr>
            <w:tcW w:w="2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2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1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30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will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7"/>
          <w:szCs w:val="17"/>
          <w:i w:val="1"/>
          <w:iCs w:val="1"/>
          <w:color w:val="auto"/>
        </w:rPr>
        <w:t>de novo</w:t>
      </w:r>
      <w:r>
        <w:rPr>
          <w:rFonts w:ascii="Arial" w:cs="Arial" w:eastAsia="Arial" w:hAnsi="Arial"/>
          <w:sz w:val="17"/>
          <w:szCs w:val="17"/>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60"/>
          </w:cols>
          <w:pgMar w:left="1000" w:top="1440" w:right="10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96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We believe by following this approach we can appropriately scale our operations, deliver exceptional customer experiences, foster publications and develop a robust pipeline of customers to drive our revenue growth.</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of Massively Parallel Sampling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24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opportunities, including basic research and discovery, translational research and clinical applications, including early cancer detection, recurrence monitoring and non-invasive prenatal testing. Given the utility of proteins for measuring function, health and disease, we believe the same, if not a greater, opportunity exists for providing unbiased, deep, rapid and scalable access to the proteome.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Proprietary Engineered Nanoparticle Technology</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85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40" w:right="20" w:hanging="322"/>
        <w:spacing w:after="0" w:line="342"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69" w:lineRule="exact"/>
        <w:rPr>
          <w:rFonts w:ascii="Arial" w:cs="Arial" w:eastAsia="Arial" w:hAnsi="Arial"/>
          <w:sz w:val="16"/>
          <w:szCs w:val="16"/>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16" w:lineRule="exact"/>
        <w:rPr>
          <w:rFonts w:ascii="Arial" w:cs="Arial" w:eastAsia="Arial" w:hAnsi="Arial"/>
          <w:sz w:val="18"/>
          <w:szCs w:val="18"/>
          <w:color w:val="auto"/>
        </w:rPr>
      </w:pPr>
    </w:p>
    <w:p>
      <w:pPr>
        <w:ind w:left="640" w:right="60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Proteograph’s key components are the following:</w:t>
      </w:r>
    </w:p>
    <w:p>
      <w:pPr>
        <w:spacing w:after="0" w:line="171" w:lineRule="exact"/>
        <w:rPr>
          <w:sz w:val="20"/>
          <w:szCs w:val="20"/>
          <w:color w:val="auto"/>
        </w:rPr>
      </w:pPr>
    </w:p>
    <w:p>
      <w:pPr>
        <w:ind w:left="640" w:right="16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Consumables: Our Proteograph consumables consist of our NP panel and all other consumables necessary to assay samples on our automation instrument.</w:t>
      </w:r>
    </w:p>
    <w:p>
      <w:pPr>
        <w:spacing w:after="0" w:line="116" w:lineRule="exact"/>
        <w:rPr>
          <w:rFonts w:ascii="Arial" w:cs="Arial" w:eastAsia="Arial" w:hAnsi="Arial"/>
          <w:sz w:val="18"/>
          <w:szCs w:val="18"/>
          <w:color w:val="auto"/>
        </w:rPr>
      </w:pPr>
    </w:p>
    <w:p>
      <w:pPr>
        <w:ind w:left="640" w:right="20" w:hanging="322"/>
        <w:spacing w:after="0" w:line="259"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32"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Our Proteograph software was designed for ease-of-use and was developed to help users arrive at insights quickly and efficiently following peptide detection by an MS instrument.</w:t>
      </w:r>
    </w:p>
    <w:p>
      <w:pPr>
        <w:spacing w:after="0" w:line="11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w:t>
      </w:r>
    </w:p>
    <w:p>
      <w:pPr>
        <w:sectPr>
          <w:pgSz w:w="11900" w:h="16838" w:orient="portrait"/>
          <w:cols w:equalWidth="0" w:num="1">
            <w:col w:w="9900"/>
          </w:cols>
          <w:pgMar w:left="1000" w:top="1440" w:right="99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00"/>
          </w:cols>
          <w:pgMar w:left="1000" w:top="1440" w:right="999" w:bottom="1054"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provider. We estimate that there are approximately 16,000 MS instruments with configurations typically used to perform proteomic analysis installed worldwide and, therefore, we believe that MS systems are readily accessible by researchers.</w:t>
      </w:r>
    </w:p>
    <w:p>
      <w:pPr>
        <w:spacing w:after="0" w:line="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Proteograph Product Suite Performance</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3" w:lineRule="exact"/>
        <w:rPr>
          <w:sz w:val="20"/>
          <w:szCs w:val="20"/>
          <w:color w:val="auto"/>
        </w:rPr>
      </w:pPr>
    </w:p>
    <w:p>
      <w:pPr>
        <w:ind w:left="640" w:right="40" w:hanging="322"/>
        <w:spacing w:after="0" w:line="27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Breadth of protein sampling. </w:t>
      </w:r>
      <w:r>
        <w:rPr>
          <w:rFonts w:ascii="Arial" w:cs="Arial" w:eastAsia="Arial" w:hAnsi="Arial"/>
          <w:sz w:val="17"/>
          <w:szCs w:val="17"/>
          <w:color w:val="auto"/>
        </w:rPr>
        <w:t>Breadth of protein sampling refers to our Proteograph Product Suite’s ability to conduct unbiased,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highly parallel 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23" w:lineRule="exact"/>
        <w:rPr>
          <w:rFonts w:ascii="Arial" w:cs="Arial" w:eastAsia="Arial" w:hAnsi="Arial"/>
          <w:sz w:val="17"/>
          <w:szCs w:val="17"/>
          <w:color w:val="auto"/>
        </w:rPr>
      </w:pPr>
    </w:p>
    <w:p>
      <w:pPr>
        <w:ind w:left="640" w:right="60" w:hanging="322"/>
        <w:spacing w:after="0" w:line="293"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Depth of coverage. </w:t>
      </w:r>
      <w:r>
        <w:rPr>
          <w:rFonts w:ascii="Arial" w:cs="Arial" w:eastAsia="Arial" w:hAnsi="Arial"/>
          <w:sz w:val="16"/>
          <w:szCs w:val="16"/>
          <w:color w:val="auto"/>
        </w:rPr>
        <w:t>Depth of coverage refers to our Proteograph’s ability to evaluate the proteome across the wide dynamic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10" w:lineRule="exact"/>
        <w:rPr>
          <w:rFonts w:ascii="Arial" w:cs="Arial" w:eastAsia="Arial" w:hAnsi="Arial"/>
          <w:sz w:val="16"/>
          <w:szCs w:val="16"/>
          <w:color w:val="auto"/>
        </w:rPr>
      </w:pPr>
    </w:p>
    <w:p>
      <w:pPr>
        <w:ind w:left="640" w:right="20" w:hanging="322"/>
        <w:spacing w:after="0" w:line="27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sample. Accuracy of protein abundance measurement can be demonstrated by MS signal intensity of the proteins sampled with our Proteograph, and comparing these values with measurements obtained directly by immuno-assay (ELISA). Our Proteograph assay can distinguish changes in protein abundance with significant accuracy.</w:t>
      </w:r>
    </w:p>
    <w:p>
      <w:pPr>
        <w:spacing w:after="0" w:line="117" w:lineRule="exact"/>
        <w:rPr>
          <w:rFonts w:ascii="Arial" w:cs="Arial" w:eastAsia="Arial" w:hAnsi="Arial"/>
          <w:sz w:val="17"/>
          <w:szCs w:val="17"/>
          <w:color w:val="auto"/>
        </w:rPr>
      </w:pPr>
    </w:p>
    <w:p>
      <w:pPr>
        <w:ind w:left="640" w:hanging="322"/>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of measurement. </w:t>
      </w:r>
      <w:r>
        <w:rPr>
          <w:rFonts w:ascii="Arial" w:cs="Arial" w:eastAsia="Arial" w:hAnsi="Arial"/>
          <w:sz w:val="18"/>
          <w:szCs w:val="18"/>
          <w:color w:val="auto"/>
        </w:rPr>
        <w:t>Precision refers to how close several measurements of protein abundance in the same sample are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34" w:lineRule="exact"/>
        <w:rPr>
          <w:rFonts w:ascii="Arial" w:cs="Arial" w:eastAsia="Arial" w:hAnsi="Arial"/>
          <w:sz w:val="18"/>
          <w:szCs w:val="18"/>
          <w:color w:val="auto"/>
        </w:rPr>
      </w:pPr>
    </w:p>
    <w:p>
      <w:pPr>
        <w:ind w:left="640" w:right="12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Rapid and large-scale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Proteograph enables rapid and large-scale proteomic sample processing in a seven-hour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investigators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640" w:right="62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is expected to be the first commercially available solution to provide the combination of unbiased, deep, rapid and large-scale access to the proteome.</w:t>
      </w:r>
    </w:p>
    <w:p>
      <w:pPr>
        <w:spacing w:after="0" w:line="116" w:lineRule="exact"/>
        <w:rPr>
          <w:rFonts w:ascii="Arial" w:cs="Arial" w:eastAsia="Arial" w:hAnsi="Arial"/>
          <w:sz w:val="18"/>
          <w:szCs w:val="18"/>
          <w:color w:val="auto"/>
        </w:rPr>
      </w:pPr>
    </w:p>
    <w:p>
      <w:pPr>
        <w:ind w:left="640" w:right="180" w:hanging="322"/>
        <w:spacing w:after="0" w:line="30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92" w:lineRule="exact"/>
        <w:rPr>
          <w:rFonts w:ascii="Arial" w:cs="Arial" w:eastAsia="Arial" w:hAnsi="Arial"/>
          <w:sz w:val="17"/>
          <w:szCs w:val="17"/>
          <w:color w:val="auto"/>
        </w:rPr>
      </w:pPr>
    </w:p>
    <w:p>
      <w:pPr>
        <w:ind w:left="640" w:right="8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was designed to enable broad adoption across a wide variety of customers in both decentralized and centralized settings.</w:t>
      </w:r>
    </w:p>
    <w:p>
      <w:pPr>
        <w:spacing w:after="0" w:line="116" w:lineRule="exact"/>
        <w:rPr>
          <w:rFonts w:ascii="Arial" w:cs="Arial" w:eastAsia="Arial" w:hAnsi="Arial"/>
          <w:sz w:val="18"/>
          <w:szCs w:val="18"/>
          <w:color w:val="auto"/>
        </w:rPr>
      </w:pPr>
    </w:p>
    <w:p>
      <w:pPr>
        <w:ind w:left="640" w:right="60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engineered NPs are a core technology from which we can develop a range of products, applications and platforms.</w:t>
      </w:r>
    </w:p>
    <w:p>
      <w:pPr>
        <w:spacing w:after="0" w:line="116" w:lineRule="exact"/>
        <w:rPr>
          <w:rFonts w:ascii="Arial" w:cs="Arial" w:eastAsia="Arial" w:hAnsi="Arial"/>
          <w:sz w:val="18"/>
          <w:szCs w:val="18"/>
          <w:color w:val="auto"/>
        </w:rPr>
      </w:pPr>
    </w:p>
    <w:p>
      <w:pPr>
        <w:ind w:left="640" w:right="52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NP technology inherently provides significant operational leverage in research and development, manufacturing and commercialization.</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Proteograph Product Suite has the potential to provide sustainable differentiation.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640" w:right="300" w:hanging="322"/>
        <w:spacing w:after="0" w:line="27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Drive adoption of our Proteograph Product Suite to enable researchers to create large-scale unbiased proteomic datasets that generate transformative scientific insights.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60"/>
          </w:cols>
          <w:pgMar w:left="1000" w:top="1440" w:right="10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40" w:hanging="322"/>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market development activities to increase awareness of the importance of large-scale proteomic data and the ability to access it.</w:t>
      </w:r>
    </w:p>
    <w:p>
      <w:pPr>
        <w:spacing w:after="0" w:line="116"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Continually innovate to develop and commercialize additional transformative products to access the proteome and accelerate our understanding of biology.</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build our commercial infrastructure and NP manufacturing capabilities to provide for our commercial launch in the United States and internationally.</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Foster the creation of an ecosystem of customers, partners and collaborators whose expertise and offerings complement and enhance the power and utility of our products.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proprietary engineered NP technology to analyze molecules beyond proteins.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70" w:lineRule="exact"/>
        <w:rPr>
          <w:sz w:val="20"/>
          <w:szCs w:val="20"/>
          <w:color w:val="auto"/>
        </w:rPr>
      </w:pPr>
    </w:p>
    <w:p>
      <w:pPr>
        <w:ind w:left="640" w:right="8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40" w:right="22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40" w:right="8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40" w:right="200" w:hanging="322"/>
        <w:spacing w:after="0" w:line="308"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92" w:lineRule="exact"/>
        <w:rPr>
          <w:rFonts w:ascii="Arial" w:cs="Arial" w:eastAsia="Arial" w:hAnsi="Arial"/>
          <w:sz w:val="17"/>
          <w:szCs w:val="17"/>
          <w:color w:val="auto"/>
        </w:rPr>
      </w:pPr>
    </w:p>
    <w:p>
      <w:pPr>
        <w:ind w:left="640" w:right="12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40" w:right="34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40" w:right="360" w:hanging="322"/>
        <w:spacing w:after="0" w:line="25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rFonts w:ascii="Arial" w:cs="Arial" w:eastAsia="Arial" w:hAnsi="Arial"/>
          <w:sz w:val="18"/>
          <w:szCs w:val="18"/>
          <w:color w:val="auto"/>
        </w:rPr>
      </w:pPr>
    </w:p>
    <w:p>
      <w:pPr>
        <w:ind w:left="640" w:right="20" w:hanging="322"/>
        <w:spacing w:after="0" w:line="301"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20"/>
          </w:cols>
          <w:pgMar w:left="1000" w:top="1440" w:right="107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070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7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880"/>
          </w:cols>
          <w:pgMar w:left="1000" w:top="1440" w:right="10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7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40"/>
          </w:cols>
          <w:pgMar w:left="1020" w:top="1440" w:right="10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shares</w:t>
      </w:r>
    </w:p>
    <w:p>
      <w:pPr>
        <w:spacing w:after="0" w:line="131" w:lineRule="exact"/>
        <w:rPr>
          <w:sz w:val="20"/>
          <w:szCs w:val="20"/>
          <w:color w:val="auto"/>
        </w:rPr>
      </w:pPr>
    </w:p>
    <w:p>
      <w:pPr>
        <w:ind w:left="540" w:right="160" w:hanging="539"/>
        <w:spacing w:after="0" w:line="291" w:lineRule="auto"/>
        <w:rPr>
          <w:sz w:val="20"/>
          <w:szCs w:val="20"/>
          <w:color w:val="auto"/>
        </w:rPr>
      </w:pPr>
      <w:r>
        <w:rPr>
          <w:rFonts w:ascii="Arial" w:cs="Arial" w:eastAsia="Arial" w:hAnsi="Arial"/>
          <w:sz w:val="16"/>
          <w:szCs w:val="16"/>
          <w:color w:val="auto"/>
        </w:rPr>
        <w:t>The underwriters have been granted an option to purchase up to additional shares of Class A common stock from us at any</w:t>
      </w:r>
    </w:p>
    <w:p>
      <w:pPr>
        <w:spacing w:after="0"/>
        <w:rPr>
          <w:sz w:val="20"/>
          <w:szCs w:val="20"/>
          <w:color w:val="auto"/>
        </w:rPr>
      </w:pPr>
      <w:r>
        <w:rPr>
          <w:rFonts w:ascii="Arial" w:cs="Arial" w:eastAsia="Arial" w:hAnsi="Arial"/>
          <w:sz w:val="18"/>
          <w:szCs w:val="18"/>
          <w:color w:val="auto"/>
        </w:rPr>
        <w:t>time within 30 days from the date of this prospectus.</w:t>
      </w:r>
    </w:p>
    <w:p>
      <w:pPr>
        <w:spacing w:after="0" w:line="89" w:lineRule="exact"/>
        <w:rPr>
          <w:sz w:val="20"/>
          <w:szCs w:val="20"/>
          <w:color w:val="auto"/>
        </w:rPr>
      </w:pPr>
    </w:p>
    <w:p>
      <w:pPr>
        <w:sectPr>
          <w:pgSz w:w="11900" w:h="16838" w:orient="portrait"/>
          <w:cols w:equalWidth="0" w:num="2">
            <w:col w:w="4580" w:space="360"/>
            <w:col w:w="4900"/>
          </w:cols>
          <w:pgMar w:left="1020" w:top="1440" w:right="10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20"/>
                <w:szCs w:val="20"/>
                <w:color w:val="auto"/>
              </w:rPr>
            </w:pPr>
            <w:r>
              <w:rPr>
                <w:rFonts w:ascii="Arial" w:cs="Arial" w:eastAsia="Arial" w:hAnsi="Arial"/>
                <w:sz w:val="18"/>
                <w:szCs w:val="18"/>
                <w:color w:val="auto"/>
                <w:w w:val="98"/>
              </w:rPr>
              <w:t>Class A common stock to be outstanding after this offering</w:t>
            </w:r>
          </w:p>
        </w:tc>
        <w:tc>
          <w:tcPr>
            <w:tcW w:w="2180" w:type="dxa"/>
            <w:vAlign w:val="bottom"/>
          </w:tcPr>
          <w:p>
            <w:pPr>
              <w:ind w:left="1260"/>
              <w:spacing w:after="0"/>
              <w:rPr>
                <w:sz w:val="20"/>
                <w:szCs w:val="20"/>
                <w:color w:val="auto"/>
              </w:rPr>
            </w:pPr>
            <w:r>
              <w:rPr>
                <w:rFonts w:ascii="Arial" w:cs="Arial" w:eastAsia="Arial" w:hAnsi="Arial"/>
                <w:sz w:val="18"/>
                <w:szCs w:val="18"/>
                <w:color w:val="auto"/>
              </w:rPr>
              <w:t>shares (or</w:t>
            </w:r>
          </w:p>
        </w:tc>
        <w:tc>
          <w:tcPr>
            <w:tcW w:w="3060" w:type="dxa"/>
            <w:vAlign w:val="bottom"/>
          </w:tcPr>
          <w:p>
            <w:pPr>
              <w:ind w:left="220"/>
              <w:spacing w:after="0"/>
              <w:rPr>
                <w:sz w:val="20"/>
                <w:szCs w:val="20"/>
                <w:color w:val="auto"/>
              </w:rPr>
            </w:pPr>
            <w:r>
              <w:rPr>
                <w:rFonts w:ascii="Arial" w:cs="Arial" w:eastAsia="Arial" w:hAnsi="Arial"/>
                <w:sz w:val="18"/>
                <w:szCs w:val="18"/>
                <w:color w:val="auto"/>
                <w:w w:val="89"/>
              </w:rPr>
              <w:t>shares if the underwriters exercise their</w:t>
            </w:r>
          </w:p>
        </w:tc>
      </w:tr>
      <w:tr>
        <w:trPr>
          <w:trHeight w:val="230"/>
        </w:trPr>
        <w:tc>
          <w:tcPr>
            <w:tcW w:w="4580" w:type="dxa"/>
            <w:vAlign w:val="bottom"/>
          </w:tcPr>
          <w:p>
            <w:pPr>
              <w:spacing w:after="0"/>
              <w:rPr>
                <w:sz w:val="20"/>
                <w:szCs w:val="20"/>
                <w:color w:val="auto"/>
              </w:rPr>
            </w:pPr>
          </w:p>
        </w:tc>
        <w:tc>
          <w:tcPr>
            <w:tcW w:w="5240" w:type="dxa"/>
            <w:vAlign w:val="bottom"/>
            <w:gridSpan w:val="2"/>
          </w:tcPr>
          <w:p>
            <w:pPr>
              <w:ind w:left="360"/>
              <w:spacing w:after="0"/>
              <w:rPr>
                <w:sz w:val="20"/>
                <w:szCs w:val="20"/>
                <w:color w:val="auto"/>
              </w:rPr>
            </w:pPr>
            <w:r>
              <w:rPr>
                <w:rFonts w:ascii="Arial" w:cs="Arial" w:eastAsia="Arial" w:hAnsi="Arial"/>
                <w:sz w:val="18"/>
                <w:szCs w:val="18"/>
                <w:color w:val="auto"/>
              </w:rPr>
              <w:t>option to purchase additional shares in full)</w:t>
            </w:r>
          </w:p>
        </w:tc>
      </w:tr>
    </w:tbl>
    <w:p>
      <w:pPr>
        <w:spacing w:after="0" w:line="94" w:lineRule="exact"/>
        <w:rPr>
          <w:sz w:val="20"/>
          <w:szCs w:val="20"/>
          <w:color w:val="auto"/>
        </w:rPr>
      </w:pPr>
    </w:p>
    <w:p>
      <w:pPr>
        <w:sectPr>
          <w:pgSz w:w="11900" w:h="16838" w:orient="portrait"/>
          <w:cols w:equalWidth="0" w:num="1">
            <w:col w:w="9840"/>
          </w:cols>
          <w:pgMar w:left="1020" w:top="1440" w:right="1039"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Class B common stock to be outstanding after this offering</w:t>
      </w:r>
    </w:p>
    <w:p>
      <w:pPr>
        <w:spacing w:after="0" w:line="127"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estimate that the net proceeds to us from this offering will be approximately $ million (or approximately $ million if the underwriters exercise their option to purchase additional shares in full), based upon the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Class A common stock and facilitate our future access to the public capital markets.</w:t>
      </w:r>
    </w:p>
    <w:p>
      <w:pPr>
        <w:spacing w:after="0" w:line="13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currently intend to use the net proceeds from this offering, together with our existing cash, for research and development, to commercialize our Proteograph Product Suite and for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See “Risk Factors” beginning on page 17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4480" w:space="460"/>
            <w:col w:w="490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840"/>
          </w:cols>
          <w:pgMar w:left="1020" w:top="1440" w:right="10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04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Class A common stock are entitled to one vote per share.</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Shares of Class B common stock are entitled to ten votes per share.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Holders of our Class A common stock and Class B common stock</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will generally vote together as a single class, unless otherwise</w:t>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required by law or our amended and restated certificate of</w:t>
      </w:r>
    </w:p>
    <w:p>
      <w:pPr>
        <w:ind w:left="4960"/>
        <w:spacing w:after="0" w:line="234" w:lineRule="auto"/>
        <w:rPr>
          <w:sz w:val="20"/>
          <w:szCs w:val="20"/>
          <w:color w:val="auto"/>
        </w:rPr>
      </w:pPr>
      <w:r>
        <w:rPr>
          <w:rFonts w:ascii="Arial" w:cs="Arial" w:eastAsia="Arial" w:hAnsi="Arial"/>
          <w:sz w:val="18"/>
          <w:szCs w:val="18"/>
          <w:color w:val="auto"/>
        </w:rPr>
        <w:t>incorporation. Upon completion of this offering, holders of our</w:t>
      </w:r>
    </w:p>
    <w:p>
      <w:pPr>
        <w:ind w:left="4960"/>
        <w:spacing w:after="0" w:line="235" w:lineRule="auto"/>
        <w:rPr>
          <w:sz w:val="20"/>
          <w:szCs w:val="20"/>
          <w:color w:val="auto"/>
        </w:rPr>
      </w:pPr>
      <w:r>
        <w:rPr>
          <w:rFonts w:ascii="Arial" w:cs="Arial" w:eastAsia="Arial" w:hAnsi="Arial"/>
          <w:sz w:val="18"/>
          <w:szCs w:val="18"/>
          <w:color w:val="auto"/>
        </w:rPr>
        <w:t>outstanding Class B common stock, which includes our Chief</w:t>
      </w:r>
    </w:p>
    <w:p>
      <w:pPr>
        <w:ind w:left="4960"/>
        <w:spacing w:after="0"/>
        <w:tabs>
          <w:tab w:leader="none" w:pos="8300" w:val="left"/>
        </w:tabs>
        <w:rPr>
          <w:sz w:val="20"/>
          <w:szCs w:val="20"/>
          <w:color w:val="auto"/>
        </w:rPr>
      </w:pPr>
      <w:r>
        <w:rPr>
          <w:rFonts w:ascii="Arial" w:cs="Arial" w:eastAsia="Arial" w:hAnsi="Arial"/>
          <w:sz w:val="18"/>
          <w:szCs w:val="18"/>
          <w:color w:val="auto"/>
        </w:rPr>
        <w:t>Executive Officer, will hold approximately</w:t>
      </w:r>
      <w:r>
        <w:rPr>
          <w:sz w:val="20"/>
          <w:szCs w:val="20"/>
          <w:color w:val="auto"/>
        </w:rPr>
        <w:tab/>
      </w:r>
      <w:r>
        <w:rPr>
          <w:rFonts w:ascii="Arial" w:cs="Arial" w:eastAsia="Arial" w:hAnsi="Arial"/>
          <w:sz w:val="16"/>
          <w:szCs w:val="16"/>
          <w:color w:val="auto"/>
        </w:rPr>
        <w:t>% of the voting</w:t>
      </w:r>
    </w:p>
    <w:p>
      <w:pPr>
        <w:ind w:left="4960"/>
        <w:spacing w:after="0"/>
        <w:rPr>
          <w:sz w:val="20"/>
          <w:szCs w:val="20"/>
          <w:color w:val="auto"/>
        </w:rPr>
      </w:pPr>
      <w:r>
        <w:rPr>
          <w:rFonts w:ascii="Arial" w:cs="Arial" w:eastAsia="Arial" w:hAnsi="Arial"/>
          <w:sz w:val="17"/>
          <w:szCs w:val="17"/>
          <w:color w:val="auto"/>
        </w:rPr>
        <w:t>power of our outstanding capital stock and will have the ability to</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control the outcome of matters submitted to our stockholders for</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approval, including the election of our directors, amendments of our</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organizational documents and any merger, consolidation, sale of all</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or substantially all of our assets or other major corporate</w:t>
      </w:r>
    </w:p>
    <w:p>
      <w:pPr>
        <w:ind w:left="4960"/>
        <w:spacing w:after="0"/>
        <w:rPr>
          <w:sz w:val="20"/>
          <w:szCs w:val="20"/>
          <w:color w:val="auto"/>
        </w:rPr>
      </w:pPr>
      <w:r>
        <w:rPr>
          <w:rFonts w:ascii="Arial" w:cs="Arial" w:eastAsia="Arial" w:hAnsi="Arial"/>
          <w:sz w:val="17"/>
          <w:szCs w:val="17"/>
          <w:color w:val="auto"/>
        </w:rPr>
        <w:t>transactions. See the sections titled “Principal Stockholders” and</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“Description of Capital Stock” for additional information.</w:t>
      </w:r>
    </w:p>
    <w:p>
      <w:pPr>
        <w:spacing w:after="0" w:line="290"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8"/>
          <w:szCs w:val="18"/>
          <w:color w:val="auto"/>
        </w:rPr>
        <w:t>Proposed trading symbol</w:t>
      </w:r>
      <w:r>
        <w:rPr>
          <w:sz w:val="20"/>
          <w:szCs w:val="20"/>
          <w:color w:val="auto"/>
        </w:rPr>
        <w:tab/>
      </w:r>
      <w:r>
        <w:rPr>
          <w:rFonts w:ascii="Arial" w:cs="Arial" w:eastAsia="Arial" w:hAnsi="Arial"/>
          <w:sz w:val="17"/>
          <w:szCs w:val="17"/>
          <w:color w:val="auto"/>
        </w:rPr>
        <w:t>“SEER”</w:t>
      </w:r>
    </w:p>
    <w:p>
      <w:pPr>
        <w:spacing w:after="0" w:line="198"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8"/>
          <w:szCs w:val="18"/>
          <w:color w:val="auto"/>
        </w:rPr>
        <w:t>The number of shares of our common stock that will be outstanding after this offering is based on</w:t>
      </w:r>
      <w:r>
        <w:rPr>
          <w:sz w:val="20"/>
          <w:szCs w:val="20"/>
          <w:color w:val="auto"/>
        </w:rPr>
        <w:tab/>
      </w:r>
      <w:r>
        <w:rPr>
          <w:rFonts w:ascii="Arial" w:cs="Arial" w:eastAsia="Arial" w:hAnsi="Arial"/>
          <w:sz w:val="16"/>
          <w:szCs w:val="16"/>
          <w:color w:val="auto"/>
        </w:rPr>
        <w:t>shares of our Class A</w:t>
      </w:r>
    </w:p>
    <w:p>
      <w:pPr>
        <w:spacing w:after="0" w:line="23" w:lineRule="exact"/>
        <w:rPr>
          <w:sz w:val="20"/>
          <w:szCs w:val="20"/>
          <w:color w:val="auto"/>
        </w:rPr>
      </w:pPr>
    </w:p>
    <w:p>
      <w:pPr>
        <w:spacing w:after="0"/>
        <w:tabs>
          <w:tab w:leader="none" w:pos="1820" w:val="left"/>
          <w:tab w:leader="none" w:pos="6360" w:val="left"/>
        </w:tabs>
        <w:rPr>
          <w:sz w:val="20"/>
          <w:szCs w:val="20"/>
          <w:color w:val="auto"/>
        </w:rPr>
      </w:pPr>
      <w:r>
        <w:rPr>
          <w:rFonts w:ascii="Arial" w:cs="Arial" w:eastAsia="Arial" w:hAnsi="Arial"/>
          <w:sz w:val="18"/>
          <w:szCs w:val="18"/>
          <w:color w:val="auto"/>
        </w:rPr>
        <w:t>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6"/>
          <w:szCs w:val="16"/>
          <w:color w:val="auto"/>
        </w:rPr>
        <w:t>, 2020, and excludes the following:</w:t>
      </w:r>
    </w:p>
    <w:p>
      <w:pPr>
        <w:spacing w:after="0" w:line="157" w:lineRule="exact"/>
        <w:rPr>
          <w:sz w:val="20"/>
          <w:szCs w:val="20"/>
          <w:color w:val="auto"/>
        </w:rPr>
      </w:pPr>
    </w:p>
    <w:p>
      <w:pPr>
        <w:ind w:left="1080" w:hanging="76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w:t>
      </w:r>
    </w:p>
    <w:p>
      <w:pPr>
        <w:spacing w:after="0" w:line="46" w:lineRule="exact"/>
        <w:rPr>
          <w:sz w:val="20"/>
          <w:szCs w:val="20"/>
          <w:color w:val="auto"/>
        </w:rPr>
      </w:pPr>
    </w:p>
    <w:p>
      <w:pPr>
        <w:ind w:left="640"/>
        <w:spacing w:after="0"/>
        <w:tabs>
          <w:tab w:leader="none" w:pos="2860" w:val="left"/>
          <w:tab w:leader="none" w:pos="6760" w:val="left"/>
        </w:tabs>
        <w:rPr>
          <w:sz w:val="20"/>
          <w:szCs w:val="20"/>
          <w:color w:val="auto"/>
        </w:rPr>
      </w:pPr>
      <w:r>
        <w:rPr>
          <w:rFonts w:ascii="Arial" w:cs="Arial" w:eastAsia="Arial" w:hAnsi="Arial"/>
          <w:sz w:val="18"/>
          <w:szCs w:val="18"/>
          <w:color w:val="auto"/>
        </w:rPr>
        <w:t>stock outstanding as of</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w:t>
      </w:r>
    </w:p>
    <w:p>
      <w:pPr>
        <w:spacing w:after="0" w:line="157" w:lineRule="exact"/>
        <w:rPr>
          <w:sz w:val="20"/>
          <w:szCs w:val="20"/>
          <w:color w:val="auto"/>
        </w:rPr>
      </w:pPr>
    </w:p>
    <w:p>
      <w:pPr>
        <w:ind w:left="1080" w:hanging="76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w:t>
      </w:r>
    </w:p>
    <w:p>
      <w:pPr>
        <w:spacing w:after="0" w:line="46" w:lineRule="exact"/>
        <w:rPr>
          <w:sz w:val="20"/>
          <w:szCs w:val="20"/>
          <w:color w:val="auto"/>
        </w:rPr>
      </w:pPr>
    </w:p>
    <w:p>
      <w:pPr>
        <w:ind w:left="640"/>
        <w:spacing w:after="0"/>
        <w:tabs>
          <w:tab w:leader="none" w:pos="2540" w:val="left"/>
          <w:tab w:leader="none" w:pos="6400" w:val="left"/>
        </w:tabs>
        <w:rPr>
          <w:sz w:val="20"/>
          <w:szCs w:val="20"/>
          <w:color w:val="auto"/>
        </w:rPr>
      </w:pPr>
      <w:r>
        <w:rPr>
          <w:rFonts w:ascii="Arial" w:cs="Arial" w:eastAsia="Arial" w:hAnsi="Arial"/>
          <w:sz w:val="18"/>
          <w:szCs w:val="18"/>
          <w:color w:val="auto"/>
        </w:rPr>
        <w:t>stock granted after</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w:t>
      </w:r>
    </w:p>
    <w:p>
      <w:pPr>
        <w:spacing w:after="0" w:line="157" w:lineRule="exact"/>
        <w:rPr>
          <w:sz w:val="20"/>
          <w:szCs w:val="20"/>
          <w:color w:val="auto"/>
        </w:rPr>
      </w:pPr>
    </w:p>
    <w:p>
      <w:pPr>
        <w:ind w:left="1080" w:hanging="76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of our Class A common stock issuable upon the vesting of restricted stock units (RSUs) outstanding as of</w:t>
      </w:r>
    </w:p>
    <w:p>
      <w:pPr>
        <w:spacing w:after="0" w:line="34" w:lineRule="exact"/>
        <w:rPr>
          <w:rFonts w:ascii="Arial" w:cs="Arial" w:eastAsia="Arial" w:hAnsi="Arial"/>
          <w:sz w:val="17"/>
          <w:szCs w:val="17"/>
          <w:color w:val="auto"/>
        </w:rPr>
      </w:pPr>
    </w:p>
    <w:p>
      <w:pPr>
        <w:ind w:left="1400" w:hanging="83"/>
        <w:spacing w:after="0"/>
        <w:tabs>
          <w:tab w:leader="none" w:pos="1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2020;</w:t>
      </w:r>
    </w:p>
    <w:p>
      <w:pPr>
        <w:spacing w:after="0" w:line="157" w:lineRule="exact"/>
        <w:rPr>
          <w:sz w:val="20"/>
          <w:szCs w:val="20"/>
          <w:color w:val="auto"/>
        </w:rPr>
      </w:pPr>
    </w:p>
    <w:p>
      <w:pPr>
        <w:ind w:left="320"/>
        <w:spacing w:after="0"/>
        <w:tabs>
          <w:tab w:leader="none" w:pos="1060" w:val="left"/>
          <w:tab w:leader="none" w:pos="7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vesting of RSUs granted after</w:t>
      </w:r>
      <w:r>
        <w:rPr>
          <w:sz w:val="20"/>
          <w:szCs w:val="20"/>
          <w:color w:val="auto"/>
        </w:rPr>
        <w:tab/>
      </w:r>
      <w:r>
        <w:rPr>
          <w:rFonts w:ascii="Arial" w:cs="Arial" w:eastAsia="Arial" w:hAnsi="Arial"/>
          <w:sz w:val="15"/>
          <w:szCs w:val="15"/>
          <w:color w:val="auto"/>
        </w:rPr>
        <w:t>, 2020; and</w:t>
      </w:r>
    </w:p>
    <w:p>
      <w:pPr>
        <w:spacing w:after="0" w:line="171" w:lineRule="exact"/>
        <w:rPr>
          <w:sz w:val="20"/>
          <w:szCs w:val="20"/>
          <w:color w:val="auto"/>
        </w:rPr>
      </w:pPr>
    </w:p>
    <w:p>
      <w:pPr>
        <w:ind w:left="1080" w:hanging="76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1420" w:hanging="778"/>
        <w:spacing w:after="0"/>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shares of our Class A common stock to be reserved for future issuance under our 2020 Equity Incentive Plan (our</w:t>
      </w:r>
    </w:p>
    <w:p>
      <w:pPr>
        <w:spacing w:after="0" w:line="46" w:lineRule="exact"/>
        <w:rPr>
          <w:rFonts w:ascii="Arial" w:cs="Arial" w:eastAsia="Arial" w:hAnsi="Arial"/>
          <w:sz w:val="16"/>
          <w:szCs w:val="16"/>
          <w:color w:val="auto"/>
        </w:rPr>
      </w:pPr>
    </w:p>
    <w:p>
      <w:pPr>
        <w:ind w:left="960" w:right="240"/>
        <w:spacing w:after="0" w:line="255" w:lineRule="auto"/>
        <w:rPr>
          <w:rFonts w:ascii="Arial" w:cs="Arial" w:eastAsia="Arial" w:hAnsi="Arial"/>
          <w:sz w:val="16"/>
          <w:szCs w:val="16"/>
          <w:color w:val="auto"/>
        </w:rPr>
      </w:pPr>
      <w:r>
        <w:rPr>
          <w:rFonts w:ascii="Arial" w:cs="Arial" w:eastAsia="Arial" w:hAnsi="Arial"/>
          <w:sz w:val="18"/>
          <w:szCs w:val="18"/>
          <w:color w:val="auto"/>
        </w:rPr>
        <w:t>2020 Plan), which will become effective prior to the completion of this offering, and any additional shares that become available under our 2020 Plan pursuant to provisions thereof that automatically increase the share reserve under the plan each year; and</w:t>
      </w:r>
    </w:p>
    <w:p>
      <w:pPr>
        <w:spacing w:after="0" w:line="135" w:lineRule="exact"/>
        <w:rPr>
          <w:rFonts w:ascii="Arial" w:cs="Arial" w:eastAsia="Arial" w:hAnsi="Arial"/>
          <w:sz w:val="16"/>
          <w:szCs w:val="16"/>
          <w:color w:val="auto"/>
        </w:rPr>
      </w:pPr>
    </w:p>
    <w:p>
      <w:pPr>
        <w:ind w:left="960" w:right="60" w:hanging="318"/>
        <w:spacing w:after="0" w:line="257" w:lineRule="auto"/>
        <w:tabs>
          <w:tab w:leader="none" w:pos="14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Stock Incentive Plan (our 2017 Plan) (and no shares of our Class A common stock reserved for future issuance under our 2020 RSU Equity Incentive Plan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361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71" w:lineRule="exact"/>
        <w:rPr>
          <w:sz w:val="20"/>
          <w:szCs w:val="20"/>
          <w:color w:val="auto"/>
        </w:rPr>
      </w:pPr>
    </w:p>
    <w:p>
      <w:pPr>
        <w:ind w:left="322" w:hanging="322"/>
        <w:spacing w:after="0" w:line="279" w:lineRule="auto"/>
        <w:tabs>
          <w:tab w:leader="none" w:pos="7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shares of convertible preferred stock that will automatically convert into shares of Class A common stock immediately prior to the completion of this offering pursuant to the terms of our amended and restated certificate of incorporation; the filing and effectiveness of our amended and restated certificate of incorporation in Delaware and the effectiveness of our amended and restated bylaws will each occur immediately prior to the completion of this offering;</w:t>
      </w:r>
    </w:p>
    <w:p>
      <w:pPr>
        <w:sectPr>
          <w:pgSz w:w="11900" w:h="16838" w:orient="portrait"/>
          <w:cols w:equalWidth="0" w:num="1">
            <w:col w:w="9562"/>
          </w:cols>
          <w:pgMar w:left="1318" w:top="1440" w:right="1019" w:bottom="1440" w:gutter="0" w:footer="0" w:header="0"/>
        </w:sectPr>
      </w:pPr>
    </w:p>
    <w:p>
      <w:pPr>
        <w:spacing w:after="0" w:line="117"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outstanding stock options or settlement of outstanding RSUs subsequent to</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 2020; and</w:t>
      </w:r>
    </w:p>
    <w:p>
      <w:pPr>
        <w:spacing w:after="0" w:line="205" w:lineRule="exact"/>
        <w:rPr>
          <w:sz w:val="20"/>
          <w:szCs w:val="20"/>
          <w:color w:val="auto"/>
        </w:rPr>
      </w:pPr>
    </w:p>
    <w:p>
      <w:pPr>
        <w:sectPr>
          <w:pgSz w:w="11900" w:h="16838" w:orient="portrait"/>
          <w:cols w:equalWidth="0" w:num="3">
            <w:col w:w="62" w:space="260"/>
            <w:col w:w="6440" w:space="640"/>
            <w:col w:w="2160"/>
          </w:cols>
          <w:pgMar w:left="1318" w:top="1440" w:right="1019" w:bottom="1440" w:gutter="0" w:footer="0" w:header="0"/>
          <w:type w:val="continuous"/>
        </w:sectPr>
      </w:pPr>
    </w:p>
    <w:p>
      <w:pPr>
        <w:ind w:left="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77" w:lineRule="auto"/>
        <w:rPr>
          <w:sz w:val="20"/>
          <w:szCs w:val="20"/>
          <w:color w:val="auto"/>
        </w:rPr>
      </w:pPr>
      <w:r>
        <w:rPr>
          <w:rFonts w:ascii="Arial" w:cs="Arial" w:eastAsia="Arial" w:hAnsi="Arial"/>
          <w:sz w:val="18"/>
          <w:szCs w:val="18"/>
          <w:color w:val="auto"/>
        </w:rPr>
        <w:t>no exercise by the underwriters of their option to purchase up to an additional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our Class A common stock from</w:t>
      </w:r>
    </w:p>
    <w:p>
      <w:pPr>
        <w:spacing w:after="0" w:line="493" w:lineRule="exact"/>
        <w:rPr>
          <w:sz w:val="20"/>
          <w:szCs w:val="20"/>
          <w:color w:val="auto"/>
        </w:rPr>
      </w:pPr>
    </w:p>
    <w:p>
      <w:pPr>
        <w:sectPr>
          <w:pgSz w:w="11900" w:h="16838" w:orient="portrait"/>
          <w:cols w:equalWidth="0" w:num="3">
            <w:col w:w="62" w:space="260"/>
            <w:col w:w="5580" w:space="500"/>
            <w:col w:w="3160"/>
          </w:cols>
          <w:pgMar w:left="1318"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8"/>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562"/>
          </w:cols>
          <w:pgMar w:left="1318"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18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
        <w:spacing w:after="0"/>
        <w:rPr>
          <w:sz w:val="20"/>
          <w:szCs w:val="20"/>
          <w:color w:val="auto"/>
        </w:rPr>
      </w:pPr>
      <w:r>
        <w:rPr>
          <w:rFonts w:ascii="Arial" w:cs="Arial" w:eastAsia="Arial" w:hAnsi="Arial"/>
          <w:sz w:val="18"/>
          <w:szCs w:val="18"/>
          <w:b w:val="1"/>
          <w:bCs w:val="1"/>
          <w:color w:val="auto"/>
        </w:rPr>
        <w:t>SUMMARY FINANCIAL AND OTHER DATA</w:t>
      </w:r>
    </w:p>
    <w:p>
      <w:pPr>
        <w:spacing w:after="0" w:line="175" w:lineRule="exact"/>
        <w:rPr>
          <w:sz w:val="20"/>
          <w:szCs w:val="20"/>
          <w:color w:val="auto"/>
        </w:rPr>
      </w:pPr>
    </w:p>
    <w:p>
      <w:pPr>
        <w:ind w:left="6" w:right="20" w:firstLine="324"/>
        <w:spacing w:after="0" w:line="273" w:lineRule="auto"/>
        <w:rPr>
          <w:sz w:val="20"/>
          <w:szCs w:val="20"/>
          <w:color w:val="auto"/>
        </w:rPr>
      </w:pPr>
      <w:r>
        <w:rPr>
          <w:rFonts w:ascii="Arial" w:cs="Arial" w:eastAsia="Arial" w:hAnsi="Arial"/>
          <w:sz w:val="17"/>
          <w:szCs w:val="17"/>
          <w:color w:val="auto"/>
        </w:rPr>
        <w:t>The following tables summarize our financial and other data. We have derived the summary statement of operations data for the years ended December 31, 2018 and 2019, and the balance sheet data as of December 31, 2019 from our audited financial statements included elsewhere in this prospectus. Our historical results are not necessarily indicative of the results that may be expected in the future.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Statement of Operations Data</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
        <w:spacing w:after="0"/>
        <w:rPr>
          <w:sz w:val="20"/>
          <w:szCs w:val="20"/>
          <w:color w:val="auto"/>
        </w:rPr>
      </w:pPr>
      <w:r>
        <w:rPr>
          <w:rFonts w:ascii="Arial" w:cs="Arial" w:eastAsia="Arial" w:hAnsi="Arial"/>
          <w:sz w:val="18"/>
          <w:szCs w:val="18"/>
          <w:color w:val="auto"/>
        </w:rPr>
        <w:t>Total revenue</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Operating expenses:</w:t>
      </w:r>
    </w:p>
    <w:p>
      <w:pPr>
        <w:spacing w:after="0" w:line="90" w:lineRule="exact"/>
        <w:rPr>
          <w:sz w:val="20"/>
          <w:szCs w:val="20"/>
          <w:color w:val="auto"/>
        </w:rPr>
      </w:pPr>
    </w:p>
    <w:p>
      <w:pPr>
        <w:ind w:left="226"/>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p>
      <w:pPr>
        <w:spacing w:after="0" w:line="14" w:lineRule="exact"/>
        <w:rPr>
          <w:sz w:val="20"/>
          <w:szCs w:val="20"/>
          <w:color w:val="auto"/>
        </w:rPr>
      </w:pPr>
    </w:p>
    <w:p>
      <w:pPr>
        <w:ind w:left="226"/>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p>
      <w:pPr>
        <w:ind w:left="26"/>
        <w:spacing w:after="0"/>
        <w:rPr>
          <w:sz w:val="20"/>
          <w:szCs w:val="20"/>
          <w:color w:val="auto"/>
        </w:rPr>
      </w:pPr>
      <w:r>
        <w:rPr>
          <w:rFonts w:ascii="Arial" w:cs="Arial" w:eastAsia="Arial" w:hAnsi="Arial"/>
          <w:sz w:val="18"/>
          <w:szCs w:val="18"/>
          <w:color w:val="auto"/>
        </w:rPr>
        <w:t>Total operating expenses</w:t>
      </w:r>
    </w:p>
    <w:p>
      <w:pPr>
        <w:spacing w:after="0" w:line="47" w:lineRule="exact"/>
        <w:rPr>
          <w:sz w:val="20"/>
          <w:szCs w:val="20"/>
          <w:color w:val="auto"/>
        </w:rPr>
      </w:pPr>
    </w:p>
    <w:p>
      <w:pPr>
        <w:ind w:left="26"/>
        <w:spacing w:after="0"/>
        <w:rPr>
          <w:sz w:val="20"/>
          <w:szCs w:val="20"/>
          <w:color w:val="auto"/>
        </w:rPr>
      </w:pPr>
      <w:r>
        <w:rPr>
          <w:rFonts w:ascii="Arial" w:cs="Arial" w:eastAsia="Arial" w:hAnsi="Arial"/>
          <w:sz w:val="18"/>
          <w:szCs w:val="18"/>
          <w:color w:val="auto"/>
        </w:rPr>
        <w:t>Loss from operations</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Other income (expense):</w:t>
      </w:r>
    </w:p>
    <w:p>
      <w:pPr>
        <w:spacing w:after="0" w:line="63" w:lineRule="exact"/>
        <w:rPr>
          <w:sz w:val="20"/>
          <w:szCs w:val="20"/>
          <w:color w:val="auto"/>
        </w:rPr>
      </w:pPr>
    </w:p>
    <w:p>
      <w:pPr>
        <w:jc w:val="right"/>
        <w:ind w:right="498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jc w:val="right"/>
        <w:ind w:right="4920"/>
        <w:spacing w:after="0"/>
        <w:rPr>
          <w:sz w:val="20"/>
          <w:szCs w:val="20"/>
          <w:color w:val="auto"/>
        </w:rPr>
      </w:pPr>
      <w:r>
        <w:rPr>
          <w:rFonts w:ascii="Arial" w:cs="Arial" w:eastAsia="Arial" w:hAnsi="Arial"/>
          <w:sz w:val="18"/>
          <w:szCs w:val="18"/>
          <w:color w:val="auto"/>
        </w:rPr>
        <w:t>Interest expense</w:t>
      </w:r>
    </w:p>
    <w:p>
      <w:pPr>
        <w:spacing w:after="0" w:line="77" w:lineRule="exact"/>
        <w:rPr>
          <w:sz w:val="20"/>
          <w:szCs w:val="20"/>
          <w:color w:val="auto"/>
        </w:rPr>
      </w:pPr>
    </w:p>
    <w:p>
      <w:pPr>
        <w:jc w:val="right"/>
        <w:ind w:right="4940"/>
        <w:spacing w:after="0"/>
        <w:rPr>
          <w:sz w:val="20"/>
          <w:szCs w:val="20"/>
          <w:color w:val="auto"/>
        </w:rPr>
      </w:pPr>
      <w:r>
        <w:rPr>
          <w:rFonts w:ascii="Arial" w:cs="Arial" w:eastAsia="Arial" w:hAnsi="Arial"/>
          <w:sz w:val="16"/>
          <w:szCs w:val="16"/>
          <w:color w:val="auto"/>
        </w:rPr>
        <w:t>Total other income</w:t>
      </w:r>
    </w:p>
    <w:p>
      <w:pPr>
        <w:spacing w:after="0" w:line="127" w:lineRule="exact"/>
        <w:rPr>
          <w:sz w:val="20"/>
          <w:szCs w:val="20"/>
          <w:color w:val="auto"/>
        </w:rPr>
      </w:pPr>
    </w:p>
    <w:p>
      <w:pPr>
        <w:ind w:left="26"/>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26"/>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3"/>
          <w:szCs w:val="23"/>
          <w:color w:val="auto"/>
          <w:vertAlign w:val="superscript"/>
        </w:rPr>
        <w:t>(2)</w:t>
      </w:r>
    </w:p>
    <w:p>
      <w:pPr>
        <w:spacing w:after="0" w:line="60" w:lineRule="exact"/>
        <w:rPr>
          <w:sz w:val="20"/>
          <w:szCs w:val="20"/>
          <w:color w:val="auto"/>
        </w:rPr>
      </w:pPr>
    </w:p>
    <w:p>
      <w:pPr>
        <w:ind w:left="26"/>
        <w:spacing w:after="0"/>
        <w:rPr>
          <w:sz w:val="20"/>
          <w:szCs w:val="20"/>
          <w:color w:val="auto"/>
        </w:rPr>
      </w:pPr>
      <w:r>
        <w:rPr>
          <w:rFonts w:ascii="Arial" w:cs="Arial" w:eastAsia="Arial" w:hAnsi="Arial"/>
          <w:sz w:val="18"/>
          <w:szCs w:val="18"/>
          <w:color w:val="auto"/>
        </w:rPr>
        <w:t xml:space="preserve">Weighted-average common shares outstanding, basic and diluted </w:t>
      </w:r>
      <w:r>
        <w:rPr>
          <w:rFonts w:ascii="Arial" w:cs="Arial" w:eastAsia="Arial" w:hAnsi="Arial"/>
          <w:sz w:val="23"/>
          <w:szCs w:val="23"/>
          <w:color w:val="auto"/>
          <w:vertAlign w:val="superscript"/>
        </w:rPr>
        <w:t>(2)</w:t>
      </w:r>
    </w:p>
    <w:p>
      <w:pPr>
        <w:spacing w:after="0" w:line="14" w:lineRule="exact"/>
        <w:rPr>
          <w:sz w:val="20"/>
          <w:szCs w:val="20"/>
          <w:color w:val="auto"/>
        </w:rPr>
      </w:pPr>
    </w:p>
    <w:p>
      <w:pPr>
        <w:ind w:left="26"/>
        <w:spacing w:after="0"/>
        <w:rPr>
          <w:sz w:val="20"/>
          <w:szCs w:val="20"/>
          <w:color w:val="auto"/>
        </w:rPr>
      </w:pPr>
      <w:r>
        <w:rPr>
          <w:rFonts w:ascii="Arial" w:cs="Arial" w:eastAsia="Arial" w:hAnsi="Arial"/>
          <w:sz w:val="18"/>
          <w:szCs w:val="18"/>
          <w:color w:val="auto"/>
        </w:rPr>
        <w:t>Pro forma net loss per common share, basic and diluted</w:t>
      </w:r>
      <w:r>
        <w:rPr>
          <w:rFonts w:ascii="Arial" w:cs="Arial" w:eastAsia="Arial" w:hAnsi="Arial"/>
          <w:sz w:val="23"/>
          <w:szCs w:val="23"/>
          <w:color w:val="auto"/>
          <w:vertAlign w:val="superscript"/>
        </w:rPr>
        <w:t>(2)</w:t>
      </w:r>
    </w:p>
    <w:p>
      <w:pPr>
        <w:ind w:left="26"/>
        <w:spacing w:after="0" w:line="195" w:lineRule="auto"/>
        <w:rPr>
          <w:sz w:val="20"/>
          <w:szCs w:val="20"/>
          <w:color w:val="auto"/>
        </w:rPr>
      </w:pPr>
      <w:r>
        <w:rPr>
          <w:rFonts w:ascii="Arial" w:cs="Arial" w:eastAsia="Arial" w:hAnsi="Arial"/>
          <w:sz w:val="18"/>
          <w:szCs w:val="18"/>
          <w:color w:val="auto"/>
        </w:rPr>
        <w:t>Pro forma weighted-average common shares used to compute basic and diluted net loss per common share</w:t>
      </w:r>
      <w:r>
        <w:rPr>
          <w:rFonts w:ascii="Arial" w:cs="Arial" w:eastAsia="Arial" w:hAnsi="Arial"/>
          <w:sz w:val="23"/>
          <w:szCs w:val="23"/>
          <w:color w:val="auto"/>
          <w:vertAlign w:val="superscript"/>
        </w:rPr>
        <w:t>(2)</w:t>
      </w:r>
    </w:p>
    <w:p>
      <w:pPr>
        <w:ind w:left="6"/>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6" w:hanging="326"/>
        <w:spacing w:after="0"/>
        <w:tabs>
          <w:tab w:leader="none" w:pos="326"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and expenses include stock-based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ind w:left="106"/>
        <w:spacing w:after="0"/>
        <w:rPr>
          <w:sz w:val="20"/>
          <w:szCs w:val="20"/>
          <w:color w:val="auto"/>
        </w:rPr>
      </w:pPr>
      <w:r>
        <w:rPr>
          <w:rFonts w:ascii="Arial" w:cs="Arial" w:eastAsia="Arial" w:hAnsi="Arial"/>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5"/>
          </w:tcPr>
          <w:p>
            <w:pPr>
              <w:jc w:val="center"/>
              <w:ind w:right="172"/>
              <w:spacing w:after="0"/>
              <w:rPr>
                <w:sz w:val="20"/>
                <w:szCs w:val="20"/>
                <w:color w:val="auto"/>
              </w:rPr>
            </w:pPr>
            <w:r>
              <w:rPr>
                <w:rFonts w:ascii="Arial" w:cs="Arial" w:eastAsia="Arial" w:hAnsi="Arial"/>
                <w:sz w:val="13"/>
                <w:szCs w:val="13"/>
                <w:i w:val="1"/>
                <w:iCs w:val="1"/>
                <w:color w:val="auto"/>
                <w:w w:val="86"/>
              </w:rPr>
              <w:t>(in thousands, except share and per share data)</w:t>
            </w:r>
          </w:p>
        </w:tc>
      </w:tr>
      <w:tr>
        <w:trPr>
          <w:trHeight w:val="259"/>
        </w:trPr>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5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12,393</w:t>
            </w:r>
          </w:p>
        </w:tc>
      </w:tr>
      <w:tr>
        <w:trPr>
          <w:trHeight w:val="270"/>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4,606</w:t>
            </w: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16,999</w:t>
            </w:r>
          </w:p>
        </w:tc>
      </w:tr>
      <w:tr>
        <w:trPr>
          <w:trHeight w:val="270"/>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(16,883)</w:t>
            </w:r>
          </w:p>
        </w:tc>
      </w:tr>
      <w:tr>
        <w:trPr>
          <w:trHeight w:val="5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0"/>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(16,038)</w:t>
            </w: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8,502,926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14,878,157</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45,913,238</w:t>
            </w:r>
          </w:p>
        </w:tc>
      </w:tr>
      <w:tr>
        <w:trPr>
          <w:trHeight w:val="736"/>
        </w:trPr>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12"/>
              <w:spacing w:after="0"/>
              <w:rPr>
                <w:sz w:val="20"/>
                <w:szCs w:val="20"/>
                <w:color w:val="auto"/>
              </w:rPr>
            </w:pPr>
            <w:r>
              <w:rPr>
                <w:rFonts w:ascii="Arial" w:cs="Arial" w:eastAsia="Arial" w:hAnsi="Arial"/>
                <w:sz w:val="14"/>
                <w:szCs w:val="14"/>
                <w:b w:val="1"/>
                <w:bCs w:val="1"/>
                <w:color w:val="auto"/>
                <w:w w:val="93"/>
              </w:rPr>
              <w:t>Year Ended December 31,</w:t>
            </w:r>
          </w:p>
        </w:tc>
      </w:tr>
      <w:tr>
        <w:trPr>
          <w:trHeight w:val="196"/>
        </w:trPr>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190"/>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4"/>
          </w:tcPr>
          <w:p>
            <w:pPr>
              <w:jc w:val="center"/>
              <w:ind w:left="715"/>
              <w:spacing w:after="0"/>
              <w:rPr>
                <w:sz w:val="20"/>
                <w:szCs w:val="20"/>
                <w:color w:val="auto"/>
              </w:rPr>
            </w:pPr>
            <w:r>
              <w:rPr>
                <w:rFonts w:ascii="Arial" w:cs="Arial" w:eastAsia="Arial" w:hAnsi="Arial"/>
                <w:sz w:val="14"/>
                <w:szCs w:val="14"/>
                <w:i w:val="1"/>
                <w:iCs w:val="1"/>
                <w:color w:val="auto"/>
                <w:w w:val="94"/>
              </w:rPr>
              <w:t>(in thousands)</w:t>
            </w:r>
          </w:p>
        </w:tc>
        <w:tc>
          <w:tcPr>
            <w:tcW w:w="1100" w:type="dxa"/>
            <w:vAlign w:val="bottom"/>
          </w:tcPr>
          <w:p>
            <w:pPr>
              <w:spacing w:after="0"/>
              <w:rPr>
                <w:sz w:val="16"/>
                <w:szCs w:val="16"/>
                <w:color w:val="auto"/>
              </w:rPr>
            </w:pPr>
          </w:p>
        </w:tc>
      </w:tr>
      <w:tr>
        <w:trPr>
          <w:trHeight w:val="255"/>
        </w:trPr>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0"/>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3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1,557</w:t>
            </w:r>
          </w:p>
        </w:tc>
      </w:tr>
    </w:tbl>
    <w:p>
      <w:pPr>
        <w:spacing w:after="0" w:line="62" w:lineRule="exact"/>
        <w:rPr>
          <w:sz w:val="20"/>
          <w:szCs w:val="20"/>
          <w:color w:val="auto"/>
        </w:rPr>
      </w:pPr>
    </w:p>
    <w:p>
      <w:pPr>
        <w:sectPr>
          <w:pgSz w:w="11900" w:h="16838" w:orient="portrait"/>
          <w:cols w:equalWidth="0" w:num="2">
            <w:col w:w="6306" w:space="260"/>
            <w:col w:w="3320"/>
          </w:cols>
          <w:pgMar w:left="994" w:top="1440" w:right="10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6" w:right="320" w:hanging="326"/>
        <w:spacing w:after="0" w:line="337" w:lineRule="auto"/>
        <w:tabs>
          <w:tab w:leader="none" w:pos="318"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See Note 11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ectPr>
          <w:pgSz w:w="11900" w:h="16838" w:orient="portrait"/>
          <w:cols w:equalWidth="0" w:num="1">
            <w:col w:w="9886"/>
          </w:cols>
          <w:pgMar w:left="994"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886"/>
          </w:cols>
          <w:pgMar w:left="994"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26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26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As of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Actual</w:t>
            </w:r>
          </w:p>
        </w:tc>
        <w:tc>
          <w:tcPr>
            <w:tcW w:w="134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1440" w:type="dxa"/>
            <w:vAlign w:val="bottom"/>
            <w:tcBorders>
              <w:top w:val="single" w:sz="8" w:color="auto"/>
            </w:tcBorders>
          </w:tcPr>
          <w:p>
            <w:pPr>
              <w:jc w:val="center"/>
              <w:ind w:left="8"/>
              <w:spacing w:after="0" w:line="141" w:lineRule="exact"/>
              <w:rPr>
                <w:sz w:val="20"/>
                <w:szCs w:val="20"/>
                <w:color w:val="auto"/>
              </w:rPr>
            </w:pPr>
            <w:r>
              <w:rPr>
                <w:rFonts w:ascii="Arial" w:cs="Arial" w:eastAsia="Arial" w:hAnsi="Arial"/>
                <w:sz w:val="14"/>
                <w:szCs w:val="14"/>
                <w:b w:val="1"/>
                <w:bCs w:val="1"/>
                <w:color w:val="auto"/>
                <w:w w:val="93"/>
              </w:rPr>
              <w:t>Pro Forma as</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Adjusted</w:t>
            </w:r>
            <w:r>
              <w:rPr>
                <w:rFonts w:ascii="Arial" w:cs="Arial" w:eastAsia="Arial" w:hAnsi="Arial"/>
                <w:sz w:val="9"/>
                <w:szCs w:val="9"/>
                <w:b w:val="1"/>
                <w:bCs w:val="1"/>
                <w:color w:val="auto"/>
                <w:w w:val="95"/>
              </w:rPr>
              <w:t>(2)(3)</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jc w:val="center"/>
              <w:ind w:right="68"/>
              <w:spacing w:after="0"/>
              <w:rPr>
                <w:sz w:val="20"/>
                <w:szCs w:val="20"/>
                <w:color w:val="auto"/>
              </w:rPr>
            </w:pPr>
            <w:r>
              <w:rPr>
                <w:rFonts w:ascii="Arial" w:cs="Arial" w:eastAsia="Arial" w:hAnsi="Arial"/>
                <w:sz w:val="14"/>
                <w:szCs w:val="14"/>
                <w:i w:val="1"/>
                <w:iCs w:val="1"/>
                <w:color w:val="auto"/>
                <w:w w:val="94"/>
              </w:rPr>
              <w:t>(in 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86,020</w:t>
            </w:r>
          </w:p>
        </w:tc>
        <w:tc>
          <w:tcPr>
            <w:tcW w:w="1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300" w:type="dxa"/>
            <w:vAlign w:val="bottom"/>
          </w:tcPr>
          <w:p>
            <w:pPr>
              <w:spacing w:after="0"/>
              <w:rPr>
                <w:sz w:val="23"/>
                <w:szCs w:val="23"/>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82,991</w:t>
            </w:r>
          </w:p>
        </w:tc>
        <w:tc>
          <w:tcPr>
            <w:tcW w:w="1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93,236</w:t>
            </w:r>
          </w:p>
        </w:tc>
        <w:tc>
          <w:tcPr>
            <w:tcW w:w="1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5,557</w:t>
            </w:r>
          </w:p>
        </w:tc>
        <w:tc>
          <w:tcPr>
            <w:tcW w:w="1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(22,586)</w:t>
            </w:r>
          </w:p>
        </w:tc>
        <w:tc>
          <w:tcPr>
            <w:tcW w:w="1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87,679</w:t>
            </w:r>
          </w:p>
        </w:tc>
        <w:tc>
          <w:tcPr>
            <w:tcW w:w="1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column in the balance sheet data table above reflects the automatic conversion of all shares of our convertible preferred stock into 62,117,410 shares of Class A common stock, as if such conversions had occurred on December 31, 2019.</w:t>
      </w:r>
    </w:p>
    <w:p>
      <w:pPr>
        <w:ind w:left="340" w:hanging="326"/>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as adjusted column in the balance sheet data table above gives effect to (i) the pro forma adjustments set forth above and (ii) the receipt of</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million in net proceeds from the sale and issuance by us of shares of our Class A common stock in this offering, based upon the assumed initial public offering</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price of $</w:t>
      </w:r>
      <w:r>
        <w:rPr>
          <w:rFonts w:ascii="Arial" w:cs="Arial" w:eastAsia="Arial" w:hAnsi="Arial"/>
          <w:sz w:val="13"/>
          <w:szCs w:val="13"/>
          <w:color w:val="auto"/>
        </w:rPr>
        <w:t>per share, which is the midpoint of the estimated offering price range set forth on the cover page of this prospectus, and after deducting estimated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underwriting discounts and commissions and estimated offering expenses payable by us.</w:t>
      </w:r>
    </w:p>
    <w:p>
      <w:pPr>
        <w:spacing w:after="0" w:line="1" w:lineRule="exact"/>
        <w:rPr>
          <w:sz w:val="20"/>
          <w:szCs w:val="20"/>
          <w:color w:val="auto"/>
        </w:rPr>
      </w:pPr>
    </w:p>
    <w:p>
      <w:pPr>
        <w:ind w:left="20"/>
        <w:spacing w:after="0"/>
        <w:tabs>
          <w:tab w:leader="none" w:pos="320" w:val="left"/>
          <w:tab w:leader="none" w:pos="5260" w:val="left"/>
        </w:tabs>
        <w:rPr>
          <w:sz w:val="20"/>
          <w:szCs w:val="20"/>
          <w:color w:val="auto"/>
        </w:rPr>
      </w:pPr>
      <w:r>
        <w:rPr>
          <w:rFonts w:ascii="Arial" w:cs="Arial" w:eastAsia="Arial" w:hAnsi="Arial"/>
          <w:sz w:val="14"/>
          <w:szCs w:val="14"/>
          <w:color w:val="auto"/>
        </w:rPr>
        <w:t>(3)</w:t>
        <w:tab/>
        <w:t>Each $1.00 increase or decrease in the assumed initial public offering price of $</w:t>
      </w:r>
      <w:r>
        <w:rPr>
          <w:sz w:val="20"/>
          <w:szCs w:val="20"/>
          <w:color w:val="auto"/>
        </w:rPr>
        <w:tab/>
      </w:r>
      <w:r>
        <w:rPr>
          <w:rFonts w:ascii="Arial" w:cs="Arial" w:eastAsia="Arial" w:hAnsi="Arial"/>
          <w:sz w:val="13"/>
          <w:szCs w:val="13"/>
          <w:color w:val="auto"/>
        </w:rPr>
        <w:t>per share, which is the midpoint of the estimated offering price range set forth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 the cover page of this prospectus, would increase or decrease, as applicable, the amount of our pro forma as adjusted cash, cash equivalents and investments,</w:t>
      </w:r>
    </w:p>
    <w:p>
      <w:pPr>
        <w:spacing w:after="0" w:line="13" w:lineRule="exact"/>
        <w:rPr>
          <w:sz w:val="20"/>
          <w:szCs w:val="20"/>
          <w:color w:val="auto"/>
        </w:rPr>
      </w:pPr>
    </w:p>
    <w:p>
      <w:pPr>
        <w:ind w:left="340"/>
        <w:spacing w:after="0"/>
        <w:tabs>
          <w:tab w:leader="none" w:pos="4300" w:val="left"/>
        </w:tabs>
        <w:rPr>
          <w:sz w:val="20"/>
          <w:szCs w:val="20"/>
          <w:color w:val="auto"/>
        </w:rPr>
      </w:pPr>
      <w:r>
        <w:rPr>
          <w:rFonts w:ascii="Arial" w:cs="Arial" w:eastAsia="Arial" w:hAnsi="Arial"/>
          <w:sz w:val="14"/>
          <w:szCs w:val="14"/>
          <w:color w:val="auto"/>
        </w:rPr>
        <w:t>working capital, total assets and total stockholders’ equity by $</w:t>
      </w:r>
      <w:r>
        <w:rPr>
          <w:sz w:val="20"/>
          <w:szCs w:val="20"/>
          <w:color w:val="auto"/>
        </w:rPr>
        <w:tab/>
      </w:r>
      <w:r>
        <w:rPr>
          <w:rFonts w:ascii="Arial" w:cs="Arial" w:eastAsia="Arial" w:hAnsi="Arial"/>
          <w:sz w:val="12"/>
          <w:szCs w:val="12"/>
          <w:color w:val="auto"/>
        </w:rPr>
        <w:t>, assuming that the number of shares of Class A common stock offered by us, as set forth on the</w:t>
      </w:r>
    </w:p>
    <w:p>
      <w:pPr>
        <w:spacing w:after="0" w:line="1" w:lineRule="exact"/>
        <w:rPr>
          <w:sz w:val="20"/>
          <w:szCs w:val="20"/>
          <w:color w:val="auto"/>
        </w:rPr>
      </w:pPr>
    </w:p>
    <w:p>
      <w:pPr>
        <w:ind w:left="340" w:right="260"/>
        <w:spacing w:after="0" w:line="1408" w:lineRule="auto"/>
        <w:rPr>
          <w:sz w:val="20"/>
          <w:szCs w:val="20"/>
          <w:color w:val="auto"/>
        </w:rPr>
      </w:pPr>
      <w:r>
        <w:rPr>
          <w:rFonts w:ascii="Arial" w:cs="Arial" w:eastAsia="Arial" w:hAnsi="Arial"/>
          <w:sz w:val="12"/>
          <w:szCs w:val="12"/>
          <w:color w:val="auto"/>
        </w:rPr>
        <w:t>cover page of this prospectus, remains the same, after deducting estimated underwriting discounts and commissions payable by us. An increase or decrease of 1.0 million shares in the number of shares of Class A common stock offered by us would increase or decrease, as applicable, the amount of our pro forma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right="380"/>
        <w:spacing w:after="0" w:line="250" w:lineRule="auto"/>
        <w:rPr>
          <w:sz w:val="20"/>
          <w:szCs w:val="20"/>
          <w:color w:val="auto"/>
        </w:rPr>
      </w:pPr>
      <w:r>
        <w:rPr>
          <w:rFonts w:ascii="Arial" w:cs="Arial" w:eastAsia="Arial" w:hAnsi="Arial"/>
          <w:sz w:val="14"/>
          <w:szCs w:val="14"/>
          <w:color w:val="auto"/>
        </w:rPr>
        <w:t>cash, cash equivalents and investments, working capital, total assets and total stockholders’ equity by $ assuming the assumed initial public offering price remains the same, and after deducting estimated underwriting discounts and commissions payable by us.</w:t>
      </w:r>
    </w:p>
    <w:p>
      <w:pPr>
        <w:spacing w:after="0" w:line="1" w:lineRule="exact"/>
        <w:rPr>
          <w:sz w:val="20"/>
          <w:szCs w:val="20"/>
          <w:color w:val="auto"/>
        </w:rPr>
      </w:pPr>
    </w:p>
    <w:p>
      <w:pPr>
        <w:ind w:left="340" w:right="80" w:hanging="326"/>
        <w:spacing w:after="0" w:line="255"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6" w:name="page17"/>
    <w:bookmarkEnd w:id="1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Terms Used in this Prospectus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Accuracy. </w:t>
      </w:r>
      <w:r>
        <w:rPr>
          <w:rFonts w:ascii="Arial" w:cs="Arial" w:eastAsia="Arial" w:hAnsi="Arial"/>
          <w:sz w:val="18"/>
          <w:szCs w:val="18"/>
          <w:color w:val="auto"/>
        </w:rPr>
        <w:t>In the context of proteomics studies, accuracy of measurement refers to how close the measured abundance of a protein is to the 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abundance in a sample.</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Biased. </w:t>
      </w:r>
      <w:r>
        <w:rPr>
          <w:rFonts w:ascii="Arial" w:cs="Arial" w:eastAsia="Arial" w:hAnsi="Arial"/>
          <w:sz w:val="17"/>
          <w:szCs w:val="17"/>
          <w:color w:val="auto"/>
        </w:rPr>
        <w:t>Biased refers to molecular analyses that depend upon specific ligands that are targeted to specific proteins in the case of biased proteomics,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In the context of proteomics studies, breadth of sampling refers to the number of proteins that are sampled in a proteomics study.</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Centralized. </w:t>
      </w:r>
      <w:r>
        <w:rPr>
          <w:rFonts w:ascii="Arial" w:cs="Arial" w:eastAsia="Arial" w:hAnsi="Arial"/>
          <w:sz w:val="18"/>
          <w:szCs w:val="18"/>
          <w:color w:val="auto"/>
        </w:rPr>
        <w:t>Centralized refers to a centralized laboratory in an institution where services, often highly technical or requiring specific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Consumables. </w:t>
      </w:r>
      <w:r>
        <w:rPr>
          <w:rFonts w:ascii="Arial" w:cs="Arial" w:eastAsia="Arial" w:hAnsi="Arial"/>
          <w:sz w:val="18"/>
          <w:szCs w:val="18"/>
          <w:color w:val="auto"/>
        </w:rPr>
        <w:t>Our consumables refer to the nanoparticle formulations, related reagents and disposable items in our assays that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to conduct proteomic assays using our Proteograph Product Suite.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Decentralized. </w:t>
      </w:r>
      <w:r>
        <w:rPr>
          <w:rFonts w:ascii="Arial" w:cs="Arial" w:eastAsia="Arial" w:hAnsi="Arial"/>
          <w:sz w:val="18"/>
          <w:szCs w:val="18"/>
          <w:color w:val="auto"/>
        </w:rPr>
        <w:t>Decentralized refers to a laboratory configuration in an institution where a specific technology, capabilities and equipment is dispersed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institution. Decentralized contrasts with centralized where technology, capabilities and/or equipment is centralized in an institution, often in a core laboratory.</w:t>
      </w:r>
    </w:p>
    <w:p>
      <w:pPr>
        <w:spacing w:after="0" w:line="13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Depth. </w:t>
      </w:r>
      <w:r>
        <w:rPr>
          <w:rFonts w:ascii="Arial" w:cs="Arial" w:eastAsia="Arial" w:hAnsi="Arial"/>
          <w:sz w:val="17"/>
          <w:szCs w:val="17"/>
          <w:color w:val="auto"/>
        </w:rPr>
        <w:t>In the context of proteomics studies, depth of coverage refers to the magnitude of the range of protein concentrations that are represented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Functional context/characterization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context/characterization, in the case of genes, refers to the details of how genes are hypothesized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 biologically, either directly or through the mRNA or protein molecules that derive from the genes. The interactions of these molecules produce a specific biological function.</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Genomics. </w:t>
      </w:r>
      <w:r>
        <w:rPr>
          <w:rFonts w:ascii="Arial" w:cs="Arial" w:eastAsia="Arial" w:hAnsi="Arial"/>
          <w:sz w:val="18"/>
          <w:szCs w:val="18"/>
          <w:color w:val="auto"/>
        </w:rPr>
        <w:t>Genomics refers to the study of all an organism’s genes and their interactions to influence the organism. Large-scale studies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how changes in an organism’s genes influence the organism.</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Instrument. </w:t>
      </w:r>
      <w:r>
        <w:rPr>
          <w:rFonts w:ascii="Arial" w:cs="Arial" w:eastAsia="Arial" w:hAnsi="Arial"/>
          <w:sz w:val="18"/>
          <w:szCs w:val="18"/>
          <w:color w:val="auto"/>
        </w:rPr>
        <w:t>In the context of our Proteograph, our instrument refers to the automated, robotic, liquid handling workstation that is used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consumables to conduct proteomic assays using our Proteograph Product Suite.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Interactome. </w:t>
      </w:r>
      <w:r>
        <w:rPr>
          <w:rFonts w:ascii="Arial" w:cs="Arial" w:eastAsia="Arial" w:hAnsi="Arial"/>
          <w:sz w:val="18"/>
          <w:szCs w:val="18"/>
          <w:color w:val="auto"/>
        </w:rPr>
        <w:t>Interactome refers to the broad set of interaction networks among molecules, such PPIs. Other interactions may include those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molecules and proteins.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Interrogation. </w:t>
      </w:r>
      <w:r>
        <w:rPr>
          <w:rFonts w:ascii="Arial" w:cs="Arial" w:eastAsia="Arial" w:hAnsi="Arial"/>
          <w:sz w:val="18"/>
          <w:szCs w:val="18"/>
          <w:color w:val="auto"/>
        </w:rPr>
        <w:t>In the context of our Proteograph, interrogation refers to analyses of one of more samples to explore the proteomic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in those samples.</w:t>
      </w:r>
    </w:p>
    <w:p>
      <w:pPr>
        <w:spacing w:after="0" w:line="116"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b w:val="1"/>
          <w:bCs w:val="1"/>
          <w:i w:val="1"/>
          <w:iCs w:val="1"/>
          <w:color w:val="auto"/>
        </w:rPr>
        <w:t xml:space="preserve">Large-scale. </w:t>
      </w:r>
      <w:r>
        <w:rPr>
          <w:rFonts w:ascii="Arial" w:cs="Arial" w:eastAsia="Arial" w:hAnsi="Arial"/>
          <w:sz w:val="17"/>
          <w:szCs w:val="17"/>
          <w:color w:val="auto"/>
        </w:rPr>
        <w:t>In the context of proteomics studies, large-scale refers to studies of more than 100 samples, given that most proteomics studies,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those that cover a wide range of protein concentrations (i.e. deep studies) are in the range of less than 50 samples.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-omics. </w:t>
      </w:r>
      <w:r>
        <w:rPr>
          <w:rFonts w:ascii="Arial" w:cs="Arial" w:eastAsia="Arial" w:hAnsi="Arial"/>
          <w:sz w:val="18"/>
          <w:szCs w:val="18"/>
          <w:color w:val="auto"/>
        </w:rPr>
        <w:t>This term refers to various different biological analyses approaches whereby researchers can analyze complex biological data, often in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440" w:right="379" w:bottom="1440" w:gutter="0" w:footer="0" w:header="0"/>
        </w:sectPr>
      </w:pPr>
    </w:p>
    <w:bookmarkStart w:id="17" w:name="page18"/>
    <w:bookmarkEnd w:id="17"/>
    <w:p>
      <w:pPr>
        <w:spacing w:after="0" w:line="14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Mass spectrometry (MS)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Mass spectrometry refers to an analytical technique that can be used to accurately measure the mass-to-charge ratio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1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i w:val="1"/>
          <w:iCs w:val="1"/>
          <w:color w:val="auto"/>
        </w:rPr>
        <w:t>Nanoparticle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Nanoparticle refers to a particle of matter that is generally tens to hundreds of nanometers in diameter. The small size of nanoparticles,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Peptide. </w:t>
      </w:r>
      <w:r>
        <w:rPr>
          <w:rFonts w:ascii="Arial" w:cs="Arial" w:eastAsia="Arial" w:hAnsi="Arial"/>
          <w:sz w:val="18"/>
          <w:szCs w:val="18"/>
          <w:color w:val="auto"/>
        </w:rPr>
        <w:t>Peptide refers to a chemical entity that is between two and 50 amino acids. A polypeptide that contains more than 50 amino acids is labelled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protein.</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Phenotype</w:t>
      </w:r>
      <w:r>
        <w:rPr>
          <w:rFonts w:ascii="Arial" w:cs="Arial" w:eastAsia="Arial" w:hAnsi="Arial"/>
          <w:sz w:val="18"/>
          <w:szCs w:val="18"/>
          <w:color w:val="auto"/>
        </w:rPr>
        <w:t>. Phenotype refers to the observable characteristics or traits of an organism, which can be manifested in form or structure by biochemical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 properties, or by behavior.</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Polymorphism. </w:t>
      </w:r>
      <w:r>
        <w:rPr>
          <w:rFonts w:ascii="Arial" w:cs="Arial" w:eastAsia="Arial" w:hAnsi="Arial"/>
          <w:sz w:val="16"/>
          <w:szCs w:val="16"/>
          <w:color w:val="auto"/>
        </w:rPr>
        <w:t>Polymorphism refers to the occurrence of two or more forms or morphs of genes that are seen across a population. Polymorphisms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Post-translational modifications (PTMs). </w:t>
      </w:r>
      <w:r>
        <w:rPr>
          <w:rFonts w:ascii="Arial" w:cs="Arial" w:eastAsia="Arial" w:hAnsi="Arial"/>
          <w:sz w:val="18"/>
          <w:szCs w:val="18"/>
          <w:color w:val="auto"/>
        </w:rPr>
        <w:t>Post-translational modifications refer to the covalent and generally enzymatic modifications of proteins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In the context of proteomics studies, precision of measurement refers to how close several measurements of protein abundance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are to each other.</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Protein. </w:t>
      </w:r>
      <w:r>
        <w:rPr>
          <w:rFonts w:ascii="Arial" w:cs="Arial" w:eastAsia="Arial" w:hAnsi="Arial"/>
          <w:sz w:val="18"/>
          <w:szCs w:val="18"/>
          <w:color w:val="auto"/>
        </w:rPr>
        <w:t>Protein refers to a polypeptide of more than 50 amino acids. Proteins conduct a vast array of functions within an organism,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Protein-protein interactions (PPIs). </w:t>
      </w:r>
      <w:r>
        <w:rPr>
          <w:rFonts w:ascii="Arial" w:cs="Arial" w:eastAsia="Arial" w:hAnsi="Arial"/>
          <w:sz w:val="18"/>
          <w:szCs w:val="18"/>
          <w:color w:val="auto"/>
        </w:rPr>
        <w:t>Protein-protein interactions refer to specific physical interactions between two or more proteins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physicochemical forces, and which are the result of molecular mechanisms that mediate biological function.</w:t>
      </w:r>
    </w:p>
    <w:p>
      <w:pPr>
        <w:spacing w:after="0" w:line="11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Protein variant. </w:t>
      </w:r>
      <w:r>
        <w:rPr>
          <w:rFonts w:ascii="Arial" w:cs="Arial" w:eastAsia="Arial" w:hAnsi="Arial"/>
          <w:sz w:val="18"/>
          <w:szCs w:val="18"/>
          <w:color w:val="auto"/>
        </w:rPr>
        <w:t>Protein variant, also known as a protein isoform, refers to a set of similar proteins that originate from a single gene or gene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variations can be generated by different molecular mechanisms, including alternative splicing of RNAs, various expression patterns of RNAs and post-translational modifications.</w:t>
      </w:r>
    </w:p>
    <w:p>
      <w:pPr>
        <w:spacing w:after="0" w:line="13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Proteograph Product Suite. </w:t>
      </w:r>
      <w:r>
        <w:rPr>
          <w:rFonts w:ascii="Arial" w:cs="Arial" w:eastAsia="Arial" w:hAnsi="Arial"/>
          <w:sz w:val="18"/>
          <w:szCs w:val="18"/>
          <w:color w:val="auto"/>
        </w:rPr>
        <w:t>Our Proteograph Product Suite refers to an integrated solution consisting of consumables, which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nanoparticles, our automatic instrument, and our data analysis software.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Proteomic(s). </w:t>
      </w:r>
      <w:r>
        <w:rPr>
          <w:rFonts w:ascii="Arial" w:cs="Arial" w:eastAsia="Arial" w:hAnsi="Arial"/>
          <w:sz w:val="18"/>
          <w:szCs w:val="18"/>
          <w:color w:val="auto"/>
        </w:rPr>
        <w:t>Proteomic(s) refers to the large-scale study of proteins. The proteome is the entire set of proteins that is produced or modified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Our software refers to our integrated software suite that helps our customers process and interrogate the data that is generated by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after a proteomic assay has been performed using our Proteograph Product Suite.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Throughput. </w:t>
      </w:r>
      <w:r>
        <w:rPr>
          <w:rFonts w:ascii="Arial" w:cs="Arial" w:eastAsia="Arial" w:hAnsi="Arial"/>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Transcriptome. </w:t>
      </w:r>
      <w:r>
        <w:rPr>
          <w:rFonts w:ascii="Arial" w:cs="Arial" w:eastAsia="Arial" w:hAnsi="Arial"/>
          <w:sz w:val="16"/>
          <w:szCs w:val="16"/>
          <w:color w:val="auto"/>
        </w:rPr>
        <w:t>Transcriptome refers to the sum total of all messenger RNA (mRNA) molecules that are expressed from the genes of an organism,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biological process called “transcription” whereby the information in a strand of DNA is copied into a new molecule of mRNA.</w:t>
      </w:r>
    </w:p>
    <w:p>
      <w:pPr>
        <w:spacing w:after="0" w:line="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Unbiased. </w:t>
      </w:r>
      <w:r>
        <w:rPr>
          <w:rFonts w:ascii="Arial" w:cs="Arial" w:eastAsia="Arial" w:hAnsi="Arial"/>
          <w:sz w:val="18"/>
          <w:szCs w:val="18"/>
          <w:color w:val="auto"/>
        </w:rPr>
        <w:t>Unbiased refers to molecular analyses that does not depend upon specific ligands that are targeted to specific proteins, genes or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mutations. Unbiased contrasts with biased, which requires specific ligands to target molecules. Unbiased is also referred to as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1440" w:right="459" w:bottom="1440" w:gutter="0" w:footer="0" w:header="0"/>
        </w:sectPr>
      </w:pPr>
    </w:p>
    <w:bookmarkStart w:id="19" w:name="page20"/>
    <w:bookmarkEnd w:id="19"/>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As of December 31, 2019, we had an accumulated deficit of $22.6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440" w:right="379" w:bottom="1440" w:gutter="0" w:footer="0" w:header="0"/>
        </w:sectPr>
      </w:pPr>
    </w:p>
    <w:bookmarkStart w:id="20" w:name="page21"/>
    <w:bookmarkEnd w:id="20"/>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Proteograph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320" w:top="1440" w:right="379" w:bottom="1440" w:gutter="0" w:footer="0" w:header="0"/>
          <w:type w:val="continuous"/>
        </w:sectPr>
      </w:pPr>
    </w:p>
    <w:bookmarkStart w:id="21" w:name="page22"/>
    <w:bookmarkEnd w:id="2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 that government or other sources of funding will continue to be available to life sciences researchers at times and in amounts necessary to allow them to purchase our products.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Proteograph with key opinion leaders in a timely fashion;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Proteograph prior to entering into the second or third phases of our commercial launch plan;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194" w:lineRule="exact"/>
        <w:rPr>
          <w:rFonts w:ascii="Arial" w:cs="Arial" w:eastAsia="Arial" w:hAnsi="Arial"/>
          <w:sz w:val="16"/>
          <w:szCs w:val="16"/>
          <w:color w:val="auto"/>
        </w:rPr>
      </w:pPr>
    </w:p>
    <w:p>
      <w:pPr>
        <w:ind w:left="660" w:right="8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13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adoption of our Proteograph by academic institutions, laboratories, biopharmaceutical companies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prices we charge for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1440" w:right="39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 launch of our Proteograph. To perform sales, marketing, distribution, and customer service and support successfully, we will face a number of risks, including:</w:t>
      </w:r>
    </w:p>
    <w:p>
      <w:pPr>
        <w:spacing w:after="0" w:line="103" w:lineRule="exact"/>
        <w:rPr>
          <w:sz w:val="20"/>
          <w:szCs w:val="20"/>
          <w:color w:val="auto"/>
        </w:rPr>
      </w:pPr>
    </w:p>
    <w:p>
      <w:pPr>
        <w:ind w:left="660" w:right="1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travel to our facilities, other laboratories and industry events, will become increasingly important to the adoption of our Proteograph. All of these considerations are impacted by factors beyond our control, such as:</w:t>
      </w:r>
    </w:p>
    <w:p>
      <w:pPr>
        <w:spacing w:after="0" w:line="112" w:lineRule="exact"/>
        <w:rPr>
          <w:sz w:val="20"/>
          <w:szCs w:val="20"/>
          <w:color w:val="auto"/>
        </w:rPr>
      </w:pPr>
    </w:p>
    <w:p>
      <w:pPr>
        <w:ind w:left="660" w:right="12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While the potential economic impact brought by, and the duration of, the COVID-19 pandemic is difficult to assess or predict, the COVID-19 pandemic has resulted in, and may continue to result in, extreme volatility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September 1, 2020, we had 55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Once public,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United States administration has made restricting immigration and reforming the work visa process a key focus of its initiatives and these efforts may adversely affect our ability to find qualified personnel.</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1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researchers’ opinions of the utility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citation of our Proteograph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4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33" w:lineRule="exact"/>
        <w:rPr>
          <w:sz w:val="20"/>
          <w:szCs w:val="20"/>
          <w:color w:val="auto"/>
        </w:rPr>
      </w:pPr>
    </w:p>
    <w:p>
      <w:pPr>
        <w:jc w:val="both"/>
        <w:ind w:right="94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4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1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1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8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44" w:lineRule="exact"/>
        <w:rPr>
          <w:sz w:val="20"/>
          <w:szCs w:val="20"/>
          <w:color w:val="auto"/>
        </w:rPr>
      </w:pPr>
    </w:p>
    <w:p>
      <w:pPr>
        <w:ind w:left="660" w:right="12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begun to take certain actions to address the control deficiencies in our financial reporting, including hiring additional finance personnel and establishing more robust processes. While we have begun taking measures and plan to continue to take measures to design and implement an effective control environment, measures taken to date are not sufficient to remediate the material weaknesses.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anticipated cash flow from operations are insufficient to satisfy our liquidity requirements including because of lower demand for our products or the realization of other risks described in this prospectus, we may be required to raise additional capital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time through issuances of equity or convertible debt securities, entrance into a credit facility or another form of third-party funding or seek other debt financing.</w:t>
      </w:r>
    </w:p>
    <w:p>
      <w:pPr>
        <w:spacing w:after="0" w:line="11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stake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0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applications may not be prosecuted and enforced by such third parties in a manner consistent with the best interests of our business.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material adverse effect on our ability to obtain new patents and to defend and enforce our existing patents and patents that we might obtain in the future.</w:t>
      </w:r>
    </w:p>
    <w:p>
      <w:pPr>
        <w:spacing w:after="0" w:line="1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owned and licensed patents and patent applications may be subject to validity, enforceability and priority disputes. The issuance of a patent is not conclusive as to its inventorship, scope, validity or enforceability. Some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1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33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3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4"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patent families that include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4"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4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1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1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5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1440" w:right="399" w:bottom="1440" w:gutter="0" w:footer="0" w:header="0"/>
        </w:sectPr>
      </w:pPr>
    </w:p>
    <w:bookmarkStart w:id="52" w:name="page53"/>
    <w:bookmarkEnd w:id="52"/>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right="720" w:firstLine="324"/>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this Offering and Ownership of Our Class A Common Stock</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shares of our Class A common stock and an active trading market for our Class A common stock may never develop or be sustained.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this offering, there has been no public market for shares of our Class A common stock. We have applied to list our Class A common stock on</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under the symbol “SEER.” We cannot assure you that an active trading market for our Class A common stock will develop on that exchange or elsewhere. If an active trading market does not develop, or develops but is not maintained, you may have difficulty selling any of our Class A common stock that you purchase due to the limited public float. Accordingly, we cannot assure you of your ability to sell your shares of Class A common stock when desired or the prices that you may obtain for your shares.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result in substantial losses for investors purchasing shares in this offering.</w:t>
      </w:r>
    </w:p>
    <w:p>
      <w:pPr>
        <w:spacing w:after="0" w:line="20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initial public offering price for our Class A common stock will be determined through negotiations with the underwriters. This initial public offering price may differ from the market price of our Class A common stock after the offering. As a result, you may not be able to sell your Class A common stock at or above the initial public offering price. Some of the factors that may cause the market price of our Class A common stock to fluctuate include, but are not limited to:</w:t>
      </w:r>
    </w:p>
    <w:p>
      <w:pPr>
        <w:spacing w:after="0" w:line="133" w:lineRule="exact"/>
        <w:rPr>
          <w:sz w:val="20"/>
          <w:szCs w:val="20"/>
          <w:color w:val="auto"/>
        </w:rPr>
      </w:pPr>
    </w:p>
    <w:p>
      <w:pPr>
        <w:ind w:left="660" w:right="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holders of our Class B common stock will hold in the aggregate % of the voting power of our capital stock.</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the holders of our Class B common stock collectively will continue to control a majority of the combined voting power of our common stock and therefore be able to control all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upon the earlier of the first day following the fifth anniversary of the closing of this offering and December 31,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1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trading market for our Class A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Class A common stock could decrease. Even if we do obtain analyst coverage,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following this offering could cause the price of our Class A common stock to decline.</w:t>
      </w:r>
    </w:p>
    <w:p>
      <w:pPr>
        <w:spacing w:after="0" w:line="11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 After giving effect to (i) the filing and effectiveness of our amended and restated certificate of incorporation, (ii) the automatic conversion of all shares of our convertible preferred stock</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outstanding as of , 2020 into shares of Class A common stock and (iii) the issuance and sale of shares of Class A common stock by us in this offering, we will have shares of Class A common stock outstanding and 20,000,000 shares of Class B common stock outstanding. Of these shares, the shares of Class A common stock we are selling in this offering may be resold in the public market immediately, unless purchased by our affiliates. The remaining 67,862,770 shares of Class A common stock, or % of our outstanding shares of Class A common stock</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after this offering and all shares of our Class B common stock (and any share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 however, subject to applicable securities law restrictions and excluding shares of Class A common stock issued pursuant to the early exercise of unvested stock options that will remain unvested, the shares of our Class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common stock outstanding after this offering will be able to be sold in the public market beginning on ,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market to the extent permitted by the provisions of applicable vesting schedules, any applicable market standoff and lock-up agreements, and Rule 144 and Rule 701 under the Securities Act of 1933, as amended, or the Securities Act.</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Moreover, after this offering, holders of an aggregate of 63,413,774 shares of our Class A common stock will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We also plan to register all shares of Class A common stock that we may issue under our equity compensation and employee stock purchase plans. Once we register these shares, they can be freely sold in the public market upon issuance and, if applicable, vesting, subject to volume limitations applicable to affiliates and the lock-up agreements described in the section titled “Underwriting” in this prospectus.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in this prospectus.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prior to the closing of this offering might discourage, delay or prevent a change in control of our company or changes in our management and, therefore, depress the trading price of our Class A common stock.</w:t>
      </w:r>
    </w:p>
    <w:p>
      <w:pPr>
        <w:spacing w:after="0" w:line="13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of directors will be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will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will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320" w:top="1440" w:right="419" w:bottom="1440" w:gutter="0" w:footer="0" w:header="0"/>
        </w:sectPr>
      </w:pPr>
    </w:p>
    <w:bookmarkStart w:id="57" w:name="page58"/>
    <w:bookmarkEnd w:id="57"/>
    <w:p>
      <w:pPr>
        <w:spacing w:after="0" w:line="1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stockholders will only be able to take action at a meeting of stockholders and will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stockholders will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1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regulations and standards relating to corporate governance and public disclosure, including SOX, and the related rules and regulations</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implemented by the SEC and ,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Class A common stock in this offering, you will incur immediate and substantial dilution as a result of this offering.</w:t>
      </w:r>
    </w:p>
    <w:p>
      <w:pPr>
        <w:spacing w:after="0" w:line="183"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If you purchase our Class A common stock in this offering, you will incur immediate and substantial dilution of $ per share, representing the difference between the assumed initial public offering price of $ per share, which is the midpoint of the price range set forth on the cover page of this</w:t>
      </w:r>
    </w:p>
    <w:p>
      <w:pPr>
        <w:spacing w:after="0" w:line="280" w:lineRule="auto"/>
        <w:rPr>
          <w:sz w:val="20"/>
          <w:szCs w:val="20"/>
          <w:color w:val="auto"/>
        </w:rPr>
      </w:pPr>
      <w:r>
        <w:rPr>
          <w:rFonts w:ascii="Arial" w:cs="Arial" w:eastAsia="Arial" w:hAnsi="Arial"/>
          <w:sz w:val="16"/>
          <w:szCs w:val="16"/>
          <w:color w:val="auto"/>
        </w:rPr>
        <w:t>prospectus, after deducting the estimated underwriting discounts and commissions and estimated offering expenses payable by us, and our pro forma net tangible book value per share after giving effect to (i) the filing and effectiveness of our amended and restated certificate of incorporation, (ii) the automatic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conversion of all shares of our convertible preferred stock outstanding as of , 2020 into shares of Class A common stock and (iii) the issuance and sale of shares of Class A common stock by us in this offering. As of , 2020, there were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Class A common stock subject to outstanding stock options with a weighted-average exercise price of $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0"/>
          </w:cols>
          <w:pgMar w:left="320" w:top="1440" w:right="859" w:bottom="1440" w:gutter="0" w:footer="0" w:header="0"/>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0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use of proceeds from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62" w:name="page63"/>
    <w:bookmarkEnd w:id="6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sources of industry, market and other data contained in this prospectus are listed below:</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Allied Market Research. “Global Proteomics Market - Opportunity Analysis and Industry Forecast, 2018-2025”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Technavio. “Genomics Market by Solution and Geography - Forecast and Analysis 2020-2024”.</w:t>
      </w:r>
    </w:p>
    <w:p>
      <w:pPr>
        <w:spacing w:after="0" w:line="171"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69"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ClinVar. ClinVar is a freely accessible, public archive of reports of the relationships among human variations and phenotypes, with supporting evidence.</w:t>
      </w:r>
    </w:p>
    <w:p>
      <w:pPr>
        <w:spacing w:after="0" w:line="11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published studies referenced throughout this prospectus, the citations for those studies are listed below:</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Blume, J. E. et al. Rapid, deep and precise profiling of the plasma proteome with multi-nanoparticle protein corona. </w:t>
      </w:r>
      <w:r>
        <w:rPr>
          <w:rFonts w:ascii="Arial" w:cs="Arial" w:eastAsia="Arial" w:hAnsi="Arial"/>
          <w:sz w:val="16"/>
          <w:szCs w:val="16"/>
          <w:i w:val="1"/>
          <w:iCs w:val="1"/>
          <w:color w:val="auto"/>
        </w:rPr>
        <w:t>Nat. Commun.</w:t>
      </w:r>
      <w:r>
        <w:rPr>
          <w:rFonts w:ascii="Arial" w:cs="Arial" w:eastAsia="Arial" w:hAnsi="Arial"/>
          <w:sz w:val="16"/>
          <w:szCs w:val="16"/>
          <w:color w:val="auto"/>
        </w:rPr>
        <w:t xml:space="preserve"> 11, (2020).</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Keshishian, H. et al. Quantitative, multiplexed workflow for deep analysis of human blood plasma and biomarker discovery by mass spectrometry. </w:t>
      </w:r>
      <w:r>
        <w:rPr>
          <w:rFonts w:ascii="Arial" w:cs="Arial" w:eastAsia="Arial" w:hAnsi="Arial"/>
          <w:sz w:val="18"/>
          <w:szCs w:val="18"/>
          <w:i w:val="1"/>
          <w:iCs w:val="1"/>
          <w:color w:val="auto"/>
        </w:rPr>
        <w:t xml:space="preserve">Nat. Protoc. </w:t>
      </w:r>
      <w:r>
        <w:rPr>
          <w:rFonts w:ascii="Arial" w:cs="Arial" w:eastAsia="Arial" w:hAnsi="Arial"/>
          <w:sz w:val="18"/>
          <w:szCs w:val="18"/>
          <w:color w:val="auto"/>
        </w:rPr>
        <w:t>12, 1683–1701 (2017).</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Schwenk, J. M. et al. The Human Plasma Proteome Draft of 2017: Building on the Human Plasma PeptideAtlas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Liao, W. Y. et al. Heparin co-factor II enhances cell motility and promotes metastasis in non-small cell lung cancer. </w:t>
      </w:r>
      <w:r>
        <w:rPr>
          <w:rFonts w:ascii="Arial" w:cs="Arial" w:eastAsia="Arial" w:hAnsi="Arial"/>
          <w:sz w:val="16"/>
          <w:szCs w:val="16"/>
          <w:i w:val="1"/>
          <w:iCs w:val="1"/>
          <w:color w:val="auto"/>
        </w:rPr>
        <w:t>J. Pathol.</w:t>
      </w:r>
      <w:r>
        <w:rPr>
          <w:rFonts w:ascii="Arial" w:cs="Arial" w:eastAsia="Arial" w:hAnsi="Arial"/>
          <w:sz w:val="16"/>
          <w:szCs w:val="16"/>
          <w:color w:val="auto"/>
        </w:rPr>
        <w:t xml:space="preserve"> 235, 50–64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4" w:lineRule="exact"/>
        <w:rPr>
          <w:sz w:val="20"/>
          <w:szCs w:val="20"/>
          <w:color w:val="auto"/>
        </w:rPr>
      </w:pPr>
    </w:p>
    <w:p>
      <w:pPr>
        <w:ind w:left="328"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88"/>
          </w:cols>
          <w:pgMar w:left="652" w:top="1440" w:right="359" w:bottom="1440" w:gutter="0" w:footer="0" w:header="0"/>
        </w:sectPr>
      </w:pPr>
    </w:p>
    <w:bookmarkStart w:id="64" w:name="page65"/>
    <w:bookmarkEnd w:id="64"/>
    <w:p>
      <w:pPr>
        <w:spacing w:after="0" w:line="14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estimate that the net proceeds from our issuance and sale of shares of our Class A common stock in this offering will be approximately</w:t>
      </w:r>
    </w:p>
    <w:p>
      <w:pPr>
        <w:spacing w:after="0" w:line="35" w:lineRule="exact"/>
        <w:rPr>
          <w:sz w:val="20"/>
          <w:szCs w:val="20"/>
          <w:color w:val="auto"/>
        </w:rPr>
      </w:pPr>
    </w:p>
    <w:p>
      <w:pPr>
        <w:spacing w:after="0"/>
        <w:tabs>
          <w:tab w:leader="none" w:pos="520" w:val="left"/>
          <w:tab w:leader="none" w:pos="3400" w:val="left"/>
          <w:tab w:leader="none" w:pos="8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8"/>
          <w:szCs w:val="18"/>
          <w:color w:val="auto"/>
        </w:rPr>
        <w:t>million if the underwriters exercise their option to purchase up to</w:t>
      </w:r>
      <w:r>
        <w:rPr>
          <w:sz w:val="20"/>
          <w:szCs w:val="20"/>
          <w:color w:val="auto"/>
        </w:rPr>
        <w:tab/>
      </w:r>
      <w:r>
        <w:rPr>
          <w:rFonts w:ascii="Arial" w:cs="Arial" w:eastAsia="Arial" w:hAnsi="Arial"/>
          <w:sz w:val="16"/>
          <w:szCs w:val="16"/>
          <w:color w:val="auto"/>
        </w:rPr>
        <w:t>additional shares our Class A</w:t>
      </w:r>
    </w:p>
    <w:p>
      <w:pPr>
        <w:spacing w:after="0" w:line="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common stock in full, based on an 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31" w:lineRule="exact"/>
        <w:rPr>
          <w:sz w:val="20"/>
          <w:szCs w:val="20"/>
          <w:color w:val="auto"/>
        </w:rPr>
      </w:pPr>
    </w:p>
    <w:p>
      <w:pPr>
        <w:ind w:right="180" w:firstLine="324"/>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price range set forth on the cover of this prospectus, would increase or decrease, as applicable, the aggregate net proceeds to us from this offering by approximately</w:t>
      </w:r>
    </w:p>
    <w:p>
      <w:pPr>
        <w:jc w:val="both"/>
        <w:ind w:firstLine="8"/>
        <w:spacing w:after="0" w:line="281" w:lineRule="auto"/>
        <w:tabs>
          <w:tab w:leader="none" w:pos="9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million, assuming the 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 would increase or decrease, as applicable, the net proceeds to us from</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offering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Class A common stock and facilitate our future access to the public capital markets. We currently intend to use the net proceeds from this offering, together with our existing cash to support research and development, to commercialize our Proteograph Product Suite and for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38"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w:t>
      </w:r>
    </w:p>
    <w:p>
      <w:pPr>
        <w:spacing w:after="0" w:line="13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including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1440" w:right="399" w:bottom="1440" w:gutter="0" w:footer="0" w:header="0"/>
        </w:sectPr>
      </w:pPr>
    </w:p>
    <w:bookmarkStart w:id="65" w:name="page66"/>
    <w:bookmarkEnd w:id="6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w w:val="95"/>
              </w:rPr>
              <w:t>The following table sets forth our cash and cash equivalents and capitalization as of</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4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ectPr>
          <w:pgSz w:w="11900" w:h="16838" w:orient="portrait"/>
          <w:cols w:equalWidth="0" w:num="1">
            <w:col w:w="11120"/>
          </w:cols>
          <w:pgMar w:left="320" w:top="1440" w:right="45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3"/>
        <w:spacing w:after="0" w:line="342" w:lineRule="auto"/>
        <w:rPr>
          <w:sz w:val="20"/>
          <w:szCs w:val="20"/>
          <w:color w:val="auto"/>
        </w:rPr>
      </w:pPr>
      <w:r>
        <w:rPr>
          <w:rFonts w:ascii="Arial" w:cs="Arial" w:eastAsia="Arial" w:hAnsi="Arial"/>
          <w:sz w:val="16"/>
          <w:szCs w:val="16"/>
          <w:color w:val="auto"/>
        </w:rPr>
        <w:t>the automatic conversion of all of our outstanding shares of convertible preferred stock into an aggregate of common stock immediately prior to the completion of this offering as if such conversion had occurred 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520" w:firstLine="69"/>
        <w:spacing w:after="0" w:line="277" w:lineRule="auto"/>
        <w:rPr>
          <w:sz w:val="20"/>
          <w:szCs w:val="20"/>
          <w:color w:val="auto"/>
        </w:rPr>
      </w:pPr>
      <w:r>
        <w:rPr>
          <w:rFonts w:ascii="Arial" w:cs="Arial" w:eastAsia="Arial" w:hAnsi="Arial"/>
          <w:sz w:val="18"/>
          <w:szCs w:val="18"/>
          <w:color w:val="auto"/>
        </w:rPr>
        <w:t>shares of Class A , 2020,</w:t>
      </w:r>
    </w:p>
    <w:p>
      <w:pPr>
        <w:spacing w:after="0" w:line="116" w:lineRule="exact"/>
        <w:rPr>
          <w:sz w:val="20"/>
          <w:szCs w:val="20"/>
          <w:color w:val="auto"/>
        </w:rPr>
      </w:pPr>
    </w:p>
    <w:p>
      <w:pPr>
        <w:sectPr>
          <w:pgSz w:w="11900" w:h="16838" w:orient="portrait"/>
          <w:cols w:equalWidth="0" w:num="3">
            <w:col w:w="720" w:space="260"/>
            <w:col w:w="7740" w:space="560"/>
            <w:col w:w="1840"/>
          </w:cols>
          <w:pgMar w:left="320" w:top="1440" w:right="459" w:bottom="1440" w:gutter="0" w:footer="0" w:header="0"/>
          <w:type w:val="continuous"/>
        </w:sectPr>
      </w:pPr>
    </w:p>
    <w:p>
      <w:pPr>
        <w:ind w:left="980" w:hanging="324"/>
        <w:spacing w:after="0" w:line="277" w:lineRule="auto"/>
        <w:tabs>
          <w:tab w:leader="none" w:pos="9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completion of this offering;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pro forma adjustments set forth above; and</w:t>
      </w:r>
    </w:p>
    <w:p>
      <w:pPr>
        <w:sectPr>
          <w:pgSz w:w="11900" w:h="16838" w:orient="portrait"/>
          <w:cols w:equalWidth="0" w:num="1">
            <w:col w:w="11120"/>
          </w:cols>
          <w:pgMar w:left="320" w:top="1440" w:right="459" w:bottom="1440" w:gutter="0" w:footer="0" w:header="0"/>
          <w:type w:val="continuous"/>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3"/>
        <w:spacing w:after="0" w:line="258" w:lineRule="auto"/>
        <w:rPr>
          <w:sz w:val="20"/>
          <w:szCs w:val="20"/>
          <w:color w:val="auto"/>
        </w:rPr>
      </w:pPr>
      <w:r>
        <w:rPr>
          <w:rFonts w:ascii="Arial" w:cs="Arial" w:eastAsia="Arial" w:hAnsi="Arial"/>
          <w:sz w:val="18"/>
          <w:szCs w:val="18"/>
          <w:color w:val="auto"/>
        </w:rPr>
        <w:t>the sale and issuance of</w:t>
      </w:r>
      <w:r>
        <w:rPr>
          <w:sz w:val="20"/>
          <w:szCs w:val="20"/>
          <w:color w:val="auto"/>
        </w:rPr>
        <w:t xml:space="preserve"> </w:t>
      </w:r>
      <w:r>
        <w:rPr>
          <w:rFonts w:ascii="Arial" w:cs="Arial" w:eastAsia="Arial" w:hAnsi="Arial"/>
          <w:sz w:val="18"/>
          <w:szCs w:val="18"/>
          <w:color w:val="auto"/>
        </w:rPr>
        <w:t>shares of our Class A common stock by us in this offering, based upon the assumed initial public offering price of $ per share, which is the midpoint of the price range set forth on the cover page of this prospectus, after deducting underwriting</w:t>
      </w:r>
    </w:p>
    <w:p>
      <w:pPr>
        <w:spacing w:after="0" w:line="1" w:lineRule="exact"/>
        <w:rPr>
          <w:sz w:val="20"/>
          <w:szCs w:val="20"/>
          <w:color w:val="auto"/>
        </w:rPr>
      </w:pPr>
    </w:p>
    <w:p>
      <w:pPr>
        <w:sectPr>
          <w:pgSz w:w="11900" w:h="16838" w:orient="portrait"/>
          <w:cols w:equalWidth="0" w:num="2">
            <w:col w:w="720" w:space="260"/>
            <w:col w:w="10140"/>
          </w:cols>
          <w:pgMar w:left="320" w:top="1440" w:right="459" w:bottom="1440" w:gutter="0" w:footer="0" w:header="0"/>
          <w:type w:val="continuous"/>
        </w:sectPr>
      </w:pPr>
    </w:p>
    <w:p>
      <w:pPr>
        <w:ind w:left="980"/>
        <w:spacing w:after="0"/>
        <w:rPr>
          <w:sz w:val="20"/>
          <w:szCs w:val="20"/>
          <w:color w:val="auto"/>
        </w:rPr>
      </w:pPr>
      <w:r>
        <w:rPr>
          <w:rFonts w:ascii="Arial" w:cs="Arial" w:eastAsia="Arial" w:hAnsi="Arial"/>
          <w:sz w:val="18"/>
          <w:szCs w:val="18"/>
          <w:color w:val="auto"/>
        </w:rPr>
        <w:t>discounts and commissions and estimated offering expenses payable by us.</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1440" w:right="459" w:bottom="1440" w:gutter="0" w:footer="0" w:header="0"/>
          <w:type w:val="continuous"/>
        </w:sectPr>
      </w:pPr>
    </w:p>
    <w:bookmarkStart w:id="67" w:name="page68"/>
    <w:bookmarkEnd w:id="67"/>
    <w:p>
      <w:pPr>
        <w:spacing w:after="0" w:line="144"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 2020</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1560" w:type="dxa"/>
            <w:vAlign w:val="bottom"/>
          </w:tcPr>
          <w:p>
            <w:pPr>
              <w:jc w:val="right"/>
              <w:ind w:right="279"/>
              <w:spacing w:after="0" w:line="13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60" w:type="dxa"/>
            <w:vAlign w:val="bottom"/>
            <w:gridSpan w:val="5"/>
          </w:tcPr>
          <w:p>
            <w:pPr>
              <w:jc w:val="center"/>
              <w:ind w:right="959"/>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0" w:type="dxa"/>
            <w:vAlign w:val="bottom"/>
          </w:tcPr>
          <w:p>
            <w:pPr>
              <w:spacing w:after="0"/>
              <w:rPr>
                <w:sz w:val="1"/>
                <w:szCs w:val="1"/>
                <w:color w:val="auto"/>
              </w:rPr>
            </w:pPr>
          </w:p>
        </w:tc>
      </w:tr>
      <w:tr>
        <w:trPr>
          <w:trHeight w:val="301"/>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Cash and cash equivalents</w:t>
            </w:r>
          </w:p>
        </w:tc>
        <w:tc>
          <w:tcPr>
            <w:tcW w:w="1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gridSpan w:val="3"/>
            <w:shd w:val="clear" w:color="auto" w:fill="CCEEFF"/>
          </w:tcPr>
          <w:p>
            <w:pPr>
              <w:jc w:val="right"/>
              <w:ind w:right="13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Stockholders’ equity:</w:t>
            </w:r>
          </w:p>
        </w:tc>
        <w:tc>
          <w:tcPr>
            <w:tcW w:w="1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4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40" w:type="dxa"/>
            <w:vAlign w:val="bottom"/>
            <w:gridSpan w:val="4"/>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0"/>
              </w:rPr>
              <w:t>Convertible preferred stock, par value $0.00001 per share:</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shares</w:t>
            </w: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authorized,</w:t>
            </w:r>
          </w:p>
        </w:tc>
        <w:tc>
          <w:tcPr>
            <w:tcW w:w="5860" w:type="dxa"/>
            <w:vAlign w:val="bottom"/>
            <w:gridSpan w:val="6"/>
            <w:shd w:val="clear" w:color="auto" w:fill="CCEEFF"/>
          </w:tcPr>
          <w:p>
            <w:pPr>
              <w:jc w:val="right"/>
              <w:ind w:right="1159"/>
              <w:spacing w:after="0"/>
              <w:rPr>
                <w:sz w:val="20"/>
                <w:szCs w:val="20"/>
                <w:color w:val="auto"/>
              </w:rPr>
            </w:pPr>
            <w:r>
              <w:rPr>
                <w:rFonts w:ascii="Arial" w:cs="Arial" w:eastAsia="Arial" w:hAnsi="Arial"/>
                <w:sz w:val="18"/>
                <w:szCs w:val="18"/>
                <w:color w:val="auto"/>
                <w:w w:val="88"/>
              </w:rPr>
              <w:t>issued and outstanding, actual; no shares authorized, issued and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gridSpan w:val="7"/>
          </w:tcPr>
          <w:p>
            <w:pPr>
              <w:ind w:left="180"/>
              <w:spacing w:after="0"/>
              <w:rPr>
                <w:sz w:val="20"/>
                <w:szCs w:val="20"/>
                <w:color w:val="auto"/>
              </w:rPr>
            </w:pPr>
            <w:r>
              <w:rPr>
                <w:rFonts w:ascii="Arial" w:cs="Arial" w:eastAsia="Arial" w:hAnsi="Arial"/>
                <w:sz w:val="18"/>
                <w:szCs w:val="18"/>
                <w:color w:val="auto"/>
              </w:rPr>
              <w:t>Preferred stock, par value $0.00001 per share: no shares authorized, issued and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outstanding, actual;</w:t>
            </w:r>
          </w:p>
        </w:tc>
        <w:tc>
          <w:tcPr>
            <w:tcW w:w="5340" w:type="dxa"/>
            <w:vAlign w:val="bottom"/>
            <w:gridSpan w:val="5"/>
          </w:tcPr>
          <w:p>
            <w:pPr>
              <w:jc w:val="right"/>
              <w:ind w:right="1119"/>
              <w:spacing w:after="0"/>
              <w:rPr>
                <w:sz w:val="20"/>
                <w:szCs w:val="20"/>
                <w:color w:val="auto"/>
              </w:rPr>
            </w:pPr>
            <w:r>
              <w:rPr>
                <w:rFonts w:ascii="Arial" w:cs="Arial" w:eastAsia="Arial" w:hAnsi="Arial"/>
                <w:sz w:val="18"/>
                <w:szCs w:val="18"/>
                <w:color w:val="auto"/>
                <w:w w:val="90"/>
              </w:rPr>
              <w:t>shares authorized and no shares issued and outstanding,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180"/>
              <w:spacing w:after="0"/>
              <w:rPr>
                <w:sz w:val="20"/>
                <w:szCs w:val="20"/>
                <w:color w:val="auto"/>
              </w:rPr>
            </w:pPr>
            <w:r>
              <w:rPr>
                <w:rFonts w:ascii="Arial" w:cs="Arial" w:eastAsia="Arial" w:hAnsi="Arial"/>
                <w:sz w:val="18"/>
                <w:szCs w:val="18"/>
                <w:color w:val="auto"/>
              </w:rPr>
              <w:t>pro forma and pro forma as adjusted</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gridSpan w:val="4"/>
          </w:tcPr>
          <w:p>
            <w:pPr>
              <w:spacing w:after="0"/>
              <w:rPr>
                <w:sz w:val="2"/>
                <w:szCs w:val="2"/>
                <w:color w:val="auto"/>
              </w:rPr>
            </w:pPr>
          </w:p>
        </w:tc>
        <w:tc>
          <w:tcPr>
            <w:tcW w:w="19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7"/>
              </w:rPr>
              <w:t>Class A common stock, par value $0.00001 per share:</w:t>
            </w:r>
          </w:p>
        </w:tc>
        <w:tc>
          <w:tcPr>
            <w:tcW w:w="2940" w:type="dxa"/>
            <w:vAlign w:val="bottom"/>
            <w:gridSpan w:val="3"/>
            <w:shd w:val="clear" w:color="auto" w:fill="CCEEFF"/>
          </w:tcPr>
          <w:p>
            <w:pPr>
              <w:jc w:val="right"/>
              <w:ind w:right="1359"/>
              <w:spacing w:after="0"/>
              <w:rPr>
                <w:sz w:val="20"/>
                <w:szCs w:val="20"/>
                <w:color w:val="auto"/>
              </w:rPr>
            </w:pPr>
            <w:r>
              <w:rPr>
                <w:rFonts w:ascii="Arial" w:cs="Arial" w:eastAsia="Arial" w:hAnsi="Arial"/>
                <w:sz w:val="18"/>
                <w:szCs w:val="18"/>
                <w:color w:val="auto"/>
                <w:w w:val="99"/>
              </w:rPr>
              <w:t>shares authorized,</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issued and outstanding, actual;</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authorized,</w:t>
            </w:r>
          </w:p>
        </w:tc>
        <w:tc>
          <w:tcPr>
            <w:tcW w:w="2020" w:type="dxa"/>
            <w:vAlign w:val="bottom"/>
            <w:gridSpan w:val="2"/>
            <w:shd w:val="clear" w:color="auto" w:fill="CCEEFF"/>
          </w:tcPr>
          <w:p>
            <w:pPr>
              <w:jc w:val="right"/>
              <w:ind w:right="1319"/>
              <w:spacing w:after="0"/>
              <w:rPr>
                <w:sz w:val="20"/>
                <w:szCs w:val="20"/>
                <w:color w:val="auto"/>
              </w:rPr>
            </w:pPr>
            <w:r>
              <w:rPr>
                <w:rFonts w:ascii="Arial" w:cs="Arial" w:eastAsia="Arial" w:hAnsi="Arial"/>
                <w:sz w:val="18"/>
                <w:szCs w:val="18"/>
                <w:color w:val="auto"/>
              </w:rPr>
              <w:t>shares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and</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020" w:type="dxa"/>
            <w:vAlign w:val="bottom"/>
            <w:gridSpan w:val="2"/>
            <w:shd w:val="clear" w:color="auto" w:fill="CCEEFF"/>
          </w:tcPr>
          <w:p>
            <w:pPr>
              <w:jc w:val="right"/>
              <w:ind w:right="1419"/>
              <w:spacing w:after="0"/>
              <w:rPr>
                <w:sz w:val="20"/>
                <w:szCs w:val="20"/>
                <w:color w:val="auto"/>
              </w:rPr>
            </w:pPr>
            <w:r>
              <w:rPr>
                <w:rFonts w:ascii="Arial" w:cs="Arial" w:eastAsia="Arial" w:hAnsi="Arial"/>
                <w:sz w:val="18"/>
                <w:szCs w:val="18"/>
                <w:color w:val="auto"/>
                <w:w w:val="92"/>
              </w:rPr>
              <w:t>shares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89"/>
              </w:rPr>
              <w:t>issued and outstanding, pro forma as adjusted</w:t>
            </w:r>
          </w:p>
        </w:tc>
        <w:tc>
          <w:tcPr>
            <w:tcW w:w="9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180"/>
              <w:spacing w:after="0"/>
              <w:rPr>
                <w:sz w:val="20"/>
                <w:szCs w:val="20"/>
                <w:color w:val="auto"/>
              </w:rPr>
            </w:pPr>
            <w:r>
              <w:rPr>
                <w:rFonts w:ascii="Arial" w:cs="Arial" w:eastAsia="Arial" w:hAnsi="Arial"/>
                <w:sz w:val="18"/>
                <w:szCs w:val="18"/>
                <w:color w:val="auto"/>
                <w:w w:val="97"/>
              </w:rPr>
              <w:t>Class B common stock, par value $0.00001 per share:</w:t>
            </w:r>
          </w:p>
        </w:tc>
        <w:tc>
          <w:tcPr>
            <w:tcW w:w="2940" w:type="dxa"/>
            <w:vAlign w:val="bottom"/>
            <w:gridSpan w:val="3"/>
          </w:tcPr>
          <w:p>
            <w:pPr>
              <w:jc w:val="right"/>
              <w:ind w:right="1499"/>
              <w:spacing w:after="0"/>
              <w:rPr>
                <w:sz w:val="20"/>
                <w:szCs w:val="20"/>
                <w:color w:val="auto"/>
              </w:rPr>
            </w:pPr>
            <w:r>
              <w:rPr>
                <w:rFonts w:ascii="Arial" w:cs="Arial" w:eastAsia="Arial" w:hAnsi="Arial"/>
                <w:sz w:val="18"/>
                <w:szCs w:val="18"/>
                <w:color w:val="auto"/>
                <w:w w:val="90"/>
              </w:rPr>
              <w:t>shares authorized,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700"/>
              <w:spacing w:after="0"/>
              <w:rPr>
                <w:sz w:val="20"/>
                <w:szCs w:val="20"/>
                <w:color w:val="auto"/>
              </w:rPr>
            </w:pPr>
            <w:r>
              <w:rPr>
                <w:rFonts w:ascii="Arial" w:cs="Arial" w:eastAsia="Arial" w:hAnsi="Arial"/>
                <w:sz w:val="18"/>
                <w:szCs w:val="18"/>
                <w:color w:val="auto"/>
                <w:w w:val="90"/>
              </w:rPr>
              <w:t>shares issued and outstanding, actual;</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w w:val="93"/>
              </w:rPr>
              <w:t>shares authorized,</w:t>
            </w:r>
          </w:p>
        </w:tc>
        <w:tc>
          <w:tcPr>
            <w:tcW w:w="2020" w:type="dxa"/>
            <w:vAlign w:val="bottom"/>
            <w:gridSpan w:val="2"/>
          </w:tcPr>
          <w:p>
            <w:pPr>
              <w:jc w:val="right"/>
              <w:ind w:right="1019"/>
              <w:spacing w:after="0"/>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5"/>
          </w:tcPr>
          <w:p>
            <w:pPr>
              <w:ind w:left="180"/>
              <w:spacing w:after="0"/>
              <w:rPr>
                <w:sz w:val="20"/>
                <w:szCs w:val="20"/>
                <w:color w:val="auto"/>
              </w:rPr>
            </w:pPr>
            <w:r>
              <w:rPr>
                <w:rFonts w:ascii="Arial" w:cs="Arial" w:eastAsia="Arial" w:hAnsi="Arial"/>
                <w:sz w:val="18"/>
                <w:szCs w:val="18"/>
                <w:color w:val="auto"/>
              </w:rPr>
              <w:t>issued and outstanding, pro forma and pro forma as adjusted</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Accumulated deficit</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20"/>
              <w:spacing w:after="0"/>
              <w:rPr>
                <w:sz w:val="20"/>
                <w:szCs w:val="20"/>
                <w:color w:val="auto"/>
              </w:rPr>
            </w:pPr>
            <w:r>
              <w:rPr>
                <w:rFonts w:ascii="Arial" w:cs="Arial" w:eastAsia="Arial" w:hAnsi="Arial"/>
                <w:sz w:val="18"/>
                <w:szCs w:val="18"/>
                <w:color w:val="auto"/>
                <w:w w:val="98"/>
              </w:rPr>
              <w:t>Total stockholders’ equity</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capitalization</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gridSpan w:val="3"/>
            <w:shd w:val="clear" w:color="auto" w:fill="CCEEFF"/>
          </w:tcPr>
          <w:p>
            <w:pPr>
              <w:jc w:val="right"/>
              <w:ind w:right="13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7"/>
        </w:trPr>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-98425</wp:posOffset>
            </wp:positionV>
            <wp:extent cx="31032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340" w:right="140" w:hanging="332"/>
        <w:spacing w:after="0" w:line="260" w:lineRule="auto"/>
        <w:tabs>
          <w:tab w:leader="none" w:pos="332"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 per share, which is the midpoint of the estimated offering price range set forth on the cover page of this prospectus, would increase or decrease, as applicable, the amount of our pro forma as adjusted cash and cash equivalents, additional paid-in capital, total stockholders’ equity and total</w:t>
      </w:r>
    </w:p>
    <w:p>
      <w:pPr>
        <w:ind w:left="340" w:right="120"/>
        <w:spacing w:after="0" w:line="266" w:lineRule="auto"/>
        <w:rPr>
          <w:rFonts w:ascii="Arial" w:cs="Arial" w:eastAsia="Arial" w:hAnsi="Arial"/>
          <w:sz w:val="13"/>
          <w:szCs w:val="13"/>
          <w:color w:val="auto"/>
        </w:rPr>
      </w:pPr>
      <w:r>
        <w:rPr>
          <w:rFonts w:ascii="Arial" w:cs="Arial" w:eastAsia="Arial" w:hAnsi="Arial"/>
          <w:sz w:val="13"/>
          <w:szCs w:val="13"/>
          <w:color w:val="auto"/>
        </w:rPr>
        <w:t>capitalization by $ , assuming that the number of shares of Class A common stock offered by us, as set forth on the cover page of this prospectus, remains the same and after deducting estimated underwriting discounts and commissions payable by us. An increase or decrease of 1.0 million shares in the number of shares of Class A common stock offered by us would</w:t>
      </w:r>
    </w:p>
    <w:p>
      <w:pPr>
        <w:sectPr>
          <w:pgSz w:w="11900" w:h="16838" w:orient="portrait"/>
          <w:cols w:equalWidth="0" w:num="1">
            <w:col w:w="11240"/>
          </w:cols>
          <w:pgMar w:left="320" w:top="1440" w:right="339" w:bottom="1440" w:gutter="0" w:footer="0" w:header="0"/>
        </w:sectPr>
      </w:pPr>
    </w:p>
    <w:p>
      <w:pPr>
        <w:spacing w:after="0" w:line="1" w:lineRule="exact"/>
        <w:rPr>
          <w:sz w:val="20"/>
          <w:szCs w:val="20"/>
          <w:color w:val="auto"/>
        </w:rPr>
      </w:pPr>
    </w:p>
    <w:p>
      <w:pPr>
        <w:ind w:left="340"/>
        <w:spacing w:after="0" w:line="280" w:lineRule="auto"/>
        <w:rPr>
          <w:sz w:val="20"/>
          <w:szCs w:val="20"/>
          <w:color w:val="auto"/>
        </w:rPr>
      </w:pPr>
      <w:r>
        <w:rPr>
          <w:rFonts w:ascii="Arial" w:cs="Arial" w:eastAsia="Arial" w:hAnsi="Arial"/>
          <w:sz w:val="13"/>
          <w:szCs w:val="13"/>
          <w:color w:val="auto"/>
        </w:rPr>
        <w:t>increase or decrease, as applicable, the amount of our pro forma as adjusted cash and cash equivalents, additional paid-in capital, total stockholders’ equity and total capitalization by $ assuming the assumed initial public offering price remains the same, and after deducting estimated underwriting discounts and commissions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w:t>
      </w:r>
    </w:p>
    <w:p>
      <w:pPr>
        <w:spacing w:after="0" w:line="389" w:lineRule="exact"/>
        <w:rPr>
          <w:sz w:val="20"/>
          <w:szCs w:val="20"/>
          <w:color w:val="auto"/>
        </w:rPr>
      </w:pPr>
    </w:p>
    <w:p>
      <w:pPr>
        <w:sectPr>
          <w:pgSz w:w="11900" w:h="16838" w:orient="portrait"/>
          <w:cols w:equalWidth="0" w:num="2">
            <w:col w:w="10880" w:space="260"/>
            <w:col w:w="100"/>
          </w:cols>
          <w:pgMar w:left="320" w:top="1440" w:right="33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auto"/>
        </w:rPr>
        <w:t>The pro forma and pro forma as adjusted columns in the table above are based on stock outstanding as of , 2020, and excludes the following: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our Class A common stock and Class B common</w:t>
      </w:r>
    </w:p>
    <w:p>
      <w:pPr>
        <w:spacing w:after="0" w:line="409" w:lineRule="exact"/>
        <w:rPr>
          <w:sz w:val="20"/>
          <w:szCs w:val="20"/>
          <w:color w:val="auto"/>
        </w:rPr>
      </w:pPr>
    </w:p>
    <w:p>
      <w:pPr>
        <w:sectPr>
          <w:pgSz w:w="11900" w:h="16838" w:orient="portrait"/>
          <w:cols w:equalWidth="0" w:num="2">
            <w:col w:w="6200" w:space="540"/>
            <w:col w:w="4500"/>
          </w:cols>
          <w:pgMar w:left="320" w:top="1440" w:right="339" w:bottom="1440" w:gutter="0" w:footer="0" w:header="0"/>
          <w:type w:val="continuous"/>
        </w:sectPr>
      </w:pPr>
    </w:p>
    <w:p>
      <w:pPr>
        <w:ind w:left="1200" w:hanging="868"/>
        <w:spacing w:after="0"/>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 stock outstanding as</w:t>
      </w:r>
    </w:p>
    <w:p>
      <w:pPr>
        <w:spacing w:after="0" w:line="46" w:lineRule="exact"/>
        <w:rPr>
          <w:sz w:val="20"/>
          <w:szCs w:val="20"/>
          <w:color w:val="auto"/>
        </w:rPr>
      </w:pPr>
    </w:p>
    <w:p>
      <w:pPr>
        <w:ind w:left="660"/>
        <w:spacing w:after="0"/>
        <w:tabs>
          <w:tab w:leader="none" w:pos="1500" w:val="left"/>
          <w:tab w:leader="none" w:pos="55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w:t>
      </w:r>
    </w:p>
    <w:p>
      <w:pPr>
        <w:spacing w:after="0" w:line="170" w:lineRule="exact"/>
        <w:rPr>
          <w:sz w:val="20"/>
          <w:szCs w:val="20"/>
          <w:color w:val="auto"/>
        </w:rPr>
      </w:pPr>
    </w:p>
    <w:p>
      <w:pPr>
        <w:ind w:left="1180" w:hanging="848"/>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6"/>
          <w:szCs w:val="16"/>
          <w:color w:val="auto"/>
        </w:rPr>
        <w:t>shares of our Class A common stock issuable upon the exercise of options to purchase shares of our Class A common stock granted</w:t>
      </w:r>
    </w:p>
    <w:p>
      <w:pPr>
        <w:spacing w:after="0" w:line="25" w:lineRule="exact"/>
        <w:rPr>
          <w:sz w:val="20"/>
          <w:szCs w:val="20"/>
          <w:color w:val="auto"/>
        </w:rPr>
      </w:pPr>
    </w:p>
    <w:p>
      <w:pPr>
        <w:ind w:left="660"/>
        <w:spacing w:after="0"/>
        <w:tabs>
          <w:tab w:leader="none" w:pos="1680" w:val="left"/>
          <w:tab w:leader="none" w:pos="5760" w:val="left"/>
        </w:tabs>
        <w:rPr>
          <w:sz w:val="20"/>
          <w:szCs w:val="20"/>
          <w:color w:val="auto"/>
        </w:rPr>
      </w:pPr>
      <w:r>
        <w:rPr>
          <w:rFonts w:ascii="Arial" w:cs="Arial" w:eastAsia="Arial" w:hAnsi="Arial"/>
          <w:sz w:val="18"/>
          <w:szCs w:val="18"/>
          <w:color w:val="auto"/>
        </w:rPr>
        <w:t>after</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41" w:lineRule="exact"/>
        <w:rPr>
          <w:sz w:val="20"/>
          <w:szCs w:val="20"/>
          <w:color w:val="auto"/>
        </w:rPr>
      </w:pPr>
    </w:p>
    <w:p>
      <w:pPr>
        <w:ind w:left="8"/>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issuable upon the vesting of RSUs outstanding as of</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192" w:lineRule="exact"/>
        <w:rPr>
          <w:sz w:val="20"/>
          <w:szCs w:val="20"/>
          <w:color w:val="auto"/>
        </w:rPr>
      </w:pPr>
    </w:p>
    <w:p>
      <w:pPr>
        <w:sectPr>
          <w:pgSz w:w="11900" w:h="16838" w:orient="portrait"/>
          <w:cols w:equalWidth="0" w:num="3">
            <w:col w:w="128" w:space="720"/>
            <w:col w:w="6440" w:space="680"/>
            <w:col w:w="2780"/>
          </w:cols>
          <w:pgMar w:left="652" w:top="1440" w:right="499" w:bottom="1440" w:gutter="0" w:footer="0" w:header="0"/>
        </w:sectPr>
      </w:pPr>
    </w:p>
    <w:p>
      <w:pPr>
        <w:ind w:left="8"/>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our Class A common stock issuable upon the vesting of RSUs granted 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2020; and</w:t>
      </w:r>
    </w:p>
    <w:p>
      <w:pPr>
        <w:spacing w:after="0" w:line="211" w:lineRule="exact"/>
        <w:rPr>
          <w:sz w:val="20"/>
          <w:szCs w:val="20"/>
          <w:color w:val="auto"/>
        </w:rPr>
      </w:pPr>
    </w:p>
    <w:p>
      <w:pPr>
        <w:sectPr>
          <w:pgSz w:w="11900" w:h="16838" w:orient="portrait"/>
          <w:cols w:equalWidth="0" w:num="3">
            <w:col w:w="128" w:space="720"/>
            <w:col w:w="6120" w:space="680"/>
            <w:col w:w="3100"/>
          </w:cols>
          <w:pgMar w:left="652" w:top="1440" w:right="499" w:bottom="1440" w:gutter="0" w:footer="0" w:header="0"/>
          <w:type w:val="continuous"/>
        </w:sectPr>
      </w:pPr>
    </w:p>
    <w:p>
      <w:pPr>
        <w:spacing w:after="0" w:line="8" w:lineRule="exact"/>
        <w:rPr>
          <w:sz w:val="20"/>
          <w:szCs w:val="20"/>
          <w:color w:val="auto"/>
        </w:rPr>
      </w:pPr>
    </w:p>
    <w:p>
      <w:pPr>
        <w:ind w:left="848" w:hanging="848"/>
        <w:spacing w:after="0"/>
        <w:tabs>
          <w:tab w:leader="none" w:pos="848" w:val="left"/>
        </w:tabs>
        <w:numPr>
          <w:ilvl w:val="0"/>
          <w:numId w:val="50"/>
        </w:numPr>
        <w:rPr>
          <w:rFonts w:ascii="Arial" w:cs="Arial" w:eastAsia="Arial" w:hAnsi="Arial"/>
          <w:sz w:val="20"/>
          <w:szCs w:val="20"/>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48" w:lineRule="exact"/>
        <w:rPr>
          <w:rFonts w:ascii="Arial" w:cs="Arial" w:eastAsia="Arial" w:hAnsi="Arial"/>
          <w:sz w:val="20"/>
          <w:szCs w:val="20"/>
          <w:color w:val="auto"/>
        </w:rPr>
      </w:pPr>
    </w:p>
    <w:p>
      <w:pPr>
        <w:ind w:left="648" w:hanging="324"/>
        <w:spacing w:after="0" w:line="263" w:lineRule="auto"/>
        <w:tabs>
          <w:tab w:leader="none" w:pos="11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 and</w:t>
      </w:r>
    </w:p>
    <w:p>
      <w:pPr>
        <w:spacing w:after="0" w:line="143" w:lineRule="exact"/>
        <w:rPr>
          <w:rFonts w:ascii="Arial" w:cs="Arial" w:eastAsia="Arial" w:hAnsi="Arial"/>
          <w:sz w:val="18"/>
          <w:szCs w:val="18"/>
          <w:color w:val="auto"/>
        </w:rPr>
      </w:pPr>
    </w:p>
    <w:p>
      <w:pPr>
        <w:ind w:left="648" w:right="40" w:hanging="324"/>
        <w:spacing w:after="0" w:line="270" w:lineRule="auto"/>
        <w:tabs>
          <w:tab w:leader="none" w:pos="1177" w:val="left"/>
        </w:tabs>
        <w:numPr>
          <w:ilvl w:val="1"/>
          <w:numId w:val="50"/>
        </w:numPr>
        <w:rPr>
          <w:rFonts w:ascii="Arial" w:cs="Arial" w:eastAsia="Arial" w:hAnsi="Arial"/>
          <w:sz w:val="19"/>
          <w:szCs w:val="19"/>
          <w:color w:val="auto"/>
        </w:rPr>
      </w:pPr>
      <w:r>
        <w:rPr>
          <w:rFonts w:ascii="Arial" w:cs="Arial" w:eastAsia="Arial" w:hAnsi="Arial"/>
          <w:sz w:val="17"/>
          <w:szCs w:val="17"/>
          <w:color w:val="auto"/>
        </w:rPr>
        <w:t>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48"/>
          </w:cols>
          <w:pgMar w:left="652" w:top="1440" w:right="499" w:bottom="1440" w:gutter="0" w:footer="0" w:header="0"/>
          <w:type w:val="continuous"/>
        </w:sectPr>
      </w:pPr>
    </w:p>
    <w:bookmarkStart w:id="69" w:name="page70"/>
    <w:bookmarkEnd w:id="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w:t>
      </w:r>
    </w:p>
    <w:p>
      <w:pPr>
        <w:spacing w:after="0" w:line="130"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Our historical net tangible book value (deficit) as of , 2020 was $ million, or $ per share. Our historical net tangible book value (deficit) is the amount of our total tangible assets less our total liabilities. Historical net tangible book value per share represents historical net</w:t>
      </w:r>
    </w:p>
    <w:p>
      <w:pPr>
        <w:spacing w:after="0" w:line="1" w:lineRule="exact"/>
        <w:rPr>
          <w:sz w:val="20"/>
          <w:szCs w:val="20"/>
          <w:color w:val="auto"/>
        </w:rPr>
      </w:pPr>
    </w:p>
    <w:p>
      <w:pPr>
        <w:spacing w:after="0"/>
        <w:tabs>
          <w:tab w:leader="none" w:pos="10720" w:val="left"/>
        </w:tabs>
        <w:rPr>
          <w:sz w:val="20"/>
          <w:szCs w:val="20"/>
          <w:color w:val="auto"/>
        </w:rPr>
      </w:pPr>
      <w:r>
        <w:rPr>
          <w:rFonts w:ascii="Arial" w:cs="Arial" w:eastAsia="Arial" w:hAnsi="Arial"/>
          <w:sz w:val="18"/>
          <w:szCs w:val="18"/>
          <w:color w:val="auto"/>
        </w:rPr>
        <w:t>tangible book value (deficit) divided by the number of shares of our Class A common stock and Class B common stock outstanding as of</w:t>
      </w:r>
      <w:r>
        <w:rPr>
          <w:sz w:val="20"/>
          <w:szCs w:val="20"/>
          <w:color w:val="auto"/>
        </w:rPr>
        <w:tab/>
      </w:r>
      <w:r>
        <w:rPr>
          <w:rFonts w:ascii="Arial" w:cs="Arial" w:eastAsia="Arial" w:hAnsi="Arial"/>
          <w:sz w:val="15"/>
          <w:szCs w:val="15"/>
          <w:color w:val="auto"/>
        </w:rPr>
        <w:t>, 2020.</w:t>
      </w:r>
    </w:p>
    <w:p>
      <w:pPr>
        <w:spacing w:after="0" w:line="157" w:lineRule="exact"/>
        <w:rPr>
          <w:sz w:val="20"/>
          <w:szCs w:val="20"/>
          <w:color w:val="auto"/>
        </w:rPr>
      </w:pPr>
    </w:p>
    <w:p>
      <w:pPr>
        <w:ind w:left="340"/>
        <w:spacing w:after="0"/>
        <w:tabs>
          <w:tab w:leader="none" w:pos="4280" w:val="left"/>
          <w:tab w:leader="none" w:pos="6080" w:val="left"/>
          <w:tab w:leader="none" w:pos="7880" w:val="left"/>
        </w:tabs>
        <w:rPr>
          <w:sz w:val="20"/>
          <w:szCs w:val="20"/>
          <w:color w:val="auto"/>
        </w:rPr>
      </w:pPr>
      <w:r>
        <w:rPr>
          <w:rFonts w:ascii="Arial" w:cs="Arial" w:eastAsia="Arial" w:hAnsi="Arial"/>
          <w:sz w:val="18"/>
          <w:szCs w:val="18"/>
          <w:color w:val="auto"/>
        </w:rPr>
        <w:t>Our pro forma net tangible book value as of</w:t>
      </w:r>
      <w:r>
        <w:rPr>
          <w:sz w:val="20"/>
          <w:szCs w:val="20"/>
          <w:color w:val="auto"/>
        </w:rPr>
        <w:tab/>
      </w:r>
      <w:r>
        <w:rPr>
          <w:rFonts w:ascii="Arial" w:cs="Arial" w:eastAsia="Arial" w:hAnsi="Arial"/>
          <w:sz w:val="18"/>
          <w:szCs w:val="18"/>
          <w:color w:val="auto"/>
        </w:rPr>
        <w:t>, 2020 was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Pro forma net tangible book value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amount of our total tangible assets less our total liabilities, after giving effect to the conversion of all outstanding shares of our convertible</w:t>
      </w:r>
    </w:p>
    <w:p>
      <w:pPr>
        <w:spacing w:after="0" w:line="3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preferred stock into an aggregate of shares of Class A common stock immediately prior to the completion of this offering. Pro forma net tangible book value per share represents pro forma net tangible book value divided by the total number of shares of our Class A common stock and Class B common stock outstanding as of , 2020, after giving effect to the conversion of all outstanding shares of our convertible preferred stock into an aggregate of shares of our Class A common stock immediately prior to the completion of this offering.</w:t>
      </w:r>
    </w:p>
    <w:p>
      <w:pPr>
        <w:spacing w:after="0" w:line="133" w:lineRule="exact"/>
        <w:rPr>
          <w:sz w:val="20"/>
          <w:szCs w:val="20"/>
          <w:color w:val="auto"/>
        </w:rPr>
      </w:pPr>
    </w:p>
    <w:p>
      <w:pPr>
        <w:ind w:left="340"/>
        <w:spacing w:after="0"/>
        <w:tabs>
          <w:tab w:leader="none" w:pos="3620" w:val="left"/>
        </w:tabs>
        <w:rPr>
          <w:sz w:val="20"/>
          <w:szCs w:val="20"/>
          <w:color w:val="auto"/>
        </w:rPr>
      </w:pPr>
      <w:r>
        <w:rPr>
          <w:rFonts w:ascii="Arial" w:cs="Arial" w:eastAsia="Arial" w:hAnsi="Arial"/>
          <w:sz w:val="18"/>
          <w:szCs w:val="18"/>
          <w:color w:val="auto"/>
        </w:rPr>
        <w:t>After giving further effect to our sale of</w:t>
      </w:r>
      <w:r>
        <w:rPr>
          <w:sz w:val="20"/>
          <w:szCs w:val="20"/>
          <w:color w:val="auto"/>
        </w:rPr>
        <w:tab/>
      </w:r>
      <w:r>
        <w:rPr>
          <w:rFonts w:ascii="Arial" w:cs="Arial" w:eastAsia="Arial" w:hAnsi="Arial"/>
          <w:sz w:val="16"/>
          <w:szCs w:val="16"/>
          <w:color w:val="auto"/>
        </w:rPr>
        <w:t>shares of Class A common stock in this offering at the assumed initial public offering price of</w:t>
      </w:r>
    </w:p>
    <w:p>
      <w:pPr>
        <w:spacing w:after="0" w:line="23"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after deducting the underwriting discounts and</w:t>
      </w:r>
    </w:p>
    <w:p>
      <w:pPr>
        <w:spacing w:after="0" w:line="38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commissions and estimated offering expenses payable by us, based on shares of Class A common stock outstanding as of , 2020, our pro forma as adjusted net tangible book value as of , 2020 would have been approximately $ million, or approximately $ per share. This represents an immediate increase in pro forma as adjusted net tangible book value of $ per share to our existing stockholders and an immediate dilution in pro forma as adjusted net tangible book value of approximately $ per share to new investors purchasing Class A common stock in this</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offering. Dilution per share to new investors purchasing Class A common stock in this offering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2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20"/>
              <w:spacing w:after="0"/>
              <w:rPr>
                <w:sz w:val="20"/>
                <w:szCs w:val="20"/>
                <w:color w:val="auto"/>
              </w:rPr>
            </w:pPr>
            <w:r>
              <w:rPr>
                <w:rFonts w:ascii="Arial" w:cs="Arial" w:eastAsia="Arial" w:hAnsi="Arial"/>
                <w:sz w:val="18"/>
                <w:szCs w:val="18"/>
                <w:color w:val="auto"/>
                <w:w w:val="92"/>
              </w:rPr>
              <w:t>Pro forma net tangible book value per share as of</w:t>
            </w:r>
          </w:p>
        </w:tc>
        <w:tc>
          <w:tcPr>
            <w:tcW w:w="2380" w:type="dxa"/>
            <w:vAlign w:val="bottom"/>
          </w:tcPr>
          <w:p>
            <w:pPr>
              <w:jc w:val="right"/>
              <w:ind w:right="970"/>
              <w:spacing w:after="0"/>
              <w:rPr>
                <w:sz w:val="20"/>
                <w:szCs w:val="20"/>
                <w:color w:val="auto"/>
              </w:rPr>
            </w:pPr>
            <w:r>
              <w:rPr>
                <w:rFonts w:ascii="Arial" w:cs="Arial" w:eastAsia="Arial" w:hAnsi="Arial"/>
                <w:sz w:val="18"/>
                <w:szCs w:val="18"/>
                <w:color w:val="auto"/>
              </w:rPr>
              <w:t>, 2020</w:t>
            </w:r>
          </w:p>
        </w:tc>
        <w:tc>
          <w:tcPr>
            <w:tcW w:w="1460" w:type="dxa"/>
            <w:vAlign w:val="bottom"/>
          </w:tcPr>
          <w:p>
            <w:pPr>
              <w:spacing w:after="0"/>
              <w:rPr>
                <w:sz w:val="21"/>
                <w:szCs w:val="21"/>
                <w:color w:val="auto"/>
              </w:rPr>
            </w:pP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gridSpan w:val="3"/>
          </w:tcPr>
          <w:p>
            <w:pPr>
              <w:spacing w:after="0"/>
              <w:rPr>
                <w:sz w:val="2"/>
                <w:szCs w:val="2"/>
                <w:color w:val="auto"/>
              </w:rPr>
            </w:pPr>
          </w:p>
        </w:tc>
        <w:tc>
          <w:tcPr>
            <w:tcW w:w="1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Increase in pro forma net tangible book value per share attributable to new investors purchasing shares</w:t>
            </w:r>
          </w:p>
        </w:tc>
        <w:tc>
          <w:tcPr>
            <w:tcW w:w="1760" w:type="dxa"/>
            <w:vAlign w:val="bottom"/>
            <w:vMerge w:val="restart"/>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Class A common stock in this offering</w:t>
            </w:r>
          </w:p>
        </w:tc>
        <w:tc>
          <w:tcPr>
            <w:tcW w:w="2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46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8"/>
              </w:rPr>
              <w:t>Dilution in pro forma as adjusted net tangible book value per share to new investors in this offering</w:t>
            </w:r>
          </w:p>
        </w:tc>
        <w:tc>
          <w:tcPr>
            <w:tcW w:w="17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260" w:type="dxa"/>
            <w:vAlign w:val="bottom"/>
            <w:gridSpan w:val="2"/>
          </w:tcPr>
          <w:p>
            <w:pPr>
              <w:ind w:left="340"/>
              <w:spacing w:after="0"/>
              <w:rPr>
                <w:sz w:val="20"/>
                <w:szCs w:val="20"/>
                <w:color w:val="auto"/>
              </w:rPr>
            </w:pPr>
            <w:r>
              <w:rPr>
                <w:rFonts w:ascii="Arial" w:cs="Arial" w:eastAsia="Arial" w:hAnsi="Arial"/>
                <w:sz w:val="18"/>
                <w:szCs w:val="18"/>
                <w:color w:val="auto"/>
                <w:w w:val="93"/>
              </w:rPr>
              <w:t>Each $1.00 increase or decrease in the assumed initial public offering price of $</w:t>
            </w:r>
          </w:p>
        </w:tc>
        <w:tc>
          <w:tcPr>
            <w:tcW w:w="4980" w:type="dxa"/>
            <w:vAlign w:val="bottom"/>
            <w:gridSpan w:val="4"/>
          </w:tcPr>
          <w:p>
            <w:pPr>
              <w:jc w:val="right"/>
              <w:ind w:right="70"/>
              <w:spacing w:after="0"/>
              <w:rPr>
                <w:sz w:val="20"/>
                <w:szCs w:val="20"/>
                <w:color w:val="auto"/>
              </w:rPr>
            </w:pPr>
            <w:r>
              <w:rPr>
                <w:rFonts w:ascii="Arial" w:cs="Arial" w:eastAsia="Arial" w:hAnsi="Arial"/>
                <w:sz w:val="18"/>
                <w:szCs w:val="18"/>
                <w:color w:val="auto"/>
                <w:w w:val="94"/>
              </w:rPr>
              <w:t>per share, the midpoint of the estimated offering price range set</w:t>
            </w:r>
          </w:p>
        </w:tc>
        <w:tc>
          <w:tcPr>
            <w:tcW w:w="0" w:type="dxa"/>
            <w:vAlign w:val="bottom"/>
          </w:tcPr>
          <w:p>
            <w:pPr>
              <w:spacing w:after="0"/>
              <w:rPr>
                <w:sz w:val="1"/>
                <w:szCs w:val="1"/>
                <w:color w:val="auto"/>
              </w:rPr>
            </w:pPr>
          </w:p>
        </w:tc>
      </w:tr>
      <w:tr>
        <w:trPr>
          <w:trHeight w:val="216"/>
        </w:trPr>
        <w:tc>
          <w:tcPr>
            <w:tcW w:w="10540" w:type="dxa"/>
            <w:vAlign w:val="bottom"/>
            <w:gridSpan w:val="5"/>
          </w:tcPr>
          <w:p>
            <w:pPr>
              <w:spacing w:after="0"/>
              <w:rPr>
                <w:sz w:val="20"/>
                <w:szCs w:val="20"/>
                <w:color w:val="auto"/>
              </w:rPr>
            </w:pPr>
            <w:r>
              <w:rPr>
                <w:rFonts w:ascii="Arial" w:cs="Arial" w:eastAsia="Arial" w:hAnsi="Arial"/>
                <w:sz w:val="18"/>
                <w:szCs w:val="18"/>
                <w:color w:val="auto"/>
                <w:w w:val="93"/>
              </w:rPr>
              <w:t>forth on the cover page of this prospectus, would increase or decrease, as applicable, our pro forma as adjusted net tangible book value as of</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2020 after this offering by approximately $</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94"/>
              </w:rPr>
              <w:t>million, or approximately $</w:t>
            </w:r>
          </w:p>
        </w:tc>
        <w:tc>
          <w:tcPr>
            <w:tcW w:w="4980" w:type="dxa"/>
            <w:vAlign w:val="bottom"/>
            <w:gridSpan w:val="4"/>
          </w:tcPr>
          <w:p>
            <w:pPr>
              <w:jc w:val="right"/>
              <w:ind w:right="130"/>
              <w:spacing w:after="0"/>
              <w:rPr>
                <w:sz w:val="20"/>
                <w:szCs w:val="20"/>
                <w:color w:val="auto"/>
              </w:rPr>
            </w:pPr>
            <w:r>
              <w:rPr>
                <w:rFonts w:ascii="Arial" w:cs="Arial" w:eastAsia="Arial" w:hAnsi="Arial"/>
                <w:sz w:val="18"/>
                <w:szCs w:val="18"/>
                <w:color w:val="auto"/>
                <w:w w:val="92"/>
              </w:rPr>
              <w:t>per share, and would decrease (increase) dilution to investors in</w:t>
            </w:r>
          </w:p>
        </w:tc>
        <w:tc>
          <w:tcPr>
            <w:tcW w:w="0" w:type="dxa"/>
            <w:vAlign w:val="bottom"/>
          </w:tcPr>
          <w:p>
            <w:pPr>
              <w:spacing w:after="0"/>
              <w:rPr>
                <w:sz w:val="1"/>
                <w:szCs w:val="1"/>
                <w:color w:val="auto"/>
              </w:rPr>
            </w:pPr>
          </w:p>
        </w:tc>
      </w:tr>
    </w:tbl>
    <w:p>
      <w:pPr>
        <w:ind w:right="100"/>
        <w:spacing w:after="0" w:line="281" w:lineRule="auto"/>
        <w:rPr>
          <w:sz w:val="20"/>
          <w:szCs w:val="20"/>
          <w:color w:val="auto"/>
        </w:rPr>
      </w:pPr>
      <w:r>
        <w:rPr>
          <w:rFonts w:ascii="Arial" w:cs="Arial" w:eastAsia="Arial" w:hAnsi="Arial"/>
          <w:sz w:val="16"/>
          <w:szCs w:val="16"/>
          <w:color w:val="auto"/>
        </w:rPr>
        <w:t>this offering by approximately $ per share, assuming that the number of shares of Class A common stock offered by us, as set forth on the cover page of this prospectus, remains the same, after deducting the underwriting discounts and commissions and estimated offering expenses payable by us. We may also increase or decrease the number of shares of Class A common stock we are offering. An increase or decrease of 1.0 million in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Class A common stock we are offering would increase or decrease, as applicable, our pro forma as adjusted net tangible book value as of , 2020 after this offering by approximately $ million, or approximately $ per share, and would decrease or increase, as applicable, dilution to investors in this offering by approximately $ per share, assuming the assumed initial public offering price per share remains the same, after deducting</w:t>
      </w:r>
    </w:p>
    <w:p>
      <w:pPr>
        <w:spacing w:after="0"/>
        <w:rPr>
          <w:sz w:val="20"/>
          <w:szCs w:val="20"/>
          <w:color w:val="auto"/>
        </w:rPr>
      </w:pPr>
      <w:r>
        <w:rPr>
          <w:rFonts w:ascii="Arial" w:cs="Arial" w:eastAsia="Arial" w:hAnsi="Arial"/>
          <w:sz w:val="18"/>
          <w:szCs w:val="18"/>
          <w:color w:val="auto"/>
        </w:rPr>
        <w:t>the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payable by us. The pro forma as adjusted information is illustrative only, and we will adjust this information based on the actual initial public offering price and other terms of this offering determined at pricing.</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the underwriters fully exercise their option to purchase additional shares of Class A common stock at the assumed initial public offering price of</w:t>
      </w:r>
    </w:p>
    <w:p>
      <w:pPr>
        <w:spacing w:after="0" w:line="35"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of this prospectus, assuming the number of shares offered by us as set forth</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on the cover page of this prospectus remains the same, and after deducting underwriting discounts and commissions and estimated offering expenses</w:t>
      </w:r>
    </w:p>
    <w:p>
      <w:pPr>
        <w:spacing w:after="0" w:line="2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payable by us, pro forma as adjusted net tangible book value after this offering would increase to approximately $ per share, and there would be an immediate dilution of approximately $ per share to new investors.</w:t>
      </w:r>
    </w:p>
    <w:p>
      <w:pPr>
        <w:spacing w:after="0" w:line="116" w:lineRule="exact"/>
        <w:rPr>
          <w:sz w:val="20"/>
          <w:szCs w:val="20"/>
          <w:color w:val="auto"/>
        </w:rPr>
      </w:pPr>
    </w:p>
    <w:p>
      <w:pPr>
        <w:ind w:left="340"/>
        <w:spacing w:after="0"/>
        <w:tabs>
          <w:tab w:leader="none" w:pos="6420" w:val="left"/>
        </w:tabs>
        <w:rPr>
          <w:sz w:val="20"/>
          <w:szCs w:val="20"/>
          <w:color w:val="auto"/>
        </w:rPr>
      </w:pPr>
      <w:r>
        <w:rPr>
          <w:rFonts w:ascii="Arial" w:cs="Arial" w:eastAsia="Arial" w:hAnsi="Arial"/>
          <w:sz w:val="18"/>
          <w:szCs w:val="18"/>
          <w:color w:val="auto"/>
        </w:rPr>
        <w:t>The following table summarizes, on a pro forma as adjusted basis, as of</w:t>
      </w:r>
      <w:r>
        <w:rPr>
          <w:sz w:val="20"/>
          <w:szCs w:val="20"/>
          <w:color w:val="auto"/>
        </w:rPr>
        <w:tab/>
      </w:r>
      <w:r>
        <w:rPr>
          <w:rFonts w:ascii="Arial" w:cs="Arial" w:eastAsia="Arial" w:hAnsi="Arial"/>
          <w:sz w:val="16"/>
          <w:szCs w:val="16"/>
          <w:color w:val="auto"/>
        </w:rPr>
        <w:t>, 2020, the difference between the number of shares of common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 purchased from us (on an as converted to Class A common stock basis), the total consideration paid, and the weighted-average price per share paid,</w:t>
      </w:r>
    </w:p>
    <w:p>
      <w:pPr>
        <w:spacing w:after="0" w:line="3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by existing stockholders and by new investors in this offering,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Shares Purchased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 Price Per</w:t>
            </w:r>
          </w:p>
        </w:tc>
      </w:tr>
      <w:tr>
        <w:trPr>
          <w:trHeight w:val="196"/>
        </w:trPr>
        <w:tc>
          <w:tcPr>
            <w:tcW w:w="356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3"/>
              </w:rPr>
              <w:t>Percent</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89"/>
              </w:rPr>
              <w:t>Percent</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Share</w:t>
            </w:r>
          </w:p>
        </w:tc>
      </w:tr>
      <w:tr>
        <w:trPr>
          <w:trHeight w:val="196"/>
        </w:trPr>
        <w:tc>
          <w:tcPr>
            <w:tcW w:w="3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5"/>
          </w:tcPr>
          <w:p>
            <w:pPr>
              <w:ind w:left="980"/>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3"/>
            <w:shd w:val="clear" w:color="auto" w:fill="CCEEFF"/>
          </w:tcPr>
          <w:p>
            <w:pPr>
              <w:jc w:val="right"/>
              <w:ind w:right="1228"/>
              <w:spacing w:after="0"/>
              <w:rPr>
                <w:sz w:val="20"/>
                <w:szCs w:val="20"/>
                <w:color w:val="auto"/>
              </w:rPr>
            </w:pPr>
            <w:r>
              <w:rPr>
                <w:rFonts w:ascii="Arial" w:cs="Arial" w:eastAsia="Arial" w:hAnsi="Arial"/>
                <w:sz w:val="18"/>
                <w:szCs w:val="18"/>
                <w:color w:val="auto"/>
              </w:rPr>
              <w:t>%  $</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CCEEFF"/>
            </w:tcBorders>
            <w:gridSpan w:val="2"/>
          </w:tcPr>
          <w:p>
            <w:pPr>
              <w:jc w:val="right"/>
              <w:ind w:right="1228"/>
              <w:spacing w:after="0"/>
              <w:rPr>
                <w:sz w:val="20"/>
                <w:szCs w:val="20"/>
                <w:color w:val="auto"/>
              </w:rPr>
            </w:pPr>
            <w:r>
              <w:rPr>
                <w:rFonts w:ascii="Arial" w:cs="Arial" w:eastAsia="Arial" w:hAnsi="Arial"/>
                <w:sz w:val="18"/>
                <w:szCs w:val="18"/>
                <w:color w:val="auto"/>
              </w:rPr>
              <w:t>$</w:t>
            </w:r>
          </w:p>
        </w:tc>
      </w:tr>
      <w:tr>
        <w:trPr>
          <w:trHeight w:val="283"/>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r>
      <w:tr>
        <w:trPr>
          <w:trHeight w:val="20"/>
        </w:trPr>
        <w:tc>
          <w:tcPr>
            <w:tcW w:w="35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52"/>
        </w:trPr>
        <w:tc>
          <w:tcPr>
            <w:tcW w:w="6080" w:type="dxa"/>
            <w:vAlign w:val="bottom"/>
            <w:gridSpan w:val="5"/>
          </w:tcPr>
          <w:p>
            <w:pPr>
              <w:ind w:left="340"/>
              <w:spacing w:after="0"/>
              <w:rPr>
                <w:sz w:val="20"/>
                <w:szCs w:val="20"/>
                <w:color w:val="auto"/>
              </w:rPr>
            </w:pPr>
            <w:r>
              <w:rPr>
                <w:rFonts w:ascii="Arial" w:cs="Arial" w:eastAsia="Arial" w:hAnsi="Arial"/>
                <w:sz w:val="18"/>
                <w:szCs w:val="18"/>
                <w:color w:val="auto"/>
                <w:w w:val="93"/>
              </w:rPr>
              <w:t>The table above assumes no exercise of the underwriters’ option to purchase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6"/>
          </w:tcPr>
          <w:p>
            <w:pPr>
              <w:jc w:val="center"/>
              <w:spacing w:after="0"/>
              <w:rPr>
                <w:sz w:val="20"/>
                <w:szCs w:val="20"/>
                <w:color w:val="auto"/>
              </w:rPr>
            </w:pPr>
            <w:r>
              <w:rPr>
                <w:rFonts w:ascii="Arial" w:cs="Arial" w:eastAsia="Arial" w:hAnsi="Arial"/>
                <w:sz w:val="18"/>
                <w:szCs w:val="18"/>
                <w:color w:val="auto"/>
                <w:w w:val="92"/>
              </w:rPr>
              <w:t>additional shares of Class A common stock in this offering. If</w:t>
            </w:r>
          </w:p>
        </w:tc>
      </w:tr>
    </w:tbl>
    <w:p>
      <w:pPr>
        <w:spacing w:after="0"/>
        <w:rPr>
          <w:sz w:val="20"/>
          <w:szCs w:val="20"/>
          <w:color w:val="auto"/>
        </w:rPr>
      </w:pPr>
      <w:r>
        <w:rPr>
          <w:rFonts w:ascii="Arial" w:cs="Arial" w:eastAsia="Arial" w:hAnsi="Arial"/>
          <w:sz w:val="16"/>
          <w:szCs w:val="16"/>
          <w:color w:val="auto"/>
        </w:rPr>
        <w:t>the underwriters’ option to purchase additional shares of Class A common stock is exercised in full, the number of shares of our common stock held by</w:t>
      </w:r>
    </w:p>
    <w:p>
      <w:pPr>
        <w:spacing w:after="0" w:line="38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existing stockholders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 million, assuming that the</w:t>
      </w:r>
    </w:p>
    <w:p>
      <w:pPr>
        <w:ind w:right="20"/>
        <w:spacing w:after="0" w:line="280" w:lineRule="auto"/>
        <w:rPr>
          <w:sz w:val="20"/>
          <w:szCs w:val="20"/>
          <w:color w:val="auto"/>
        </w:rPr>
      </w:pPr>
      <w:r>
        <w:rPr>
          <w:rFonts w:ascii="Arial" w:cs="Arial" w:eastAsia="Arial" w:hAnsi="Arial"/>
          <w:sz w:val="16"/>
          <w:szCs w:val="16"/>
          <w:color w:val="auto"/>
        </w:rPr>
        <w:t>number of shares of Class A common stock offered by us, as set forth on the cover page of this prospectus, remains the same and after deducting the underwriting discounts and commissions payable by us. Similarly, an increase or decrease of 1.0 million shares in the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 offered by us would increase or decrease, as applicable, the total consideration paid by new investors by $ million, assuming no change in the assumed initial public offering price and after deducting the underwriting discounts and commissions payable by us.</w:t>
      </w:r>
    </w:p>
    <w:p>
      <w:pPr>
        <w:sectPr>
          <w:pgSz w:w="11900" w:h="16838" w:orient="portrait"/>
          <w:cols w:equalWidth="0" w:num="1">
            <w:col w:w="11240"/>
          </w:cols>
          <w:pgMar w:left="320" w:top="1440" w:right="3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hanging="475"/>
        <w:spacing w:after="0" w:line="308" w:lineRule="auto"/>
        <w:rPr>
          <w:sz w:val="20"/>
          <w:szCs w:val="20"/>
          <w:color w:val="auto"/>
        </w:rPr>
      </w:pPr>
      <w:r>
        <w:rPr>
          <w:rFonts w:ascii="Arial" w:cs="Arial" w:eastAsia="Arial" w:hAnsi="Arial"/>
          <w:sz w:val="17"/>
          <w:szCs w:val="17"/>
          <w:color w:val="auto"/>
        </w:rPr>
        <w:t>The number of shares of our common stock that will be outstanding after this offering is based on shares of Class B common stock outstanding as of , 2020, and excludes the following: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w:t>
      </w:r>
    </w:p>
    <w:p>
      <w:pPr>
        <w:spacing w:after="0" w:line="409" w:lineRule="exact"/>
        <w:rPr>
          <w:sz w:val="20"/>
          <w:szCs w:val="20"/>
          <w:color w:val="auto"/>
        </w:rPr>
      </w:pPr>
    </w:p>
    <w:p>
      <w:pPr>
        <w:sectPr>
          <w:pgSz w:w="11900" w:h="16838" w:orient="portrait"/>
          <w:cols w:equalWidth="0" w:num="3">
            <w:col w:w="260" w:space="540"/>
            <w:col w:w="7020" w:space="80"/>
            <w:col w:w="3340"/>
          </w:cols>
          <w:pgMar w:left="320" w:top="1440" w:right="339" w:bottom="1440" w:gutter="0" w:footer="0" w:header="0"/>
          <w:type w:val="continuous"/>
        </w:sectPr>
      </w:pPr>
    </w:p>
    <w:p>
      <w:pPr>
        <w:ind w:left="1060" w:hanging="728"/>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 stock outstanding as of</w:t>
      </w:r>
    </w:p>
    <w:p>
      <w:pPr>
        <w:spacing w:after="0" w:line="46" w:lineRule="exact"/>
        <w:rPr>
          <w:sz w:val="20"/>
          <w:szCs w:val="20"/>
          <w:color w:val="auto"/>
        </w:rPr>
      </w:pPr>
    </w:p>
    <w:p>
      <w:pPr>
        <w:ind w:left="1460"/>
        <w:spacing w:after="0"/>
        <w:tabs>
          <w:tab w:leader="none" w:pos="5400" w:val="left"/>
        </w:tabs>
        <w:rPr>
          <w:sz w:val="20"/>
          <w:szCs w:val="20"/>
          <w:color w:val="auto"/>
        </w:rPr>
      </w:pP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w:t>
      </w:r>
    </w:p>
    <w:p>
      <w:pPr>
        <w:spacing w:after="0" w:line="157" w:lineRule="exact"/>
        <w:rPr>
          <w:sz w:val="20"/>
          <w:szCs w:val="20"/>
          <w:color w:val="auto"/>
        </w:rPr>
      </w:pPr>
    </w:p>
    <w:p>
      <w:pPr>
        <w:ind w:left="1060" w:hanging="728"/>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shares of our Class A common stock issuable upon the exercise of options to purchase shares of our Class A common stock granted</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0" w:type="dxa"/>
            <w:vAlign w:val="bottom"/>
          </w:tcPr>
          <w:p>
            <w:pPr>
              <w:ind w:left="320"/>
              <w:spacing w:after="0"/>
              <w:rPr>
                <w:sz w:val="20"/>
                <w:szCs w:val="20"/>
                <w:color w:val="auto"/>
              </w:rPr>
            </w:pPr>
            <w:r>
              <w:rPr>
                <w:rFonts w:ascii="Arial" w:cs="Arial" w:eastAsia="Arial" w:hAnsi="Arial"/>
                <w:sz w:val="18"/>
                <w:szCs w:val="18"/>
                <w:color w:val="auto"/>
                <w:w w:val="94"/>
              </w:rPr>
              <w:t>after</w:t>
            </w:r>
          </w:p>
        </w:tc>
        <w:tc>
          <w:tcPr>
            <w:tcW w:w="6820" w:type="dxa"/>
            <w:vAlign w:val="bottom"/>
          </w:tcPr>
          <w:p>
            <w:pPr>
              <w:ind w:left="780"/>
              <w:spacing w:after="0"/>
              <w:rPr>
                <w:sz w:val="20"/>
                <w:szCs w:val="20"/>
                <w:color w:val="auto"/>
              </w:rPr>
            </w:pPr>
            <w:r>
              <w:rPr>
                <w:rFonts w:ascii="Arial" w:cs="Arial" w:eastAsia="Arial" w:hAnsi="Arial"/>
                <w:sz w:val="18"/>
                <w:szCs w:val="18"/>
                <w:color w:val="auto"/>
              </w:rPr>
              <w:t>, 2020, with a weighted-average exercise price of $   per share;</w:t>
            </w:r>
          </w:p>
        </w:tc>
        <w:tc>
          <w:tcPr>
            <w:tcW w:w="860" w:type="dxa"/>
            <w:vAlign w:val="bottom"/>
          </w:tcPr>
          <w:p>
            <w:pPr>
              <w:spacing w:after="0"/>
              <w:rPr>
                <w:sz w:val="20"/>
                <w:szCs w:val="20"/>
                <w:color w:val="auto"/>
              </w:rPr>
            </w:pPr>
          </w:p>
        </w:tc>
      </w:tr>
      <w:tr>
        <w:trPr>
          <w:trHeight w:val="364"/>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6820" w:type="dxa"/>
            <w:vAlign w:val="bottom"/>
          </w:tcPr>
          <w:p>
            <w:pPr>
              <w:ind w:left="40"/>
              <w:spacing w:after="0"/>
              <w:rPr>
                <w:sz w:val="20"/>
                <w:szCs w:val="20"/>
                <w:color w:val="auto"/>
              </w:rPr>
            </w:pPr>
            <w:r>
              <w:rPr>
                <w:rFonts w:ascii="Arial" w:cs="Arial" w:eastAsia="Arial" w:hAnsi="Arial"/>
                <w:sz w:val="18"/>
                <w:szCs w:val="18"/>
                <w:color w:val="auto"/>
                <w:w w:val="94"/>
              </w:rPr>
              <w:t>shares of our Class A common stock issuable upon the vesting of RSUs outstanding as of</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144" w:lineRule="exact"/>
        <w:rPr>
          <w:sz w:val="20"/>
          <w:szCs w:val="20"/>
          <w:color w:val="auto"/>
        </w:rPr>
      </w:pPr>
    </w:p>
    <w:p>
      <w:pPr>
        <w:ind w:left="8"/>
        <w:spacing w:after="0"/>
        <w:tabs>
          <w:tab w:leader="none" w:pos="708" w:val="left"/>
          <w:tab w:leader="none" w:pos="7488"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vesting of RSUs granted after</w:t>
      </w:r>
      <w:r>
        <w:rPr>
          <w:sz w:val="20"/>
          <w:szCs w:val="20"/>
          <w:color w:val="auto"/>
        </w:rPr>
        <w:tab/>
      </w:r>
      <w:r>
        <w:rPr>
          <w:rFonts w:ascii="Arial" w:cs="Arial" w:eastAsia="Arial" w:hAnsi="Arial"/>
          <w:sz w:val="16"/>
          <w:szCs w:val="16"/>
          <w:color w:val="auto"/>
        </w:rPr>
        <w:t>, 2020; and</w:t>
      </w:r>
    </w:p>
    <w:p>
      <w:pPr>
        <w:spacing w:after="0" w:line="171" w:lineRule="exact"/>
        <w:rPr>
          <w:sz w:val="20"/>
          <w:szCs w:val="20"/>
          <w:color w:val="auto"/>
        </w:rPr>
      </w:pPr>
    </w:p>
    <w:p>
      <w:pPr>
        <w:ind w:left="728" w:hanging="728"/>
        <w:spacing w:after="0"/>
        <w:tabs>
          <w:tab w:leader="none" w:pos="7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648" w:right="40" w:hanging="324"/>
        <w:spacing w:after="0" w:line="263" w:lineRule="auto"/>
        <w:tabs>
          <w:tab w:leader="none" w:pos="1049"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jc w:val="both"/>
        <w:ind w:left="648" w:hanging="324"/>
        <w:spacing w:after="0" w:line="286" w:lineRule="auto"/>
        <w:tabs>
          <w:tab w:leader="none" w:pos="1049" w:val="left"/>
        </w:tabs>
        <w:numPr>
          <w:ilvl w:val="1"/>
          <w:numId w:val="55"/>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648"/>
          </w:cols>
          <w:pgMar w:left="652" w:top="1440" w:right="599" w:bottom="1440" w:gutter="0" w:footer="0" w:header="0"/>
        </w:sectPr>
      </w:pPr>
    </w:p>
    <w:bookmarkStart w:id="72" w:name="page73"/>
    <w:bookmarkEnd w:id="7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following selected statement of operations data for the years ended December 31, 2018 and 2019, and the balance sheet data as of December 31, 2018 and 2019, have been derived from our audited financial statements included elsewhere in this prospectus. Our historical results are not necessarily indicative of the results that may be expected in the future.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8"/>
          </w:tcPr>
          <w:p>
            <w:pPr>
              <w:jc w:val="right"/>
              <w:ind w:right="540"/>
              <w:spacing w:after="0"/>
              <w:rPr>
                <w:sz w:val="20"/>
                <w:szCs w:val="20"/>
                <w:color w:val="auto"/>
              </w:rPr>
            </w:pPr>
            <w:r>
              <w:rPr>
                <w:rFonts w:ascii="Arial" w:cs="Arial" w:eastAsia="Arial" w:hAnsi="Arial"/>
                <w:sz w:val="13"/>
                <w:szCs w:val="13"/>
                <w:i w:val="1"/>
                <w:iCs w:val="1"/>
                <w:color w:val="auto"/>
                <w:w w:val="95"/>
              </w:rPr>
              <w:t>(in thousands, except share and per share data)</w:t>
            </w:r>
          </w:p>
        </w:tc>
        <w:tc>
          <w:tcPr>
            <w:tcW w:w="0" w:type="dxa"/>
            <w:vAlign w:val="bottom"/>
          </w:tcPr>
          <w:p>
            <w:pPr>
              <w:spacing w:after="0"/>
              <w:rPr>
                <w:sz w:val="1"/>
                <w:szCs w:val="1"/>
                <w:color w:val="auto"/>
              </w:rPr>
            </w:pPr>
          </w:p>
        </w:tc>
      </w:tr>
      <w:tr>
        <w:trPr>
          <w:trHeight w:val="25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Total other income</w:t>
            </w: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3"/>
              </w:rPr>
              <w:t>451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8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3"/>
                <w:szCs w:val="23"/>
                <w:color w:val="auto"/>
                <w:vertAlign w:val="superscript"/>
              </w:rPr>
              <w:t>(2)</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580" w:type="dxa"/>
            <w:vAlign w:val="bottom"/>
            <w:tcBorders>
              <w:bottom w:val="single" w:sz="8" w:color="CCEEFF"/>
            </w:tcBorders>
            <w:gridSpan w:val="2"/>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Weighted-average common shares outstanding, basic and diluted </w:t>
            </w:r>
            <w:r>
              <w:rPr>
                <w:rFonts w:ascii="Arial" w:cs="Arial" w:eastAsia="Arial" w:hAnsi="Arial"/>
                <w:sz w:val="23"/>
                <w:szCs w:val="23"/>
                <w:color w:val="auto"/>
                <w:vertAlign w:val="superscript"/>
              </w:rPr>
              <w:t>(2)</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8,502,926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14,878,157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8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Pro forma net loss per common share, basic and diluted</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Pro forma weighted-average common shares used to compute basic and diluted net loss per common</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45,913,238</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gridSpan w:val="2"/>
            <w:vMerge w:val="restart"/>
          </w:tcPr>
          <w:p>
            <w:pPr>
              <w:spacing w:after="0" w:line="131" w:lineRule="exact"/>
              <w:rPr>
                <w:sz w:val="20"/>
                <w:szCs w:val="20"/>
                <w:color w:val="auto"/>
              </w:rPr>
            </w:pPr>
            <w:r>
              <w:rPr>
                <w:rFonts w:ascii="Arial" w:cs="Arial" w:eastAsia="Arial" w:hAnsi="Arial"/>
                <w:sz w:val="14"/>
                <w:szCs w:val="14"/>
                <w:color w:val="auto"/>
              </w:rPr>
              <w:t>__________________</w:t>
            </w: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580" w:type="dxa"/>
            <w:vAlign w:val="bottom"/>
            <w:gridSpan w:val="2"/>
          </w:tcPr>
          <w:p>
            <w:pPr>
              <w:spacing w:after="0"/>
              <w:rPr>
                <w:sz w:val="20"/>
                <w:szCs w:val="20"/>
                <w:color w:val="auto"/>
              </w:rPr>
            </w:pPr>
            <w:r>
              <w:rPr>
                <w:rFonts w:ascii="Arial" w:cs="Arial" w:eastAsia="Arial" w:hAnsi="Arial"/>
                <w:sz w:val="14"/>
                <w:szCs w:val="14"/>
                <w:color w:val="auto"/>
              </w:rPr>
              <w:t>(1)  Operating expenses include stock-based compensation as follows: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8"/>
          </w:tcPr>
          <w:p>
            <w:pPr>
              <w:jc w:val="right"/>
              <w:ind w:right="1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6"/>
          </w:tcPr>
          <w:p>
            <w:pPr>
              <w:ind w:left="7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86"/>
              </w:rPr>
              <w:t>287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385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6"/>
              </w:rPr>
              <w:t>672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right="240" w:hanging="332"/>
        <w:spacing w:after="0" w:line="273" w:lineRule="auto"/>
        <w:tabs>
          <w:tab w:leader="none" w:pos="3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Note 11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79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196"/>
        </w:trPr>
        <w:tc>
          <w:tcPr>
            <w:tcW w:w="7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000" w:type="dxa"/>
            <w:vAlign w:val="bottom"/>
          </w:tcPr>
          <w:p>
            <w:pPr>
              <w:spacing w:after="0"/>
              <w:rPr>
                <w:sz w:val="17"/>
                <w:szCs w:val="17"/>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0"/>
              </w:rPr>
              <w:t>30,953</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r>
      <w:tr>
        <w:trPr>
          <w:trHeight w:val="270"/>
        </w:trPr>
        <w:tc>
          <w:tcPr>
            <w:tcW w:w="7960" w:type="dxa"/>
            <w:vAlign w:val="bottom"/>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980" w:type="dxa"/>
            <w:vAlign w:val="bottom"/>
          </w:tcPr>
          <w:p>
            <w:pPr>
              <w:spacing w:after="0"/>
              <w:rPr>
                <w:sz w:val="23"/>
                <w:szCs w:val="23"/>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w w:val="90"/>
              </w:rPr>
              <w:t>27,521</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82,991</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0"/>
              </w:rPr>
              <w:t>33,696</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8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3,721</w:t>
            </w:r>
          </w:p>
        </w:tc>
        <w:tc>
          <w:tcPr>
            <w:tcW w:w="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5,557</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(6,548)</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98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w w:val="90"/>
              </w:rPr>
              <w:t>29,975</w:t>
            </w:r>
          </w:p>
        </w:tc>
        <w:tc>
          <w:tcPr>
            <w:tcW w:w="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87,679</w:t>
            </w:r>
          </w:p>
        </w:tc>
      </w:tr>
    </w:tbl>
    <w:p>
      <w:pPr>
        <w:spacing w:after="0" w:line="170" w:lineRule="exact"/>
        <w:rPr>
          <w:sz w:val="20"/>
          <w:szCs w:val="20"/>
          <w:color w:val="auto"/>
        </w:rPr>
      </w:pPr>
    </w:p>
    <w:p>
      <w:pPr>
        <w:ind w:left="340" w:right="360" w:hanging="332"/>
        <w:spacing w:after="0" w:line="273"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88" w:lineRule="auto"/>
        <w:rPr>
          <w:sz w:val="20"/>
          <w:szCs w:val="20"/>
          <w:color w:val="auto"/>
        </w:rPr>
      </w:pPr>
      <w:r>
        <w:rPr>
          <w:rFonts w:ascii="Arial" w:cs="Arial" w:eastAsia="Arial" w:hAnsi="Arial"/>
          <w:sz w:val="16"/>
          <w:szCs w:val="16"/>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will enable researchers to perform proteomics studies at scale, similar to the manner in which next generation sequencing (NGS) technologies have transformed genomics.</w:t>
      </w:r>
    </w:p>
    <w:p>
      <w:pPr>
        <w:spacing w:after="0" w:line="11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Since our incorporation, we have incurred significant losses and negative cash flows from operations. During the year ended December 31, 2019, we incurred a net loss of $16.0 million and used $13.1 million of cash in operations. As of December 31, 2019, we had an accumulated deficit of $22.6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we have financed our operations primarily through private placements of convertible preferred stock. From the date of our incorporation through December 31, 2019, we have raised aggregate net proceeds of approximately $108.0 million from the issuance of convertible preferred stock, net of issuance costs. In May 2020, we raised an additional $54.9 million, net of offering costs, from the issuance of convertible preferred stock. As of December 31, 2019, we had unrestricted cash and cash equivalents of $17.5 million and investments of $68.5 million.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rationale for this transaction was to enable the growth of ecosystems around new applications that leverage unbiased, deep and large-scale proteomic information, and to focus on our core strategy, which is to be a provider of proteomics solutions to all customers across these ecosystems. Our relationship with PrognomIQ does not preclude us from selling our Proteograph to any customer in any geography, nor does it preclude our customers from using our Proteograph in any way. We believe that PrognomIQ will help us drive the adoption of our Proteograph Product Suite in disease testing applications.</w:t>
      </w:r>
    </w:p>
    <w:p>
      <w:pPr>
        <w:spacing w:after="0" w:line="13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has served as our Chief Business Officer and will serve as the Chief Executive Officer of PrognomIQ. Dr. Ma is expected to fully transition to PrognomIQ by the end of October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have not generated any revenue from product sales and may not do so in the near future. Our revenue to date has been generated from research collaborations and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preparing to operate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2018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08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40" w:type="dxa"/>
            <w:vAlign w:val="bottom"/>
            <w:gridSpan w:val="2"/>
          </w:tcPr>
          <w:p>
            <w:pPr>
              <w:ind w:left="10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5"/>
          </w:tcPr>
          <w:p>
            <w:pPr>
              <w:ind w:left="580"/>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Research revenue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060" w:type="dxa"/>
            <w:vAlign w:val="bottom"/>
          </w:tcPr>
          <w:p>
            <w:pPr>
              <w:ind w:left="440"/>
              <w:spacing w:after="0"/>
              <w:rPr>
                <w:sz w:val="20"/>
                <w:szCs w:val="20"/>
                <w:color w:val="auto"/>
              </w:rPr>
            </w:pPr>
            <w:r>
              <w:rPr>
                <w:rFonts w:ascii="Arial" w:cs="Arial" w:eastAsia="Arial" w:hAnsi="Arial"/>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Unrealized gain on available-for-sale securities</w:t>
            </w:r>
          </w:p>
        </w:tc>
        <w:tc>
          <w:tcPr>
            <w:tcW w:w="8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 Not meaningful</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3"/>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40" w:type="dxa"/>
            <w:vAlign w:val="bottom"/>
            <w:gridSpan w:val="3"/>
          </w:tcPr>
          <w:p>
            <w:pPr>
              <w:jc w:val="right"/>
              <w:ind w:right="379"/>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116</w:t>
            </w:r>
          </w:p>
        </w:tc>
        <w:tc>
          <w:tcPr>
            <w:tcW w:w="10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6"/>
        </w:trPr>
        <w:tc>
          <w:tcPr>
            <w:tcW w:w="5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4"/>
          </w:tcPr>
          <w:p>
            <w:pPr>
              <w:jc w:val="right"/>
              <w:ind w:right="130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7"/>
                <w:szCs w:val="17"/>
                <w:color w:val="auto"/>
              </w:rPr>
            </w:pPr>
          </w:p>
        </w:tc>
      </w:tr>
      <w:tr>
        <w:trPr>
          <w:trHeight w:val="24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3,776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8,617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7"/>
        </w:trPr>
        <w:tc>
          <w:tcPr>
            <w:tcW w:w="5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 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96"/>
        </w:trPr>
        <w:tc>
          <w:tcPr>
            <w:tcW w:w="50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6"/>
        </w:trPr>
        <w:tc>
          <w:tcPr>
            <w:tcW w:w="5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gridSpan w:val="4"/>
          </w:tcPr>
          <w:p>
            <w:pPr>
              <w:jc w:val="right"/>
              <w:ind w:right="128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7"/>
                <w:szCs w:val="17"/>
                <w:color w:val="auto"/>
              </w:rPr>
            </w:pPr>
          </w:p>
        </w:tc>
      </w:tr>
      <w:tr>
        <w:trPr>
          <w:trHeight w:val="24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2,982</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0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96"/>
        </w:trPr>
        <w:tc>
          <w:tcPr>
            <w:tcW w:w="5080" w:type="dxa"/>
            <w:vAlign w:val="bottom"/>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6"/>
        </w:trPr>
        <w:tc>
          <w:tcPr>
            <w:tcW w:w="5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0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December 31, 2019, we had an accumulated deficit of $22.6 million. As of December 31, 2019, we had unrestricted cash and cash equivalents of $17.5 million and investments of $68.5 million.</w:t>
      </w:r>
    </w:p>
    <w:p>
      <w:pPr>
        <w:spacing w:after="0" w:line="13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774"/>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9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196"/>
        </w:trPr>
        <w:tc>
          <w:tcPr>
            <w:tcW w:w="7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7"/>
                <w:szCs w:val="17"/>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(4,651)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92"/>
              </w:rPr>
              <w:t>(13,073)</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center"/>
              <w:ind w:left="294"/>
              <w:spacing w:after="0"/>
              <w:rPr>
                <w:sz w:val="20"/>
                <w:szCs w:val="20"/>
                <w:color w:val="auto"/>
              </w:rPr>
            </w:pPr>
            <w:r>
              <w:rPr>
                <w:rFonts w:ascii="Arial" w:cs="Arial" w:eastAsia="Arial" w:hAnsi="Arial"/>
                <w:sz w:val="18"/>
                <w:szCs w:val="18"/>
                <w:color w:val="auto"/>
                <w:w w:val="92"/>
              </w:rPr>
              <w:t>(72,383)</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29,945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334"/>
              <w:spacing w:after="0"/>
              <w:rPr>
                <w:sz w:val="20"/>
                <w:szCs w:val="20"/>
                <w:color w:val="auto"/>
              </w:rPr>
            </w:pPr>
            <w:r>
              <w:rPr>
                <w:rFonts w:ascii="Arial" w:cs="Arial" w:eastAsia="Arial" w:hAnsi="Arial"/>
                <w:sz w:val="18"/>
                <w:szCs w:val="18"/>
                <w:color w:val="auto"/>
                <w:w w:val="90"/>
              </w:rPr>
              <w:t>72,331</w:t>
            </w:r>
          </w:p>
        </w:tc>
      </w:tr>
      <w:tr>
        <w:trPr>
          <w:trHeight w:val="263"/>
        </w:trPr>
        <w:tc>
          <w:tcPr>
            <w:tcW w:w="79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0"/>
              </w:rPr>
              <w:t>25,126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center"/>
              <w:ind w:left="294"/>
              <w:spacing w:after="0"/>
              <w:rPr>
                <w:sz w:val="20"/>
                <w:szCs w:val="20"/>
                <w:color w:val="auto"/>
              </w:rPr>
            </w:pPr>
            <w:r>
              <w:rPr>
                <w:rFonts w:ascii="Arial" w:cs="Arial" w:eastAsia="Arial" w:hAnsi="Arial"/>
                <w:sz w:val="18"/>
                <w:szCs w:val="18"/>
                <w:color w:val="auto"/>
                <w:w w:val="92"/>
              </w:rPr>
              <w:t>(13,125)</w:t>
            </w:r>
          </w:p>
        </w:tc>
      </w:tr>
      <w:tr>
        <w:trPr>
          <w:trHeight w:val="21"/>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320" w:firstLine="324"/>
        <w:spacing w:after="0" w:line="273" w:lineRule="auto"/>
        <w:rPr>
          <w:sz w:val="20"/>
          <w:szCs w:val="20"/>
          <w:color w:val="auto"/>
        </w:rPr>
      </w:pPr>
      <w:r>
        <w:rPr>
          <w:rFonts w:ascii="Arial" w:cs="Arial" w:eastAsia="Arial" w:hAnsi="Arial"/>
          <w:sz w:val="17"/>
          <w:szCs w:val="17"/>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2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16" w:lineRule="exact"/>
        <w:rPr>
          <w:sz w:val="20"/>
          <w:szCs w:val="20"/>
          <w:color w:val="auto"/>
        </w:rPr>
      </w:pPr>
    </w:p>
    <w:p>
      <w:pPr>
        <w:ind w:left="340" w:right="40"/>
        <w:spacing w:after="0" w:line="438" w:lineRule="auto"/>
        <w:rPr>
          <w:sz w:val="20"/>
          <w:szCs w:val="20"/>
          <w:color w:val="auto"/>
        </w:rPr>
      </w:pPr>
      <w:r>
        <w:rPr>
          <w:rFonts w:ascii="Arial" w:cs="Arial" w:eastAsia="Arial" w:hAnsi="Arial"/>
          <w:sz w:val="18"/>
          <w:szCs w:val="18"/>
          <w:color w:val="auto"/>
        </w:rPr>
        <w:t xml:space="preserve">In 2018, cash used in investing activities was $0.2 million, which related to payments for property and equipment used for general business operations.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2018, cash provided by financing activities was $29.9 million which was attributable to the net proceeds from the issuance of Series B convertible preferred stock, net of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06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13"/>
                <w:szCs w:val="13"/>
                <w:color w:val="auto"/>
              </w:rPr>
            </w:pPr>
          </w:p>
        </w:tc>
        <w:tc>
          <w:tcPr>
            <w:tcW w:w="12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8"/>
              </w:rPr>
              <w:t>1-3 years</w:t>
            </w:r>
          </w:p>
        </w:tc>
        <w:tc>
          <w:tcPr>
            <w:tcW w:w="260" w:type="dxa"/>
            <w:vAlign w:val="bottom"/>
          </w:tcPr>
          <w:p>
            <w:pPr>
              <w:spacing w:after="0"/>
              <w:rPr>
                <w:sz w:val="13"/>
                <w:szCs w:val="13"/>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3"/>
                <w:szCs w:val="13"/>
                <w:color w:val="auto"/>
              </w:rPr>
            </w:pPr>
          </w:p>
        </w:tc>
        <w:tc>
          <w:tcPr>
            <w:tcW w:w="11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future performance, as these policies relate to the more significant areas involving management’s judgments and estimates.</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2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right="40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value of common stock—Historically, as there has been no public market for our common stock, the fair value of our common stock was determined by our board of directors based in part on valuations of our common stock prepared by a third-party valuation specialist. See the subsection titled “Fair Value of Common Stock” below.</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132" w:lineRule="exact"/>
        <w:rPr>
          <w:rFonts w:ascii="Arial" w:cs="Arial" w:eastAsia="Arial" w:hAnsi="Arial"/>
          <w:sz w:val="18"/>
          <w:szCs w:val="18"/>
          <w:color w:val="auto"/>
        </w:rPr>
      </w:pPr>
    </w:p>
    <w:p>
      <w:pPr>
        <w:ind w:left="660" w:right="140" w:hanging="328"/>
        <w:spacing w:after="0" w:line="311"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Expected volatility—Since we are a privately-held company and do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or area of specialty. We will continue to apply this process until enough historical information regarding the volatility of our own stock price becomes available.</w:t>
      </w:r>
    </w:p>
    <w:p>
      <w:pPr>
        <w:spacing w:after="0" w:line="116" w:lineRule="exact"/>
        <w:rPr>
          <w:sz w:val="20"/>
          <w:szCs w:val="20"/>
          <w:color w:val="auto"/>
        </w:rPr>
      </w:pPr>
    </w:p>
    <w:p>
      <w:pPr>
        <w:ind w:left="660" w:right="5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intrinsic value of all outstanding options as of December 31, 2019 was $ million, of which $ million related to unvested options as of such date, based on the assumed initial public offering price of $ per share, which is the midpoint of the price range set forth on the cover page of this prospectus.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exercised reasonable judgment and considered numerous objective and subjective factors to determine the best estimate of the fair value of our common stock at each grant date. These factors include:</w:t>
      </w:r>
    </w:p>
    <w:p>
      <w:pPr>
        <w:spacing w:after="0" w:line="138"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technology industry and trends within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operating results and financial performance,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and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expectations, market conditions, and the relative risk of the subject investment. The market approach involve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0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hanging="328"/>
        <w:spacing w:after="0" w:line="25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32"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during 2018 and 2019.</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Starting in 2020, we used a hybrid method to determine the estimated fair value of our common stock, which included both the OPM and PWERM models.</w:t>
      </w:r>
    </w:p>
    <w:p>
      <w:pPr>
        <w:spacing w:after="0" w:line="116"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320" w:top="1440" w:right="399" w:bottom="1440" w:gutter="0" w:footer="0" w:header="0"/>
        </w:sectPr>
      </w:pPr>
    </w:p>
    <w:bookmarkStart w:id="84" w:name="page85"/>
    <w:bookmarkEnd w:id="84"/>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3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the first fiscal year beginning after the effective date of the registration statement of which this prospectus is a part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2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1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440" w:right="399" w:bottom="1440" w:gutter="0" w:footer="0" w:header="0"/>
        </w:sectPr>
      </w:pPr>
    </w:p>
    <w:bookmarkStart w:id="85" w:name="page86"/>
    <w:bookmarkEnd w:id="85"/>
    <w:p>
      <w:pPr>
        <w:spacing w:after="0" w:line="14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cash, cash equivalents and investments as of December 31, 2019 consist of $86.0 million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1440" w:right="479" w:bottom="1440" w:gutter="0" w:footer="0" w:header="0"/>
        </w:sectPr>
      </w:pPr>
    </w:p>
    <w:bookmarkStart w:id="86" w:name="page87"/>
    <w:bookmarkEnd w:id="8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will enable researchers to perform proteomics studies at scale, similar to the manner in which next generation sequencing (NGS) technologies have transformed genomics.</w:t>
      </w:r>
    </w:p>
    <w:p>
      <w:pPr>
        <w:spacing w:after="0" w:line="11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4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We believe by following this approach we can appropriately scale our operations, deliver exceptional customer experiences, foster publications and develop a robust pipeline of customers to drive our revenue growth.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074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human proteome is dynamic and far more complex and diverse in structure, composition and number of variants than either the genome or transcriptome. Starting from the genome, there are multiple biological steps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88265</wp:posOffset>
            </wp:positionV>
            <wp:extent cx="5143500" cy="2091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1528445</wp:posOffset>
            </wp:positionH>
            <wp:positionV relativeFrom="page">
              <wp:posOffset>1014730</wp:posOffset>
            </wp:positionV>
            <wp:extent cx="4500245" cy="213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 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98425</wp:posOffset>
            </wp:positionV>
            <wp:extent cx="4286250" cy="1894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approach identified 4,500 different proteins, but only across 16 samples. The study took multiple months to complete.</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Given the utility of proteins for measuring function, health and disease, we believe the same, if not a greater, opportunity exists for providing unbiased, deep, rapid and scalable access to the proteome.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349240" cy="1877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70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use machine learning to design, synthesize and select different NPs and NP panels to create multiple products and applications; and</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174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1440" w:right="39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1014730</wp:posOffset>
            </wp:positionV>
            <wp:extent cx="2143125" cy="2322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77470</wp:posOffset>
            </wp:positionV>
            <wp:extent cx="2357120" cy="1774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571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95" w:name="page96"/>
    <w:bookmarkEnd w:id="95"/>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 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right="10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Particle Wash</w:t>
      </w:r>
      <w:r>
        <w:rPr>
          <w:rFonts w:ascii="Arial" w:cs="Arial" w:eastAsia="Arial" w:hAnsi="Arial"/>
          <w:sz w:val="18"/>
          <w:szCs w:val="18"/>
          <w:color w:val="auto"/>
        </w:rPr>
        <w:t>. NPs are then captured by a magnetic field, after which they undergo repeated cycles of wash with buffer to remove unbound, or</w:t>
      </w:r>
      <w:r>
        <w:rPr>
          <w:rFonts w:ascii="Arial" w:cs="Arial" w:eastAsia="Arial" w:hAnsi="Arial"/>
          <w:sz w:val="18"/>
          <w:szCs w:val="18"/>
          <w:i w:val="1"/>
          <w:iCs w:val="1"/>
          <w:color w:val="auto"/>
        </w:rPr>
        <w:t xml:space="preserve"> </w:t>
      </w:r>
      <w:r>
        <w:rPr>
          <w:rFonts w:ascii="Arial" w:cs="Arial" w:eastAsia="Arial" w:hAnsi="Arial"/>
          <w:sz w:val="18"/>
          <w:szCs w:val="18"/>
          <w:color w:val="auto"/>
        </w:rPr>
        <w:t>loosely bound, proteins.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In-plate Digestion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ind w:left="660" w:right="30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software to identify and quantify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22860</wp:posOffset>
            </wp:positionV>
            <wp:extent cx="4928870" cy="2049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887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91440</wp:posOffset>
            </wp:positionV>
            <wp:extent cx="4928870" cy="2177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887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18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320" w:top="1440" w:right="419" w:bottom="1440" w:gutter="0" w:footer="0" w:header="0"/>
        </w:sectPr>
      </w:pPr>
    </w:p>
    <w:bookmarkStart w:id="97" w:name="page98"/>
    <w:bookmarkEnd w:id="97"/>
    <w:p>
      <w:pPr>
        <w:spacing w:after="0" w:line="14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251460</wp:posOffset>
            </wp:positionV>
            <wp:extent cx="1285875" cy="3197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2" w:lineRule="exact"/>
        <w:rPr>
          <w:sz w:val="20"/>
          <w:szCs w:val="20"/>
          <w:color w:val="auto"/>
        </w:rPr>
      </w:pPr>
    </w:p>
    <w:p>
      <w:pPr>
        <w:ind w:left="660" w:right="40" w:hanging="328"/>
        <w:spacing w:after="0" w:line="270"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440" w:right="359" w:bottom="1440" w:gutter="0" w:footer="0" w:header="0"/>
        </w:sectPr>
      </w:pPr>
    </w:p>
    <w:bookmarkStart w:id="98" w:name="page99"/>
    <w:bookmarkEnd w:id="98"/>
    <w:p>
      <w:pPr>
        <w:spacing w:after="0" w:line="14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117475</wp:posOffset>
            </wp:positionV>
            <wp:extent cx="4286250" cy="3111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 w:hanging="328"/>
        <w:spacing w:after="0" w:line="271" w:lineRule="auto"/>
        <w:tabs>
          <w:tab w:leader="none" w:pos="323"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88"/>
          </w:cols>
          <w:pgMar w:left="652" w:top="1440" w:right="3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1014730</wp:posOffset>
            </wp:positionV>
            <wp:extent cx="257175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8" w:hanging="328"/>
        <w:spacing w:after="0" w:line="287" w:lineRule="auto"/>
        <w:tabs>
          <w:tab w:leader="none" w:pos="323"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48"/>
          </w:cols>
          <w:pgMar w:left="652" w:top="1440" w:right="399" w:bottom="1440" w:gutter="0" w:footer="0" w:header="0"/>
        </w:sectPr>
      </w:pPr>
    </w:p>
    <w:bookmarkStart w:id="100" w:name="page101"/>
    <w:bookmarkEnd w:id="100"/>
    <w:p>
      <w:pPr>
        <w:spacing w:after="0" w:line="140" w:lineRule="exact"/>
        <w:rPr>
          <w:sz w:val="20"/>
          <w:szCs w:val="20"/>
          <w:color w:val="auto"/>
        </w:rPr>
      </w:pPr>
    </w:p>
    <w:p>
      <w:pPr>
        <w:ind w:left="660" w:hanging="328"/>
        <w:spacing w:after="0" w:line="269"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Rapid and large-scale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Proteograph enables rapid and large-scale proteomic sample processing in a seven-hour workflow, compared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investigators incorporate other -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091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61% of the proteomics market is focused on life sciences research, 35% for clinical applications and 4%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 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60" w:hanging="332"/>
        <w:spacing w:after="0" w:line="255"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8"/>
          <w:szCs w:val="18"/>
          <w:color w:val="auto"/>
        </w:rPr>
        <w:t>While other proteomics technologies exist today, we believe that our Proteograph is the first and only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434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right="60" w:hanging="332"/>
        <w:spacing w:after="0" w:line="271" w:lineRule="auto"/>
        <w:tabs>
          <w:tab w:leader="none" w:pos="335"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7"/>
          <w:szCs w:val="17"/>
          <w:color w:val="auto"/>
        </w:rPr>
        <w:t>The ability to observe the myriad of possible protein variations,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and protein pathway information at scale. We believe that our Proteograph is uniquely positioned to fully capture the breadth, depth and the complexity of the proteome at scale.</w:t>
      </w:r>
    </w:p>
    <w:p>
      <w:pPr>
        <w:spacing w:after="0" w:line="116" w:lineRule="exact"/>
        <w:rPr>
          <w:sz w:val="20"/>
          <w:szCs w:val="20"/>
          <w:color w:val="auto"/>
        </w:rPr>
      </w:pPr>
    </w:p>
    <w:p>
      <w:pPr>
        <w:ind w:left="340" w:right="240" w:hanging="332"/>
        <w:spacing w:after="0" w:line="271" w:lineRule="auto"/>
        <w:tabs>
          <w:tab w:leader="none" w:pos="335"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is an integrated solution comprised of consumables, an automation instrument and software, and was designed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40" w:right="60" w:hanging="332"/>
        <w:spacing w:after="0" w:line="290"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250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40" w:right="40" w:hanging="332"/>
        <w:spacing w:after="0" w:line="293"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40" w:right="20" w:hanging="332"/>
        <w:spacing w:after="0" w:line="272" w:lineRule="auto"/>
        <w:tabs>
          <w:tab w:leader="none" w:pos="335"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has the potential to provide sustainable differentiation. </w:t>
      </w:r>
      <w:r>
        <w:rPr>
          <w:rFonts w:ascii="Arial" w:cs="Arial" w:eastAsia="Arial" w:hAnsi="Arial"/>
          <w:sz w:val="17"/>
          <w:szCs w:val="17"/>
          <w:color w:val="auto"/>
        </w:rPr>
        <w:t>Our Proteograph is uniquely capable of generating robust,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24 pending patent applications, worldwide, covering improvements in NPs, assay methods and ways to leverage proteomic data and information for life sciences research and clinical diagnostic and drug discovery applications.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180" w:hanging="332"/>
        <w:spacing w:after="0" w:line="311"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6"/>
          <w:szCs w:val="16"/>
          <w:color w:val="auto"/>
        </w:rPr>
        <w:t>Our initial product, the Proteograph, uniquely enables researchers and clinicians to generate unbiased, deep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information at speed and scale which are not possible today. The utility and potential applications of these capabilities are broad, spanning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left="332" w:right="120"/>
        <w:spacing w:after="0" w:line="257" w:lineRule="auto"/>
        <w:rPr>
          <w:sz w:val="20"/>
          <w:szCs w:val="20"/>
          <w:color w:val="auto"/>
        </w:rPr>
      </w:pPr>
      <w:r>
        <w:rPr>
          <w:rFonts w:ascii="Arial" w:cs="Arial" w:eastAsia="Arial" w:hAnsi="Arial"/>
          <w:sz w:val="18"/>
          <w:szCs w:val="18"/>
          <w:color w:val="auto"/>
        </w:rPr>
        <w:t>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34" w:lineRule="exact"/>
        <w:rPr>
          <w:sz w:val="20"/>
          <w:szCs w:val="20"/>
          <w:color w:val="auto"/>
        </w:rPr>
      </w:pPr>
    </w:p>
    <w:p>
      <w:pPr>
        <w:ind w:left="332" w:right="20" w:hanging="332"/>
        <w:spacing w:after="0" w:line="254"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32" w:hanging="332"/>
        <w:spacing w:after="0" w:line="255" w:lineRule="auto"/>
        <w:tabs>
          <w:tab w:leader="none" w:pos="327"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32" w:right="120" w:hanging="332"/>
        <w:spacing w:after="0" w:line="296" w:lineRule="auto"/>
        <w:tabs>
          <w:tab w:leader="none" w:pos="327"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32" w:right="40" w:hanging="332"/>
        <w:spacing w:after="0" w:line="291" w:lineRule="auto"/>
        <w:tabs>
          <w:tab w:leader="none" w:pos="327"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12" w:lineRule="exact"/>
        <w:rPr>
          <w:rFonts w:ascii="Arial" w:cs="Arial" w:eastAsia="Arial" w:hAnsi="Arial"/>
          <w:sz w:val="16"/>
          <w:szCs w:val="16"/>
          <w:color w:val="auto"/>
        </w:rPr>
      </w:pPr>
    </w:p>
    <w:p>
      <w:pPr>
        <w:ind w:left="332" w:right="20" w:hanging="332"/>
        <w:spacing w:after="0" w:line="273" w:lineRule="auto"/>
        <w:tabs>
          <w:tab w:leader="none" w:pos="327"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32"/>
          </w:cols>
          <w:pgMar w:left="328" w:top="1440" w:right="339" w:bottom="1440" w:gutter="0" w:footer="0" w:header="0"/>
        </w:sectPr>
      </w:pPr>
    </w:p>
    <w:bookmarkStart w:id="105" w:name="page106"/>
    <w:bookmarkEnd w:id="10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79375</wp:posOffset>
            </wp:positionV>
            <wp:extent cx="2571750" cy="2537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437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1440" w:right="4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1014730</wp:posOffset>
            </wp:positionV>
            <wp:extent cx="1714500" cy="2768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657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for exploration of potential biomarkers is illustrated in a proof-of-principle study in lung-cancer, as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Communications </w:t>
      </w:r>
      <w:r>
        <w:rPr>
          <w:rFonts w:ascii="Arial" w:cs="Arial" w:eastAsia="Arial" w:hAnsi="Arial"/>
          <w:sz w:val="17"/>
          <w:szCs w:val="17"/>
          <w:color w:val="auto"/>
        </w:rPr>
        <w:t>(Blume et al.). In this study, approximately 2,000 proteins were quantified across 141 subjects comprising early stage lung cancer (i.e.,</w:t>
      </w:r>
      <w:r>
        <w:rPr>
          <w:rFonts w:ascii="Arial" w:cs="Arial" w:eastAsia="Arial" w:hAnsi="Arial"/>
          <w:sz w:val="17"/>
          <w:szCs w:val="17"/>
          <w:i w:val="1"/>
          <w:iCs w:val="1"/>
          <w:color w:val="auto"/>
        </w:rPr>
        <w:t xml:space="preserve"> </w:t>
      </w:r>
      <w:r>
        <w:rPr>
          <w:rFonts w:ascii="Arial" w:cs="Arial" w:eastAsia="Arial" w:hAnsi="Arial"/>
          <w:sz w:val="17"/>
          <w:szCs w:val="17"/>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1440" w:right="4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rationale for this transaction was to enable the growth of ecosystems around new applications that leverage unbiased, deep and large-scale proteomic information, and to focus on our core strategy, which is to be a provider of proteomics solutions to all customers across these ecosystems. Our relationship with PrognomIQ does not preclude us from selling our Proteograph to any customer in any geography, nor does it preclude our customers from using our Proteograph in any way. We believe that PrognomIQ will help us drive the adoption of our Proteograph Product Suite in disease testing applications.</w:t>
      </w:r>
    </w:p>
    <w:p>
      <w:pPr>
        <w:spacing w:after="0" w:line="13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Philip Ma, Ph.D., our co-Founder and Chief Business Officer, is transitioning to the role of Chief Executive Officer of PrognomIQ, and plans to enter into a consulting agreement with us for a period of twelve months. Our Chief Executive Officer and Chair of our board of directors, Omid Farokhzad, M.D., is the Chair of PrognomIQ’s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3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1"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Proteograph automation instruments, depending upon customer need. We recognize that excellent customer support can be a critical part of a customer experience, and we will invest accordingly in our technical and application support to achieve the desired levels of service.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3" w:lineRule="exact"/>
        <w:rPr>
          <w:sz w:val="20"/>
          <w:szCs w:val="20"/>
          <w:color w:val="auto"/>
        </w:rPr>
      </w:pPr>
    </w:p>
    <w:p>
      <w:pPr>
        <w:ind w:left="660" w:right="140" w:hanging="328"/>
        <w:spacing w:after="0" w:line="311" w:lineRule="auto"/>
        <w:tabs>
          <w:tab w:leader="none" w:pos="6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Collaboration phase: We began collaborating with two sites in the third quarter of 2020 and we expect to collaborate with additional sites as we expand and continue this phase in 2021. We are targeting key opinion leaders who are highly-skilled at evaluating novel technologies and whose feedback can help us solidify our commercialization plans and processes. We will work with these collaborators to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early models of impactful research and discovery that will highlight the unique capabilities and value proposition of our Proteograph.</w:t>
      </w:r>
    </w:p>
    <w:p>
      <w:pPr>
        <w:spacing w:after="0" w:line="171" w:lineRule="exact"/>
        <w:rPr>
          <w:sz w:val="20"/>
          <w:szCs w:val="20"/>
          <w:color w:val="auto"/>
        </w:rPr>
      </w:pPr>
    </w:p>
    <w:p>
      <w:pPr>
        <w:ind w:left="660" w:right="40" w:hanging="328"/>
        <w:spacing w:after="0" w:line="272" w:lineRule="auto"/>
        <w:tabs>
          <w:tab w:leader="none" w:pos="6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Early access limited release: We expect to start the second phase of our commercial roll-out in 2021 in parallel with winding down the collaboration phase. In this second phase, we will expand to selected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w:t>
      </w:r>
    </w:p>
    <w:p>
      <w:pPr>
        <w:spacing w:after="0" w:line="123"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a third-party. We conduct vendor and component qualification for components provided by third-party suppliers and quality control tests on our NPs.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Use Only. Not for use in diagnostic procedures.” – the regulations do not subject such products to the FDA’s jurisdiction or the broader pre- and post-market controls for medical devices.</w:t>
      </w:r>
    </w:p>
    <w:p>
      <w:pPr>
        <w:spacing w:after="0" w:line="11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may interrupt commercialization of our products, decrease our revenue and adversely impact sales of, and pricing of and reimbursement for, our products.</w:t>
      </w:r>
    </w:p>
    <w:p>
      <w:pPr>
        <w:spacing w:after="0" w:line="19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w:t>
      </w:r>
    </w:p>
    <w:p>
      <w:pPr>
        <w:spacing w:after="0" w:line="113"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September 16, 2020, we own approximately two issued U.S. patents, eight U.S. pending patent applications and four pending Patent Cooperation Treaty (PCT) patent applications.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patent portfolio owned by us includes:</w:t>
      </w:r>
    </w:p>
    <w:p>
      <w:pPr>
        <w:spacing w:after="0" w:line="171" w:lineRule="exact"/>
        <w:rPr>
          <w:sz w:val="20"/>
          <w:szCs w:val="20"/>
          <w:color w:val="auto"/>
        </w:rPr>
      </w:pPr>
    </w:p>
    <w:p>
      <w:pPr>
        <w:ind w:left="660" w:right="8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pending U.S. patent applications that are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exclusively license from The Brigham and Women’s Hospital, Inc. (BWH), two issued U.S. patents, five U.S. pending patent applications, one issued ex-U.S. patent and seven ex-U.S. pending patent applications, as of September 16,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As part of the agreement, we also intend to grant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License Agreements.”</w:t>
      </w:r>
    </w:p>
    <w:p>
      <w:pPr>
        <w:spacing w:after="0" w:line="13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3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6"/>
          <w:szCs w:val="16"/>
          <w:i w:val="1"/>
          <w:iCs w:val="1"/>
          <w:color w:val="auto"/>
        </w:rPr>
        <w:t>“Risk factors—Risks Related to our Intellectual Property.”</w:t>
      </w:r>
    </w:p>
    <w:p>
      <w:pPr>
        <w:spacing w:after="0" w:line="107" w:lineRule="exact"/>
        <w:rPr>
          <w:sz w:val="20"/>
          <w:szCs w:val="20"/>
          <w:color w:val="auto"/>
        </w:rPr>
      </w:pPr>
    </w:p>
    <w:p>
      <w:pPr>
        <w:jc w:val="right"/>
        <w:ind w:right="822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18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low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In August 2020, we entered into an intellectual property transfer and license agreement with PrognomIQ in connection with the spin-out of PrognomIQ. Under the agreement, we granted PrognomIQ a non-exclusive, perpetual, irrevocable (subject to termination for breach) license to certain patents and patent applications that we own and anticipate granting a non-exclusive sublicense to certain patent applications exclusively licensed from BWH, in each case, relating to our core technology to develop, manufacture and commercialize licensed products for the field of human diagnostics on a worldwide basis. PrognomIQ may extend such licensed rights to customers of licensed products.</w:t>
      </w:r>
    </w:p>
    <w:p>
      <w:pPr>
        <w:spacing w:after="0" w:line="12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we assigned a patent application relating to lung cancer biomarkers, and transferred certain clinical samples, contracts and other related assets to PrognomIQ. In the event we elect to grant an exclusive license to a third party in the field of human diagnostics for any of the patents and patent applications licensed to PrognomIQ under the agreement, we are required to first negotiate with PrognomIQ for a period of sixty days for a license to such rights on reasonable terms. Furthermore, for a period of two years after the effective date, we are required to negotiate in good faith with PrognomIQ for a license to any improvements to the patents and patent applications assigned or licensed under the agreement.</w:t>
      </w:r>
    </w:p>
    <w:p>
      <w:pPr>
        <w:spacing w:after="0" w:line="12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Neither party may assign the agreement nor any rights or obligations under the agreement without the other party’s prior written consent, other than to an affiliate or pursuant to an acquisition. Unless terminated earlier, the term of the agreement continues until the expiration of the last to expire intellectual property right granted under the agreement. Either party may terminate the agreement for an uncured breach of the other party, upon which all licenses granted under the agreement to the breaching party will terminate.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and Ralph Weissleder,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September 1, 2020, we had 55 employees, all based in the United States, including 43 in research and development and 12 in selling, general and administrative. None of our employees are represented by a labor union or covered under a collective bargaining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stage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September 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Omid Farokhzad, M.D.</w:t>
            </w:r>
            <w:r>
              <w:rPr>
                <w:rFonts w:ascii="Arial" w:cs="Arial" w:eastAsia="Arial" w:hAnsi="Arial"/>
                <w:sz w:val="23"/>
                <w:szCs w:val="23"/>
                <w:color w:val="auto"/>
                <w:vertAlign w:val="superscript"/>
              </w:rPr>
              <w:t>(4)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50"/>
        </w:trPr>
        <w:tc>
          <w:tcPr>
            <w:tcW w:w="4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David R. Horn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Omead Ostadan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President, Chief Operating Officer and 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70"/>
        </w:trPr>
        <w:tc>
          <w:tcPr>
            <w:tcW w:w="4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spacing w:after="0"/>
              <w:rPr>
                <w:sz w:val="23"/>
                <w:szCs w:val="23"/>
                <w:color w:val="auto"/>
              </w:rPr>
            </w:pP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David Hallal</w:t>
            </w:r>
            <w:r>
              <w:rPr>
                <w:rFonts w:ascii="Arial" w:cs="Arial" w:eastAsia="Arial" w:hAnsi="Arial"/>
                <w:sz w:val="23"/>
                <w:szCs w:val="23"/>
                <w:color w:val="auto"/>
                <w:vertAlign w:val="superscript"/>
              </w:rPr>
              <w:t>(5)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Lead Independent Director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(6)</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0"/>
        </w:trPr>
        <w:tc>
          <w:tcPr>
            <w:tcW w:w="4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Robert Langer, Sc.D.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Terrance McGuire</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David Singer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155"/>
        </w:trPr>
        <w:tc>
          <w:tcPr>
            <w:tcW w:w="44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Pr>
          <w:p>
            <w:pPr>
              <w:spacing w:after="0"/>
              <w:rPr>
                <w:sz w:val="13"/>
                <w:szCs w:val="13"/>
                <w:color w:val="auto"/>
              </w:rPr>
            </w:pPr>
          </w:p>
        </w:tc>
      </w:tr>
    </w:tbl>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Appointed Chair of the Board of Directors on September 11,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Appointed Lead Independent Director on September 11,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Joined our board of directors on September 14,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co-founded our Company and has served as our Chief Executive Officer since February 2018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2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 investment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3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i w:val="1"/>
          <w:iCs w:val="1"/>
          <w:color w:val="auto"/>
        </w:rPr>
        <w:t xml:space="preserve">Omead Ostadan </w:t>
      </w:r>
      <w:r>
        <w:rPr>
          <w:rFonts w:ascii="Arial" w:cs="Arial" w:eastAsia="Arial" w:hAnsi="Arial"/>
          <w:sz w:val="16"/>
          <w:szCs w:val="16"/>
          <w:color w:val="auto"/>
        </w:rPr>
        <w:t>has served as our President and Chief Operating Officer since July 2020 and as a member of our board of directors since March 2020.</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ind w:right="320" w:firstLine="8"/>
        <w:spacing w:after="0" w:line="286" w:lineRule="auto"/>
        <w:tabs>
          <w:tab w:leader="none" w:pos="1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Marketing from April 2015 to June 2019. Mr. Ostadan holds a B.Sc in Biochemistry from the University of California, Davis and an M.B.A from the Wharton School of Business. We believe Mr. Ostadan is qualified to serve on our board of directors because of his extensive experience in product development at life science companies, his leadership skills, as well as his strong strategic planning and product knowledge.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 2020. Mr.</w:t>
      </w:r>
      <w:r>
        <w:rPr>
          <w:rFonts w:ascii="Arial" w:cs="Arial" w:eastAsia="Arial" w:hAnsi="Arial"/>
          <w:sz w:val="18"/>
          <w:szCs w:val="18"/>
          <w:i w:val="1"/>
          <w:iCs w:val="1"/>
          <w:color w:val="auto"/>
        </w:rPr>
        <w:t xml:space="preserve"> </w:t>
      </w:r>
      <w:r>
        <w:rPr>
          <w:rFonts w:ascii="Arial" w:cs="Arial" w:eastAsia="Arial" w:hAnsi="Arial"/>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Catherine J. Friedman </w:t>
      </w:r>
      <w:r>
        <w:rPr>
          <w:rFonts w:ascii="Arial" w:cs="Arial" w:eastAsia="Arial" w:hAnsi="Arial"/>
          <w:sz w:val="17"/>
          <w:szCs w:val="17"/>
          <w:color w:val="auto"/>
        </w:rPr>
        <w:t>has served as a member of our board of directors since September 2020. Ms. Friedman has been an independent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 David H. Koch Institute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Lyra Therapeutics, Inc., Moderna, Inc. and Puretech Health plc, and previously served on the board of directors of Alkermes, Inc., Kala Pharmaceuticals, Inc., Momentum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14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Terrance McGuire </w:t>
      </w:r>
      <w:r>
        <w:rPr>
          <w:rFonts w:ascii="Arial" w:cs="Arial" w:eastAsia="Arial" w:hAnsi="Arial"/>
          <w:sz w:val="16"/>
          <w:szCs w:val="16"/>
          <w:color w:val="auto"/>
        </w:rPr>
        <w:t>has served as a member of our board of directors since December 2017. Mr. McGuire serves as a General Partner of Polaris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a venture capital firm he co-founded in 1996. He currently serves on the 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David B. Singe</w:t>
      </w:r>
      <w:r>
        <w:rPr>
          <w:rFonts w:ascii="Arial" w:cs="Arial" w:eastAsia="Arial" w:hAnsi="Arial"/>
          <w:sz w:val="17"/>
          <w:szCs w:val="17"/>
          <w:color w:val="auto"/>
        </w:rPr>
        <w:t>r has served as a member of our board of directors since December 2017. Mr. Singer has held various positions at Maverick Ventures,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9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7320" w:type="dxa"/>
            <w:vAlign w:val="bottom"/>
          </w:tcPr>
          <w:p>
            <w:pPr>
              <w:ind w:left="1080"/>
              <w:spacing w:after="0"/>
              <w:rPr>
                <w:sz w:val="20"/>
                <w:szCs w:val="20"/>
                <w:color w:val="auto"/>
              </w:rPr>
            </w:pPr>
            <w:r>
              <w:rPr>
                <w:rFonts w:ascii="Arial" w:cs="Arial" w:eastAsia="Arial" w:hAnsi="Arial"/>
                <w:sz w:val="18"/>
                <w:szCs w:val="18"/>
                <w:color w:val="auto"/>
                <w:w w:val="92"/>
              </w:rPr>
              <w:t>, and their terms will expire at the annual meeting of stockholders to be held in 2021;</w:t>
            </w: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7320" w:type="dxa"/>
            <w:vAlign w:val="bottom"/>
          </w:tcPr>
          <w:p>
            <w:pPr>
              <w:ind w:left="1140"/>
              <w:spacing w:after="0"/>
              <w:rPr>
                <w:sz w:val="20"/>
                <w:szCs w:val="20"/>
                <w:color w:val="auto"/>
              </w:rPr>
            </w:pPr>
            <w:r>
              <w:rPr>
                <w:rFonts w:ascii="Arial" w:cs="Arial" w:eastAsia="Arial" w:hAnsi="Arial"/>
                <w:sz w:val="18"/>
                <w:szCs w:val="18"/>
                <w:color w:val="auto"/>
                <w:w w:val="91"/>
              </w:rPr>
              <w:t>, and their terms will expire at the annual meeting of stockholders to be held in 2022;</w:t>
            </w:r>
          </w:p>
        </w:tc>
      </w:tr>
      <w:tr>
        <w:trPr>
          <w:trHeight w:val="230"/>
        </w:trPr>
        <w:tc>
          <w:tcPr>
            <w:tcW w:w="18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and</w:t>
            </w:r>
          </w:p>
        </w:tc>
        <w:tc>
          <w:tcPr>
            <w:tcW w:w="7320" w:type="dxa"/>
            <w:vAlign w:val="bottom"/>
          </w:tcPr>
          <w:p>
            <w:pPr>
              <w:spacing w:after="0"/>
              <w:rPr>
                <w:sz w:val="20"/>
                <w:szCs w:val="20"/>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7320" w:type="dxa"/>
            <w:vAlign w:val="bottom"/>
          </w:tcPr>
          <w:p>
            <w:pPr>
              <w:ind w:left="1200"/>
              <w:spacing w:after="0"/>
              <w:rPr>
                <w:sz w:val="20"/>
                <w:szCs w:val="20"/>
                <w:color w:val="auto"/>
              </w:rPr>
            </w:pPr>
            <w:r>
              <w:rPr>
                <w:rFonts w:ascii="Arial" w:cs="Arial" w:eastAsia="Arial" w:hAnsi="Arial"/>
                <w:sz w:val="18"/>
                <w:szCs w:val="18"/>
                <w:color w:val="auto"/>
                <w:w w:val="90"/>
              </w:rPr>
              <w:t>, and their terms will expire at the annual meeting of stockholders to be held in 2023.</w:t>
            </w:r>
          </w:p>
        </w:tc>
      </w:tr>
    </w:tbl>
    <w:p>
      <w:pPr>
        <w:spacing w:after="0" w:line="148"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3" w:lineRule="exact"/>
        <w:rPr>
          <w:sz w:val="20"/>
          <w:szCs w:val="20"/>
          <w:color w:val="auto"/>
        </w:rPr>
      </w:pPr>
    </w:p>
    <w:p>
      <w:pPr>
        <w:ind w:right="1840" w:firstLine="324"/>
        <w:spacing w:after="0" w:line="438" w:lineRule="auto"/>
        <w:rPr>
          <w:sz w:val="20"/>
          <w:szCs w:val="20"/>
          <w:color w:val="auto"/>
        </w:rPr>
      </w:pPr>
      <w:r>
        <w:rPr>
          <w:rFonts w:ascii="Arial" w:cs="Arial" w:eastAsia="Arial" w:hAnsi="Arial"/>
          <w:sz w:val="18"/>
          <w:szCs w:val="18"/>
          <w:color w:val="auto"/>
        </w:rPr>
        <w:t xml:space="preserve">This classification of our board of directors may have the effect of delaying or preventing changes in control of our company.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jc w:val="both"/>
        <w:ind w:right="80" w:firstLine="324"/>
        <w:spacing w:after="0" w:line="274" w:lineRule="auto"/>
        <w:rPr>
          <w:sz w:val="20"/>
          <w:szCs w:val="20"/>
          <w:color w:val="auto"/>
        </w:rPr>
      </w:pPr>
      <w:r>
        <w:rPr>
          <w:rFonts w:ascii="Arial" w:cs="Arial" w:eastAsia="Arial" w:hAnsi="Arial"/>
          <w:sz w:val="17"/>
          <w:szCs w:val="17"/>
          <w:color w:val="auto"/>
        </w:rPr>
        <w:t>Upon the completion of this offering, we anticipate that our Class A common stock will be listed on the . Under the rules of , independent directors must comprise a majority of a listed company’s board of directors within one year of the completion of this offering. In addition, the</w:t>
      </w:r>
    </w:p>
    <w:p>
      <w:pPr>
        <w:ind w:right="140"/>
        <w:spacing w:after="0" w:line="281" w:lineRule="auto"/>
        <w:rPr>
          <w:sz w:val="20"/>
          <w:szCs w:val="20"/>
          <w:color w:val="auto"/>
        </w:rPr>
      </w:pPr>
      <w:r>
        <w:rPr>
          <w:rFonts w:ascii="Arial" w:cs="Arial" w:eastAsia="Arial" w:hAnsi="Arial"/>
          <w:sz w:val="16"/>
          <w:szCs w:val="16"/>
          <w:color w:val="auto"/>
        </w:rPr>
        <w:t>rules of require that, subject to specified exceptions, each member of a listed company’s audit, compensation and corporate governance and nominating committees be independent. Audit committee members and compensation committee members must also satisfy the independence criteria set</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forth in Rule 10A-3 and Rule 10C-1, respectively, under the Exchange Act. Under the rules of ,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ectPr>
          <w:pgSz w:w="11900" w:h="16838" w:orient="portrait"/>
          <w:cols w:equalWidth="0" w:num="1">
            <w:col w:w="11200"/>
          </w:cols>
          <w:pgMar w:left="320" w:top="1440" w:right="379" w:bottom="1440" w:gutter="0" w:footer="0" w:header="0"/>
        </w:sectPr>
      </w:pPr>
    </w:p>
    <w:p>
      <w:pPr>
        <w:spacing w:after="0" w:line="1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be considered to be independent for purposes of Rule 10A-3 and under the rules of may not, other than in his or her capacity as a member of the audit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a member of an audit committee of a listed company</w:t>
      </w:r>
    </w:p>
    <w:p>
      <w:pPr>
        <w:spacing w:after="0" w:line="493" w:lineRule="exact"/>
        <w:rPr>
          <w:sz w:val="20"/>
          <w:szCs w:val="20"/>
          <w:color w:val="auto"/>
        </w:rPr>
      </w:pPr>
    </w:p>
    <w:p>
      <w:pPr>
        <w:sectPr>
          <w:pgSz w:w="11900" w:h="16838" w:orient="portrait"/>
          <w:cols w:equalWidth="0" w:num="2">
            <w:col w:w="6520" w:space="720"/>
            <w:col w:w="39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00"/>
          </w:cols>
          <w:pgMar w:left="320" w:top="1440" w:right="379" w:bottom="1440" w:gutter="0" w:footer="0" w:header="0"/>
          <w:type w:val="continuous"/>
        </w:sectPr>
      </w:pPr>
    </w:p>
    <w:bookmarkStart w:id="124" w:name="page125"/>
    <w:bookmarkEnd w:id="124"/>
    <w:p>
      <w:pPr>
        <w:spacing w:after="0" w:line="14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family relationships, our board of directors has determined that , representing a majority of our directors, do not have a relationship that would interfere with the exercise of independent judgment in carrying out the responsibilities of a director and that each of these directors is “independent”</w:t>
      </w:r>
    </w:p>
    <w:p>
      <w:pPr>
        <w:spacing w:after="0"/>
        <w:tabs>
          <w:tab w:leader="none" w:pos="3560" w:val="left"/>
        </w:tabs>
        <w:rPr>
          <w:sz w:val="20"/>
          <w:szCs w:val="20"/>
          <w:color w:val="auto"/>
        </w:rPr>
      </w:pPr>
      <w:r>
        <w:rPr>
          <w:rFonts w:ascii="Arial" w:cs="Arial" w:eastAsia="Arial" w:hAnsi="Arial"/>
          <w:sz w:val="18"/>
          <w:szCs w:val="18"/>
          <w:color w:val="auto"/>
        </w:rPr>
        <w:t>as that term is defined under the rules of</w:t>
      </w:r>
      <w:r>
        <w:rPr>
          <w:sz w:val="20"/>
          <w:szCs w:val="20"/>
          <w:color w:val="auto"/>
        </w:rPr>
        <w:tab/>
      </w:r>
      <w:r>
        <w:rPr>
          <w:rFonts w:ascii="Arial" w:cs="Arial" w:eastAsia="Arial" w:hAnsi="Arial"/>
          <w:sz w:val="13"/>
          <w:szCs w:val="13"/>
          <w:color w:val="auto"/>
        </w:rPr>
        <w:t>.</w:t>
      </w:r>
    </w:p>
    <w:p>
      <w:pPr>
        <w:spacing w:after="0" w:line="157"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ind w:left="340"/>
        <w:spacing w:after="0"/>
        <w:tabs>
          <w:tab w:leader="none" w:pos="4420" w:val="left"/>
          <w:tab w:leader="none" w:pos="5640" w:val="left"/>
          <w:tab w:leader="none" w:pos="9520" w:val="left"/>
        </w:tabs>
        <w:rPr>
          <w:sz w:val="20"/>
          <w:szCs w:val="20"/>
          <w:color w:val="auto"/>
        </w:rPr>
      </w:pPr>
      <w:r>
        <w:rPr>
          <w:rFonts w:ascii="Arial" w:cs="Arial" w:eastAsia="Arial" w:hAnsi="Arial"/>
          <w:sz w:val="18"/>
          <w:szCs w:val="18"/>
          <w:color w:val="auto"/>
        </w:rPr>
        <w:t>The members of our audit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 the chair of our audit committee. Each of</w:t>
      </w:r>
      <w:r>
        <w:rPr>
          <w:sz w:val="20"/>
          <w:szCs w:val="20"/>
          <w:color w:val="auto"/>
        </w:rPr>
        <w:tab/>
      </w:r>
      <w:r>
        <w:rPr>
          <w:rFonts w:ascii="Arial" w:cs="Arial" w:eastAsia="Arial" w:hAnsi="Arial"/>
          <w:sz w:val="16"/>
          <w:szCs w:val="16"/>
          <w:color w:val="auto"/>
        </w:rPr>
        <w:t>is an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financial expert, as that term is defined under the SEC rules implementing Section 407 of SOX, and possesses financial sophistication, as defined under the</w:t>
      </w:r>
    </w:p>
    <w:p>
      <w:pPr>
        <w:spacing w:after="0" w:line="3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rules of . Our audit committee oversees our corporate accounting and financial reporting process and assists our board of directors in monitoring our financial systems. Our audit committee will also:</w:t>
      </w:r>
    </w:p>
    <w:p>
      <w:pPr>
        <w:spacing w:after="0" w:line="13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which will satisfy the applicable rules</w:t>
      </w:r>
    </w:p>
    <w:p>
      <w:pPr>
        <w:spacing w:after="0" w:line="46"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of the SEC and the listing standards of</w:t>
      </w:r>
      <w:r>
        <w:rPr>
          <w:sz w:val="20"/>
          <w:szCs w:val="20"/>
          <w:color w:val="auto"/>
        </w:rPr>
        <w:tab/>
      </w:r>
      <w:r>
        <w:rPr>
          <w:rFonts w:ascii="Arial" w:cs="Arial" w:eastAsia="Arial" w:hAnsi="Arial"/>
          <w:sz w:val="13"/>
          <w:szCs w:val="13"/>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left="340"/>
        <w:spacing w:after="0"/>
        <w:tabs>
          <w:tab w:leader="none" w:pos="4780" w:val="left"/>
          <w:tab w:leader="none" w:pos="586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 of our compensation committee. Our compensation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oversees our compensation policies, plans and benefits programs. The compensation committee will also:</w:t>
      </w:r>
    </w:p>
    <w:p>
      <w:pPr>
        <w:spacing w:after="0" w:line="15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w:t>
      </w:r>
    </w:p>
    <w:p>
      <w:pPr>
        <w:spacing w:after="0" w:line="35"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applicable rules of the SEC and the listing standards of</w:t>
      </w:r>
      <w:r>
        <w:rPr>
          <w:sz w:val="20"/>
          <w:szCs w:val="20"/>
          <w:color w:val="auto"/>
        </w:rPr>
        <w:tab/>
      </w:r>
      <w:r>
        <w:rPr>
          <w:rFonts w:ascii="Arial" w:cs="Arial" w:eastAsia="Arial" w:hAnsi="Arial"/>
          <w:sz w:val="13"/>
          <w:szCs w:val="13"/>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ectPr>
          <w:pgSz w:w="11900" w:h="16838" w:orient="portrait"/>
          <w:cols w:equalWidth="0" w:num="1">
            <w:col w:w="11220"/>
          </w:cols>
          <w:pgMar w:left="320" w:top="1440" w:right="35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members of our corporate governance and nominating committee 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is the chair of our corporate governance and</w:t>
      </w:r>
    </w:p>
    <w:p>
      <w:pPr>
        <w:spacing w:after="0" w:line="46" w:lineRule="exact"/>
        <w:rPr>
          <w:sz w:val="20"/>
          <w:szCs w:val="20"/>
          <w:color w:val="auto"/>
        </w:rPr>
      </w:pPr>
    </w:p>
    <w:p>
      <w:pPr>
        <w:sectPr>
          <w:pgSz w:w="11900" w:h="16838" w:orient="portrait"/>
          <w:cols w:equalWidth="0" w:num="3">
            <w:col w:w="5820" w:space="720"/>
            <w:col w:w="220" w:space="720"/>
            <w:col w:w="3740"/>
          </w:cols>
          <w:pgMar w:left="320" w:top="1440" w:right="359" w:bottom="1440" w:gutter="0" w:footer="0" w:header="0"/>
          <w:type w:val="continuous"/>
        </w:sectPr>
      </w:pPr>
    </w:p>
    <w:p>
      <w:pPr>
        <w:spacing w:after="0"/>
        <w:rPr>
          <w:sz w:val="20"/>
          <w:szCs w:val="20"/>
          <w:color w:val="auto"/>
        </w:rPr>
      </w:pPr>
      <w:r>
        <w:rPr>
          <w:rFonts w:ascii="Arial" w:cs="Arial" w:eastAsia="Arial" w:hAnsi="Arial"/>
          <w:sz w:val="16"/>
          <w:szCs w:val="16"/>
          <w:color w:val="auto"/>
        </w:rPr>
        <w:t>nominating committee. Our corporate governance and nominating committee</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20"/>
          </w:cols>
          <w:pgMar w:left="320" w:top="1440" w:right="359" w:bottom="1440" w:gutter="0" w:footer="0" w:header="0"/>
          <w:type w:val="continuous"/>
        </w:sectPr>
      </w:pPr>
    </w:p>
    <w:bookmarkStart w:id="126" w:name="page127"/>
    <w:bookmarkEnd w:id="126"/>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oversees and assists our board of directors in reviewing and recommending nominees for election as directors. Specifically, the corporate governance and nominating committee will:</w:t>
      </w:r>
    </w:p>
    <w:p>
      <w:pPr>
        <w:spacing w:after="0" w:line="116" w:lineRule="exact"/>
        <w:rPr>
          <w:sz w:val="20"/>
          <w:szCs w:val="20"/>
          <w:color w:val="auto"/>
        </w:rPr>
      </w:pPr>
    </w:p>
    <w:p>
      <w:pPr>
        <w:ind w:left="660" w:right="84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corporate governance and nominating committee will operate under a written charter, to be effective prior to the completion of this offering, which will satisfy the applicable rules of the SEC and the listing standards of .</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Our employee director, Dr. Farokhzad, did not receive any compensation for his service as a director for the year ended December 31, 2019. The compensation received by Dr. Farokhzad as an employee is set forth in the section titled “Executive Compensation—Summary Compensation Table.”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compensation of our non-employee directors for service as directors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 ($)</w:t>
            </w:r>
          </w:p>
        </w:tc>
      </w:tr>
      <w:tr>
        <w:trPr>
          <w:trHeight w:val="26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(3)</w:t>
            </w:r>
          </w:p>
        </w:tc>
        <w:tc>
          <w:tcPr>
            <w:tcW w:w="1580" w:type="dxa"/>
            <w:vAlign w:val="bottom"/>
          </w:tcPr>
          <w:p>
            <w:pPr>
              <w:jc w:val="right"/>
              <w:spacing w:after="0"/>
              <w:rPr>
                <w:sz w:val="20"/>
                <w:szCs w:val="20"/>
                <w:color w:val="auto"/>
              </w:rPr>
            </w:pPr>
            <w:r>
              <w:rPr>
                <w:rFonts w:ascii="Arial" w:cs="Arial" w:eastAsia="Arial" w:hAnsi="Arial"/>
                <w:sz w:val="18"/>
                <w:szCs w:val="18"/>
                <w:color w:val="auto"/>
              </w:rPr>
              <w:t>658,600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658,600</w:t>
            </w:r>
          </w:p>
        </w:tc>
      </w:tr>
      <w:tr>
        <w:trPr>
          <w:trHeight w:val="25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790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jc w:val="both"/>
        <w:ind w:left="340" w:right="200" w:hanging="332"/>
        <w:spacing w:after="0" w:line="241" w:lineRule="auto"/>
        <w:tabs>
          <w:tab w:leader="none" w:pos="3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grant-date fair value of the award as computed as of the grant date of each option awarded in fiscal 2019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2019:</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Number of Securities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 Exercise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vMerge w:val="continue"/>
          </w:tcPr>
          <w:p>
            <w:pPr>
              <w:spacing w:after="0"/>
              <w:rPr>
                <w:sz w:val="12"/>
                <w:szCs w:val="12"/>
                <w:color w:val="auto"/>
              </w:rPr>
            </w:pPr>
          </w:p>
        </w:tc>
        <w:tc>
          <w:tcPr>
            <w:tcW w:w="12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Option Expiration</w:t>
            </w: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Grant Date</w:t>
            </w:r>
          </w:p>
        </w:tc>
        <w:tc>
          <w:tcPr>
            <w:tcW w:w="16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Underlying Unvested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Per Share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40" w:type="dxa"/>
            <w:vAlign w:val="bottom"/>
            <w:vMerge w:val="continue"/>
          </w:tcPr>
          <w:p>
            <w:pPr>
              <w:spacing w:after="0"/>
              <w:rPr>
                <w:sz w:val="16"/>
                <w:szCs w:val="16"/>
                <w:color w:val="auto"/>
              </w:rPr>
            </w:pPr>
          </w:p>
        </w:tc>
        <w:tc>
          <w:tcPr>
            <w:tcW w:w="3120" w:type="dxa"/>
            <w:vAlign w:val="bottom"/>
            <w:vMerge w:val="continue"/>
          </w:tcPr>
          <w:p>
            <w:pPr>
              <w:spacing w:after="0"/>
              <w:rPr>
                <w:sz w:val="16"/>
                <w:szCs w:val="16"/>
                <w:color w:val="auto"/>
              </w:rPr>
            </w:pP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Stock Awards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David Hallal</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2/19/2018</w:t>
            </w:r>
          </w:p>
        </w:tc>
        <w:tc>
          <w:tcPr>
            <w:tcW w:w="860" w:type="dxa"/>
            <w:vAlign w:val="bottom"/>
          </w:tcPr>
          <w:p>
            <w:pPr>
              <w:jc w:val="right"/>
              <w:spacing w:after="0"/>
              <w:rPr>
                <w:sz w:val="20"/>
                <w:szCs w:val="20"/>
                <w:color w:val="auto"/>
              </w:rPr>
            </w:pPr>
            <w:r>
              <w:rPr>
                <w:rFonts w:ascii="Arial" w:cs="Arial" w:eastAsia="Arial" w:hAnsi="Arial"/>
                <w:sz w:val="18"/>
                <w:szCs w:val="18"/>
                <w:color w:val="auto"/>
              </w:rPr>
              <w:t>192,031</w:t>
            </w:r>
          </w:p>
        </w:tc>
      </w:tr>
      <w:tr>
        <w:trPr>
          <w:trHeight w:val="270"/>
        </w:trPr>
        <w:tc>
          <w:tcPr>
            <w:tcW w:w="3360" w:type="dxa"/>
            <w:vAlign w:val="bottom"/>
          </w:tcPr>
          <w:p>
            <w:pPr>
              <w:spacing w:after="0"/>
              <w:rPr>
                <w:sz w:val="23"/>
                <w:szCs w:val="23"/>
                <w:color w:val="auto"/>
              </w:rPr>
            </w:pP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5/18/2018</w:t>
            </w:r>
          </w:p>
        </w:tc>
        <w:tc>
          <w:tcPr>
            <w:tcW w:w="860" w:type="dxa"/>
            <w:vAlign w:val="bottom"/>
          </w:tcPr>
          <w:p>
            <w:pPr>
              <w:jc w:val="right"/>
              <w:spacing w:after="0"/>
              <w:rPr>
                <w:sz w:val="20"/>
                <w:szCs w:val="20"/>
                <w:color w:val="auto"/>
              </w:rPr>
            </w:pPr>
            <w:r>
              <w:rPr>
                <w:rFonts w:ascii="Arial" w:cs="Arial" w:eastAsia="Arial" w:hAnsi="Arial"/>
                <w:sz w:val="18"/>
                <w:szCs w:val="18"/>
                <w:color w:val="auto"/>
              </w:rPr>
              <w:t>125,235</w:t>
            </w: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580" w:val="left"/>
          <w:tab w:leader="none" w:pos="2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580" w:val="left"/>
          <w:tab w:leader="none" w:pos="2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580" w:val="left"/>
          <w:tab w:leader="none" w:pos="2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sectPr>
          <w:pgSz w:w="11900" w:h="16838" w:orient="portrait"/>
          <w:cols w:equalWidth="0" w:num="3">
            <w:col w:w="6800" w:space="40"/>
            <w:col w:w="500" w:space="720"/>
            <w:col w:w="31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119,792</w:t>
            </w:r>
          </w:p>
        </w:tc>
        <w:tc>
          <w:tcPr>
            <w:tcW w:w="540" w:type="dxa"/>
            <w:vAlign w:val="bottom"/>
            <w:shd w:val="clear" w:color="auto" w:fill="CCEEFF"/>
          </w:tcPr>
          <w:p>
            <w:pPr>
              <w:ind w:left="40"/>
              <w:spacing w:after="0"/>
              <w:rPr>
                <w:sz w:val="20"/>
                <w:szCs w:val="20"/>
                <w:color w:val="auto"/>
              </w:rPr>
            </w:pPr>
            <w:r>
              <w:rPr>
                <w:rFonts w:ascii="Arial" w:cs="Arial" w:eastAsia="Arial" w:hAnsi="Arial"/>
                <w:sz w:val="12"/>
                <w:szCs w:val="12"/>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63"/>
        </w:trPr>
        <w:tc>
          <w:tcPr>
            <w:tcW w:w="43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2/19/2018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47,598</w:t>
            </w:r>
          </w:p>
        </w:tc>
        <w:tc>
          <w:tcPr>
            <w:tcW w:w="540" w:type="dxa"/>
            <w:vAlign w:val="bottom"/>
            <w:shd w:val="clear" w:color="auto" w:fill="CCEEFF"/>
          </w:tcPr>
          <w:p>
            <w:pPr>
              <w:ind w:left="40"/>
              <w:spacing w:after="0"/>
              <w:rPr>
                <w:sz w:val="20"/>
                <w:szCs w:val="20"/>
                <w:color w:val="auto"/>
              </w:rPr>
            </w:pPr>
            <w:r>
              <w:rPr>
                <w:rFonts w:ascii="Arial" w:cs="Arial" w:eastAsia="Arial" w:hAnsi="Arial"/>
                <w:sz w:val="12"/>
                <w:szCs w:val="12"/>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7"/>
        </w:trPr>
        <w:tc>
          <w:tcPr>
            <w:tcW w:w="4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5/18/2018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222,639</w:t>
            </w: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(6)</w:t>
            </w:r>
          </w:p>
        </w:tc>
        <w:tc>
          <w:tcPr>
            <w:tcW w:w="11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0.02</w:t>
            </w:r>
          </w:p>
        </w:tc>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89"/>
              </w:rPr>
              <w:t>5/17/2028</w:t>
            </w: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(7)</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6/27/2019</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644,927</w:t>
            </w:r>
          </w:p>
        </w:tc>
        <w:tc>
          <w:tcPr>
            <w:tcW w:w="760" w:type="dxa"/>
            <w:vAlign w:val="bottom"/>
          </w:tcPr>
          <w:p>
            <w:pPr>
              <w:ind w:left="40"/>
              <w:spacing w:after="0"/>
              <w:rPr>
                <w:sz w:val="20"/>
                <w:szCs w:val="20"/>
                <w:color w:val="auto"/>
              </w:rPr>
            </w:pPr>
            <w:r>
              <w:rPr>
                <w:rFonts w:ascii="Arial" w:cs="Arial" w:eastAsia="Arial" w:hAnsi="Arial"/>
                <w:sz w:val="12"/>
                <w:szCs w:val="12"/>
                <w:color w:val="auto"/>
              </w:rPr>
              <w:t>(8)</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1"/>
              </w:rPr>
              <w:t>1.03</w:t>
            </w:r>
          </w:p>
        </w:tc>
        <w:tc>
          <w:tcPr>
            <w:tcW w:w="1040" w:type="dxa"/>
            <w:vAlign w:val="bottom"/>
          </w:tcPr>
          <w:p>
            <w:pPr>
              <w:ind w:left="300"/>
              <w:spacing w:after="0"/>
              <w:rPr>
                <w:sz w:val="20"/>
                <w:szCs w:val="20"/>
                <w:color w:val="auto"/>
              </w:rPr>
            </w:pPr>
            <w:r>
              <w:rPr>
                <w:rFonts w:ascii="Arial" w:cs="Arial" w:eastAsia="Arial" w:hAnsi="Arial"/>
                <w:sz w:val="18"/>
                <w:szCs w:val="18"/>
                <w:color w:val="auto"/>
                <w:w w:val="89"/>
              </w:rPr>
              <w:t>6/26/2029</w:t>
            </w: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11/15/2017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130,209</w:t>
            </w:r>
          </w:p>
        </w:tc>
        <w:tc>
          <w:tcPr>
            <w:tcW w:w="540" w:type="dxa"/>
            <w:vAlign w:val="bottom"/>
            <w:shd w:val="clear" w:color="auto" w:fill="CCEEFF"/>
          </w:tcPr>
          <w:p>
            <w:pPr>
              <w:ind w:left="40"/>
              <w:spacing w:after="0"/>
              <w:rPr>
                <w:sz w:val="20"/>
                <w:szCs w:val="20"/>
                <w:color w:val="auto"/>
              </w:rPr>
            </w:pPr>
            <w:r>
              <w:rPr>
                <w:rFonts w:ascii="Arial" w:cs="Arial" w:eastAsia="Arial" w:hAnsi="Arial"/>
                <w:sz w:val="12"/>
                <w:szCs w:val="12"/>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2/19/2018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47,598</w:t>
            </w:r>
          </w:p>
        </w:tc>
        <w:tc>
          <w:tcPr>
            <w:tcW w:w="540" w:type="dxa"/>
            <w:vAlign w:val="bottom"/>
            <w:shd w:val="clear" w:color="auto" w:fill="CCEEFF"/>
          </w:tcPr>
          <w:p>
            <w:pPr>
              <w:ind w:left="40"/>
              <w:spacing w:after="0"/>
              <w:rPr>
                <w:sz w:val="20"/>
                <w:szCs w:val="20"/>
                <w:color w:val="auto"/>
              </w:rPr>
            </w:pPr>
            <w:r>
              <w:rPr>
                <w:rFonts w:ascii="Arial" w:cs="Arial" w:eastAsia="Arial" w:hAnsi="Arial"/>
                <w:sz w:val="12"/>
                <w:szCs w:val="12"/>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7"/>
        </w:trPr>
        <w:tc>
          <w:tcPr>
            <w:tcW w:w="4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5/18/2018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222,639</w:t>
            </w: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(11)</w:t>
            </w:r>
          </w:p>
        </w:tc>
        <w:tc>
          <w:tcPr>
            <w:tcW w:w="11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0.02</w:t>
            </w:r>
          </w:p>
        </w:tc>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89"/>
              </w:rPr>
              <w:t>5/17/2028</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__________________</w:t>
            </w: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23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25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22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 subject to continued service to the Company.</w:t>
      </w: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 subject to continued service to the Company.</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6, 2020 and 1/48th of the shares vest monthly thereafter, subject to continued service to the Company.</w:t>
      </w:r>
    </w:p>
    <w:p>
      <w:pPr>
        <w:ind w:left="340" w:right="14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ind w:left="340" w:right="180" w:hanging="332"/>
        <w:spacing w:after="0" w:line="241" w:lineRule="auto"/>
        <w:tabs>
          <w:tab w:leader="none" w:pos="337"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The shares were acquired pursuant to an early exercise provision and vest in 25 equal monthly installments beginning on January 31, 2020, subject to Mr. McGuire’s continued service to the Company.</w:t>
      </w:r>
    </w:p>
    <w:p>
      <w:pPr>
        <w:ind w:left="340" w:right="580" w:hanging="332"/>
        <w:spacing w:after="0" w:line="293" w:lineRule="auto"/>
        <w:tabs>
          <w:tab w:leader="none" w:pos="331"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13" w:lineRule="exact"/>
        <w:rPr>
          <w:sz w:val="20"/>
          <w:szCs w:val="20"/>
          <w:color w:val="auto"/>
        </w:rPr>
      </w:pPr>
    </w:p>
    <w:p>
      <w:pPr>
        <w:ind w:right="180" w:firstLine="324"/>
        <w:spacing w:after="0" w:line="438" w:lineRule="auto"/>
        <w:rPr>
          <w:sz w:val="20"/>
          <w:szCs w:val="20"/>
          <w:color w:val="auto"/>
        </w:rPr>
      </w:pPr>
      <w:r>
        <w:rPr>
          <w:rFonts w:ascii="Arial" w:cs="Arial" w:eastAsia="Arial" w:hAnsi="Arial"/>
          <w:sz w:val="18"/>
          <w:szCs w:val="18"/>
          <w:color w:val="auto"/>
        </w:rPr>
        <w:t xml:space="preserve">Following the completion of this offering, we expect to implement an annual cash and equity compensation program for our non-employee directors. </w:t>
      </w:r>
      <w:r>
        <w:rPr>
          <w:rFonts w:ascii="Arial" w:cs="Arial" w:eastAsia="Arial" w:hAnsi="Arial"/>
          <w:sz w:val="18"/>
          <w:szCs w:val="18"/>
          <w:b w:val="1"/>
          <w:bCs w:val="1"/>
          <w:color w:val="auto"/>
        </w:rPr>
        <w:t>Outside Director Compensation Policy</w:t>
      </w:r>
    </w:p>
    <w:p>
      <w:pPr>
        <w:spacing w:after="0" w:line="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3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provided to our non-employee directors. Based on the discussions with and assistance from the compensation consultant, prior to the completion of this offering, our board of directors intends to adopt, and we expect our stockholders will approve, an Outside Director Compensation Policy that will provide for certain compensation to our non-employee directors on and after the effective date of the registration statement of which this prospectus forms a part.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named executive officers for the year ended December 31, 2019, which consist of our principal executive officer and our only other executive officer for that year, are:</w:t>
      </w:r>
    </w:p>
    <w:p>
      <w:pPr>
        <w:spacing w:after="0" w:line="116"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Omid Farokhzad, M.D., our Chief Executive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Philip Ma, Ph.D., our Chief Business Officer and former 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5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Year</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Salary</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Bonus</w:t>
            </w: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00" w:type="dxa"/>
            <w:vAlign w:val="bottom"/>
            <w:vMerge w:val="continue"/>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Compensation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8"/>
                <w:szCs w:val="18"/>
                <w:color w:val="auto"/>
              </w:rPr>
              <w:t>Omid Farokhzad, M.D.</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421,011</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vMerge w:val="restart"/>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214,240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115,872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751,123</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Philip Ma, Ph.D.</w:t>
            </w:r>
            <w:r>
              <w:rPr>
                <w:rFonts w:ascii="Arial" w:cs="Arial" w:eastAsia="Arial" w:hAnsi="Arial"/>
                <w:sz w:val="20"/>
                <w:szCs w:val="20"/>
                <w:color w:val="auto"/>
                <w:vertAlign w:val="superscript"/>
              </w:rPr>
              <w:t>(1)</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342,071</w:t>
            </w:r>
          </w:p>
        </w:tc>
        <w:tc>
          <w:tcPr>
            <w:tcW w:w="100" w:type="dxa"/>
            <w:vAlign w:val="bottom"/>
          </w:tcPr>
          <w:p>
            <w:pPr>
              <w:spacing w:after="0"/>
              <w:rPr>
                <w:sz w:val="15"/>
                <w:szCs w:val="15"/>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15,014</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487,085</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Business Officer</w:t>
            </w: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60" w:hanging="352"/>
        <w:spacing w:after="0"/>
        <w:tabs>
          <w:tab w:leader="none" w:pos="3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Ma will be transitioning to PrognomIQ to serve as its full-time chief executive officer by the end of October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named executive officers as of December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of Shares or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Stock That Have Not</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9"/>
                <w:szCs w:val="9"/>
                <w:b w:val="1"/>
                <w:bCs w:val="1"/>
                <w:color w:val="auto"/>
              </w:rPr>
              <w:t>(1)</w:t>
            </w:r>
          </w:p>
        </w:tc>
        <w:tc>
          <w:tcPr>
            <w:tcW w:w="146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vMerge w:val="continue"/>
          </w:tcPr>
          <w:p>
            <w:pPr>
              <w:spacing w:after="0"/>
              <w:rPr>
                <w:sz w:val="12"/>
                <w:szCs w:val="12"/>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Unexercised Options</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Options (#)</w:t>
            </w:r>
          </w:p>
        </w:tc>
        <w:tc>
          <w:tcPr>
            <w:tcW w:w="11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Exercise Price</w:t>
            </w:r>
          </w:p>
        </w:tc>
        <w:tc>
          <w:tcPr>
            <w:tcW w:w="1120" w:type="dxa"/>
            <w:vAlign w:val="bottom"/>
            <w:gridSpan w:val="2"/>
            <w:vMerge w:val="continue"/>
          </w:tcPr>
          <w:p>
            <w:pPr>
              <w:spacing w:after="0"/>
              <w:rPr>
                <w:sz w:val="13"/>
                <w:szCs w:val="13"/>
                <w:color w:val="auto"/>
              </w:rPr>
            </w:pPr>
          </w:p>
        </w:tc>
        <w:tc>
          <w:tcPr>
            <w:tcW w:w="14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Units of Stock That</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Vested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Exercisable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Expiration Date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Have Not Vested (#)</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1200" w:type="dxa"/>
            <w:vAlign w:val="bottom"/>
            <w:gridSpan w:val="2"/>
            <w:vMerge w:val="restart"/>
            <w:shd w:val="clear" w:color="auto" w:fill="CCEEFF"/>
          </w:tcPr>
          <w:p>
            <w:pPr>
              <w:jc w:val="right"/>
              <w:ind w:right="362"/>
              <w:spacing w:after="0"/>
              <w:rPr>
                <w:sz w:val="20"/>
                <w:szCs w:val="20"/>
                <w:color w:val="auto"/>
              </w:rPr>
            </w:pPr>
            <w:r>
              <w:rPr>
                <w:rFonts w:ascii="Arial" w:cs="Arial" w:eastAsia="Arial" w:hAnsi="Arial"/>
                <w:sz w:val="16"/>
                <w:szCs w:val="16"/>
                <w:color w:val="auto"/>
              </w:rPr>
              <w:t>9/20/2017</w:t>
            </w:r>
          </w:p>
        </w:tc>
        <w:tc>
          <w:tcPr>
            <w:tcW w:w="8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787,500</w:t>
            </w:r>
          </w:p>
        </w:tc>
        <w:tc>
          <w:tcPr>
            <w:tcW w:w="0" w:type="dxa"/>
            <w:vAlign w:val="bottom"/>
          </w:tcPr>
          <w:p>
            <w:pPr>
              <w:spacing w:after="0"/>
              <w:rPr>
                <w:sz w:val="1"/>
                <w:szCs w:val="1"/>
                <w:color w:val="auto"/>
              </w:rPr>
            </w:pPr>
          </w:p>
        </w:tc>
      </w:tr>
      <w:tr>
        <w:trPr>
          <w:trHeight w:val="206"/>
        </w:trPr>
        <w:tc>
          <w:tcPr>
            <w:tcW w:w="20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62"/>
              <w:spacing w:after="0"/>
              <w:rPr>
                <w:sz w:val="20"/>
                <w:szCs w:val="20"/>
                <w:color w:val="auto"/>
              </w:rPr>
            </w:pPr>
            <w:r>
              <w:rPr>
                <w:rFonts w:ascii="Arial" w:cs="Arial" w:eastAsia="Arial" w:hAnsi="Arial"/>
                <w:sz w:val="16"/>
                <w:szCs w:val="16"/>
                <w:color w:val="auto"/>
                <w:w w:val="92"/>
              </w:rPr>
              <w:t>2/19/2018</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311,859</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6"/>
                <w:szCs w:val="16"/>
                <w:color w:val="auto"/>
              </w:rPr>
              <w:t>247,507</w:t>
            </w: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362"/>
              <w:spacing w:after="0"/>
              <w:rPr>
                <w:sz w:val="20"/>
                <w:szCs w:val="20"/>
                <w:color w:val="auto"/>
              </w:rPr>
            </w:pPr>
            <w:r>
              <w:rPr>
                <w:rFonts w:ascii="Arial" w:cs="Arial" w:eastAsia="Arial" w:hAnsi="Arial"/>
                <w:sz w:val="16"/>
                <w:szCs w:val="16"/>
                <w:color w:val="auto"/>
                <w:w w:val="92"/>
              </w:rPr>
              <w:t>5/18/2018</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5/17/2028</w:t>
            </w:r>
          </w:p>
        </w:tc>
        <w:tc>
          <w:tcPr>
            <w:tcW w:w="10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7"/>
              <w:spacing w:after="0"/>
              <w:rPr>
                <w:sz w:val="20"/>
                <w:szCs w:val="20"/>
                <w:color w:val="auto"/>
              </w:rPr>
            </w:pPr>
            <w:r>
              <w:rPr>
                <w:rFonts w:ascii="Arial" w:cs="Arial" w:eastAsia="Arial" w:hAnsi="Arial"/>
                <w:sz w:val="16"/>
                <w:szCs w:val="16"/>
                <w:color w:val="auto"/>
              </w:rPr>
              <w:t>1,113,195</w:t>
            </w: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vMerge w:val="restart"/>
          </w:tcPr>
          <w:p>
            <w:pPr>
              <w:ind w:left="20"/>
              <w:spacing w:after="0"/>
              <w:rPr>
                <w:sz w:val="20"/>
                <w:szCs w:val="20"/>
                <w:color w:val="auto"/>
              </w:rPr>
            </w:pPr>
            <w:r>
              <w:rPr>
                <w:rFonts w:ascii="Arial" w:cs="Arial" w:eastAsia="Arial" w:hAnsi="Arial"/>
                <w:sz w:val="16"/>
                <w:szCs w:val="16"/>
                <w:color w:val="auto"/>
              </w:rPr>
              <w:t>Philip Ma, Ph.D.</w:t>
            </w:r>
          </w:p>
        </w:tc>
        <w:tc>
          <w:tcPr>
            <w:tcW w:w="1200" w:type="dxa"/>
            <w:vAlign w:val="bottom"/>
            <w:gridSpan w:val="2"/>
            <w:vMerge w:val="restart"/>
          </w:tcPr>
          <w:p>
            <w:pPr>
              <w:jc w:val="right"/>
              <w:ind w:right="362"/>
              <w:spacing w:after="0"/>
              <w:rPr>
                <w:sz w:val="20"/>
                <w:szCs w:val="20"/>
                <w:color w:val="auto"/>
              </w:rPr>
            </w:pPr>
            <w:r>
              <w:rPr>
                <w:rFonts w:ascii="Arial" w:cs="Arial" w:eastAsia="Arial" w:hAnsi="Arial"/>
                <w:sz w:val="16"/>
                <w:szCs w:val="16"/>
                <w:color w:val="auto"/>
              </w:rPr>
              <w:t>9/20/2017</w:t>
            </w:r>
          </w:p>
        </w:tc>
        <w:tc>
          <w:tcPr>
            <w:tcW w:w="80" w:type="dxa"/>
            <w:vAlign w:val="bottom"/>
          </w:tcPr>
          <w:p>
            <w:pPr>
              <w:spacing w:after="0"/>
              <w:rPr>
                <w:sz w:val="10"/>
                <w:szCs w:val="10"/>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10"/>
                <w:szCs w:val="10"/>
                <w:color w:val="auto"/>
              </w:rPr>
            </w:pPr>
          </w:p>
        </w:tc>
        <w:tc>
          <w:tcPr>
            <w:tcW w:w="1420" w:type="dxa"/>
            <w:vAlign w:val="bottom"/>
            <w:vMerge w:val="restart"/>
          </w:tcPr>
          <w:p>
            <w:pPr>
              <w:jc w:val="right"/>
              <w:ind w:right="3"/>
              <w:spacing w:after="0"/>
              <w:rPr>
                <w:sz w:val="20"/>
                <w:szCs w:val="20"/>
                <w:color w:val="auto"/>
              </w:rPr>
            </w:pPr>
            <w:r>
              <w:rPr>
                <w:rFonts w:ascii="Arial" w:cs="Arial" w:eastAsia="Arial" w:hAnsi="Arial"/>
                <w:sz w:val="16"/>
                <w:szCs w:val="16"/>
                <w:color w:val="auto"/>
              </w:rPr>
              <w:t>236,250</w:t>
            </w:r>
          </w:p>
        </w:tc>
        <w:tc>
          <w:tcPr>
            <w:tcW w:w="0" w:type="dxa"/>
            <w:vAlign w:val="bottom"/>
          </w:tcPr>
          <w:p>
            <w:pPr>
              <w:spacing w:after="0"/>
              <w:rPr>
                <w:sz w:val="1"/>
                <w:szCs w:val="1"/>
                <w:color w:val="auto"/>
              </w:rPr>
            </w:pPr>
          </w:p>
        </w:tc>
      </w:tr>
      <w:tr>
        <w:trPr>
          <w:trHeight w:val="206"/>
        </w:trPr>
        <w:tc>
          <w:tcPr>
            <w:tcW w:w="20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80" w:type="dxa"/>
            <w:vAlign w:val="bottom"/>
          </w:tcPr>
          <w:p>
            <w:pPr>
              <w:jc w:val="right"/>
              <w:ind w:right="330"/>
              <w:spacing w:after="0"/>
              <w:rPr>
                <w:sz w:val="20"/>
                <w:szCs w:val="20"/>
                <w:color w:val="auto"/>
              </w:rPr>
            </w:pPr>
            <w:r>
              <w:rPr>
                <w:rFonts w:ascii="Arial" w:cs="Arial" w:eastAsia="Arial" w:hAnsi="Arial"/>
                <w:sz w:val="16"/>
                <w:szCs w:val="16"/>
                <w:color w:val="auto"/>
              </w:rPr>
              <w:t>187,500</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1200" w:type="dxa"/>
            <w:vAlign w:val="bottom"/>
            <w:gridSpan w:val="2"/>
            <w:vMerge w:val="restart"/>
          </w:tcPr>
          <w:p>
            <w:pPr>
              <w:jc w:val="right"/>
              <w:ind w:right="362"/>
              <w:spacing w:after="0"/>
              <w:rPr>
                <w:sz w:val="20"/>
                <w:szCs w:val="20"/>
                <w:color w:val="auto"/>
              </w:rPr>
            </w:pPr>
            <w:r>
              <w:rPr>
                <w:rFonts w:ascii="Arial" w:cs="Arial" w:eastAsia="Arial" w:hAnsi="Arial"/>
                <w:sz w:val="16"/>
                <w:szCs w:val="16"/>
                <w:color w:val="auto"/>
              </w:rPr>
              <w:t>2/19/2018</w:t>
            </w:r>
          </w:p>
        </w:tc>
        <w:tc>
          <w:tcPr>
            <w:tcW w:w="80" w:type="dxa"/>
            <w:vAlign w:val="bottom"/>
          </w:tcPr>
          <w:p>
            <w:pPr>
              <w:spacing w:after="0"/>
              <w:rPr>
                <w:sz w:val="11"/>
                <w:szCs w:val="11"/>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420" w:type="dxa"/>
            <w:vAlign w:val="bottom"/>
            <w:vMerge w:val="restart"/>
          </w:tcPr>
          <w:p>
            <w:pPr>
              <w:jc w:val="right"/>
              <w:ind w:right="3"/>
              <w:spacing w:after="0"/>
              <w:rPr>
                <w:sz w:val="20"/>
                <w:szCs w:val="20"/>
                <w:color w:val="auto"/>
              </w:rPr>
            </w:pPr>
            <w:r>
              <w:rPr>
                <w:rFonts w:ascii="Arial" w:cs="Arial" w:eastAsia="Arial" w:hAnsi="Arial"/>
                <w:sz w:val="16"/>
                <w:szCs w:val="16"/>
                <w:color w:val="auto"/>
              </w:rPr>
              <w:t>93,558</w:t>
            </w: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80" w:type="dxa"/>
            <w:vAlign w:val="bottom"/>
          </w:tcPr>
          <w:p>
            <w:pPr>
              <w:jc w:val="right"/>
              <w:ind w:right="330"/>
              <w:spacing w:after="0"/>
              <w:rPr>
                <w:sz w:val="20"/>
                <w:szCs w:val="20"/>
                <w:color w:val="auto"/>
              </w:rPr>
            </w:pPr>
            <w:r>
              <w:rPr>
                <w:rFonts w:ascii="Arial" w:cs="Arial" w:eastAsia="Arial" w:hAnsi="Arial"/>
                <w:sz w:val="16"/>
                <w:szCs w:val="16"/>
                <w:color w:val="auto"/>
              </w:rPr>
              <w:t>74,252</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1200" w:type="dxa"/>
            <w:vAlign w:val="bottom"/>
            <w:gridSpan w:val="2"/>
            <w:vMerge w:val="restart"/>
          </w:tcPr>
          <w:p>
            <w:pPr>
              <w:jc w:val="right"/>
              <w:ind w:right="362"/>
              <w:spacing w:after="0"/>
              <w:rPr>
                <w:sz w:val="20"/>
                <w:szCs w:val="20"/>
                <w:color w:val="auto"/>
              </w:rPr>
            </w:pPr>
            <w:r>
              <w:rPr>
                <w:rFonts w:ascii="Arial" w:cs="Arial" w:eastAsia="Arial" w:hAnsi="Arial"/>
                <w:sz w:val="16"/>
                <w:szCs w:val="16"/>
                <w:color w:val="auto"/>
              </w:rPr>
              <w:t>5/18/2018</w:t>
            </w:r>
          </w:p>
        </w:tc>
        <w:tc>
          <w:tcPr>
            <w:tcW w:w="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5/17/2028</w:t>
            </w:r>
          </w:p>
        </w:tc>
        <w:tc>
          <w:tcPr>
            <w:tcW w:w="100" w:type="dxa"/>
            <w:vAlign w:val="bottom"/>
          </w:tcPr>
          <w:p>
            <w:pPr>
              <w:spacing w:after="0"/>
              <w:rPr>
                <w:sz w:val="11"/>
                <w:szCs w:val="11"/>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27"/>
              <w:spacing w:after="0"/>
              <w:rPr>
                <w:sz w:val="20"/>
                <w:szCs w:val="20"/>
                <w:color w:val="auto"/>
              </w:rPr>
            </w:pPr>
            <w:r>
              <w:rPr>
                <w:rFonts w:ascii="Arial" w:cs="Arial" w:eastAsia="Arial" w:hAnsi="Arial"/>
                <w:sz w:val="16"/>
                <w:szCs w:val="16"/>
                <w:color w:val="auto"/>
              </w:rPr>
              <w:t>333,959</w:t>
            </w: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4"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2017 Plan.</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3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$1.26 as of December 31, 2019 (the determination of the fair market value by our board of directors as of the most proximate date) multiplied by the amount shown in the column for the number of shares or units that have not vested.</w:t>
      </w: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24 equal monthly installments beginning on January 20,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26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220" w:hanging="332"/>
        <w:spacing w:after="0" w:line="255" w:lineRule="auto"/>
        <w:tabs>
          <w:tab w:leader="none" w:pos="33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 Omid Farokhzad</w:t>
      </w:r>
    </w:p>
    <w:p>
      <w:pPr>
        <w:spacing w:after="0" w:line="171"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Prior to the completion of this offering, we intend to enter into a confirmatory employment letter with Dr. Farokhzad, our chief executive officer. The confirmatory employment letter will have no specific term and will provide that Dr. Farokhzad is an at-will employee. Dr. Farokhzad’s current annual base salary is $426,500 and he is eligible for an annual target cash incentive bonus for our fiscal year 2020 equal to 50% of his annual base salary.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Prior to the completion of this offering, our board of directors intends to adopt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include, without limitation, goals related to .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3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2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administrator of our Executive Incentive Compensation Plan will have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Prior to the completion of this offering, our board of directors intends to adopt, and we expect our stockholders will approve, our 2020 Equity Incentive Plan or, the 2020 Plan. We expect that the 2020 Plan will be effective on the business day immediately before the effective date of our registration statement of which this prospectus forms a part. Our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 total of shares of our Class A common stock will be reserved for issuance pursuant to our 2020 Plan. In addition, the shares reserved for issuance under our 2020 Plan will include shares of our Class A common stock subject to awards granted under our 2020 RSU Equity Incentive Plan or 2017 Stock Incentive Plan (each, a Prior Plan) that, on or after the date the applicable Prior Plan is terminated, are terminated, canceled, expire or otherwise terminate without having been exercised in full or are forfeited to or repurchased by us (provided that the maximum number of shares that may be added to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2020 Plan pursuant to this sentence is shares). The number of shares available for issuance under our 2020 Plan also will include an annual increase, or the evergreen feature, on the first day of each of our fiscal years for a period of ten years, beginning with our fiscal year 2021, equal to the least of:</w:t>
      </w:r>
    </w:p>
    <w:p>
      <w:pPr>
        <w:spacing w:after="0" w:line="136" w:lineRule="exact"/>
        <w:rPr>
          <w:sz w:val="20"/>
          <w:szCs w:val="20"/>
          <w:color w:val="auto"/>
        </w:rPr>
      </w:pPr>
    </w:p>
    <w:p>
      <w:pPr>
        <w:ind w:left="1380" w:hanging="1048"/>
        <w:spacing w:after="0"/>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w:t>
      </w:r>
    </w:p>
    <w:p>
      <w:pPr>
        <w:spacing w:after="0" w:line="171" w:lineRule="exact"/>
        <w:rPr>
          <w:rFonts w:ascii="Arial" w:cs="Arial" w:eastAsia="Arial" w:hAnsi="Arial"/>
          <w:sz w:val="18"/>
          <w:szCs w:val="18"/>
          <w:color w:val="auto"/>
        </w:rPr>
      </w:pPr>
    </w:p>
    <w:p>
      <w:pPr>
        <w:ind w:left="1380" w:hanging="1048"/>
        <w:spacing w:after="0"/>
        <w:tabs>
          <w:tab w:leader="none" w:pos="13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percent (   %) of the outstanding shares of all classes of our common stock as of the last day of the immediately preceding fiscal year;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or one or more committees appointed by our board of directors will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Stock options may be granted under our 2020 Plan. The exercise price of options granted under our 2020 Plan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will be no less than 100% of the fair market value per share on the date of grant.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Restricted stock may be granted under our 2020 Plan. Restricted stock awards (RSAs) are grants of shares of our Class A common stock that may have vesting requirements under any such terms and conditions established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Shares of restricted stock that do not vest are subject to our right of repurchase or forfeiture.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Directors</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All outside (non-employee) directors will be eligible to receive all types of awards (except for incentive stock options) under our 2020 Plan. Prior to the completion of this offering, we intend to implement a formal Outside Director Compensation Policy pursuant to which our outside directors will be eligible to receive equity awards under our 2020 Plan. Our 2020 Plan will provide that in any given fiscal year, no outside director may be granted awards (the value of which will be based on their grant date fair value) under our 2020 Plan and be provided any other compensation (including without limitation</w:t>
      </w:r>
    </w:p>
    <w:p>
      <w:pPr>
        <w:spacing w:after="0" w:line="1" w:lineRule="exact"/>
        <w:rPr>
          <w:sz w:val="20"/>
          <w:szCs w:val="20"/>
          <w:color w:val="auto"/>
        </w:rPr>
      </w:pPr>
    </w:p>
    <w:p>
      <w:pPr>
        <w:jc w:val="both"/>
        <w:ind w:right="280"/>
        <w:spacing w:after="0" w:line="265" w:lineRule="auto"/>
        <w:rPr>
          <w:sz w:val="20"/>
          <w:szCs w:val="20"/>
          <w:color w:val="auto"/>
        </w:rPr>
      </w:pPr>
      <w:r>
        <w:rPr>
          <w:rFonts w:ascii="Arial" w:cs="Arial" w:eastAsia="Arial" w:hAnsi="Arial"/>
          <w:sz w:val="17"/>
          <w:szCs w:val="17"/>
          <w:color w:val="auto"/>
        </w:rPr>
        <w:t>any cash retainers and fees) that in the aggregate exceed $ , provided that in the fiscal year of the individual’s initial service as a non-employee director, such amount is increased to $ . The grant date fair values of awards granted under our 2020 Plan will be determined according to U.S.</w:t>
      </w:r>
    </w:p>
    <w:p>
      <w:pPr>
        <w:ind w:right="220"/>
        <w:spacing w:after="0" w:line="253" w:lineRule="auto"/>
        <w:rPr>
          <w:sz w:val="20"/>
          <w:szCs w:val="20"/>
          <w:color w:val="auto"/>
        </w:rPr>
      </w:pPr>
      <w:r>
        <w:rPr>
          <w:rFonts w:ascii="Arial" w:cs="Arial" w:eastAsia="Arial" w:hAnsi="Arial"/>
          <w:sz w:val="18"/>
          <w:szCs w:val="18"/>
          <w:color w:val="auto"/>
        </w:rPr>
        <w:t>Generally Accepted Accounting Principles. Any awards or other compensation provided to an individual for his or her services as an employee or a consultant (other than an outside director), or before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440" w:right="379" w:bottom="1440" w:gutter="0" w:footer="0" w:header="0"/>
        </w:sectPr>
      </w:pPr>
    </w:p>
    <w:bookmarkStart w:id="134" w:name="page135"/>
    <w:bookmarkEnd w:id="134"/>
    <w:p>
      <w:pPr>
        <w:spacing w:after="0" w:line="14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during his or her lifetime. If the administrator makes an award transferable, such award will contain such additional terms and conditions as the administrator deems appropriate.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until terminated in accordance with its terms, provided that the evergreen feature of our 2020 Plan will have a term of 10 years from the earlier of approval of the 2020 Plan by our board of directors or by our stockholders. Additionally, no incentive stock options may be granted after 10 years from the earlier of approval of the 2020 Plan by our board of directors or by our stockholders.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RSU Equity Incentive Plan</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2020 RSU Equity Incentive Plan, or RSU Plan, was adopted by our board of directors in April 2020, and was most recently amended and restated in July 2020. Our stockholders last approved our 2020 Plan in August 2020. It is expected that as of one business day before the effectiveness of the registration statement of which this prospectus forms a part, our RSU Plan will be terminated and we will not grant any additional awards under our RSU Plan thereafter. However, our RSU Plan will continue to govern the terms and conditions of the outstanding awards previously granted under our RSU Plan.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RSU Plan allows us to grant restricted stock units to employees, directors, officers and consultants of ours and any parent or subsidiary of ours.</w:t>
      </w:r>
    </w:p>
    <w:p>
      <w:pPr>
        <w:spacing w:after="0" w:line="19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As of September 1, 2020, an aggregate of 717,232 shares of our Class A common stock is reserved for issuance under our RSU Plan. As of September 1, 2020, restricted stock unit awards covering an aggregate of 717,232 shares of our Class A common stock were outstanding under our RSU Plan.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may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 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Restricted stock units may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may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board of directors has the authority to amend, suspend or terminate our RSU Plan, provided such action does not materially impair the rights of any participant unless mutually agreed otherwise. Unless sooner terminated by our board of directors, the RSU Plan will continue in effect for a term of ten</w:t>
      </w:r>
    </w:p>
    <w:p>
      <w:pPr>
        <w:ind w:right="60" w:firstLine="8"/>
        <w:spacing w:after="0" w:line="253" w:lineRule="auto"/>
        <w:tabs>
          <w:tab w:leader="none" w:pos="3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years from the later of (a) the effective date of the RSU Plan in April 2020, or (b) the earlier of the most recent board of directors or stockholder approval of an increase in the number of shares reserved for issuance under the RSU Plan. As noted above, it is expected that as of one business day before the effectiveness of the registration statement of which this prospectus forms a part, our RSU Plan will be terminated and we will not grant any additional awards under our RSU Plan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2017 Stock Incentive Plan, or 2017 Plan, originally was adopted by our board of directors in September 2017 and was most recently amended and restated in May 2020. Our stockholders last approved our 2017 Plan in May 2020. It is expected that as of one business day before the effectiveness of the registration statement of which this prospectus forms a part, our 2017 Plan will be terminated and we will not grant any additional awards under our 2017 Plan thereafter. However, our 2017 Plan will continue to govern the terms and conditions of the outstanding awards previously granted under our 2017 Plan.</w:t>
      </w:r>
    </w:p>
    <w:p>
      <w:pPr>
        <w:spacing w:after="0" w:line="13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2017 Plan allows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30"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As of December 31, 2019, an aggregate of 19,442,199 shares of our Class A common stock, is reserved for issuance under our 2017 Plan. As of December 31, 2019, awards outstanding under our 2017 Plan consisted of stock options to purchase an aggregate of 4,656,931 shares of our Class A common stock and no RSAs .</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authorize the issuance of restricted stock grant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The administrator’s construction and interpretation of the terms and provisions of our 2017 Plan is final and conclusive.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Employees, officers, directors and consultants or advisors of ours or our parent or subsidiary companies are eligible to receive awards. Only our employees or employees of our parent or subsidiary companies are eligible to receive incentive stock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our outstanding stock,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our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our board of directors.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Stock Options</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reserved for issuance under the 2017 Plan, the number and kind of shares or other securities subject to any then outstanding stock options, and the price of shares covered by each outstanding stock option. Except as 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Transactions</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Class A common stock subject to outstanding vested stock options,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or other property may be held in escrow on such terms as the administrator may direct. The administrator need not take the same action with respect to all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board of directors may amend or terminate our 2017 Plan at any time. Amendments to our 2017 Plan not requiring shareholder approval will become effective when adopted by our board of directors. Amendments requiring shareholder approval will become effective when adopted by our board of directors, but if shareholder approval is not obtained within twelve months of such adoption, any incentive stock options granted pursuant to such amendment will be deemed to be non-statutory options, provided that such stock options are authorized by our 2017 Plan. Unless sooner terminated by action of our board of directors, the 2017 Plan will terminate upon the close of business on the day next preceding the tenth anniversary of the date of its adoption by our board of directors. As noted above, it is expected that as of one business day before the effectiveness of the registration statement of which this prospectus forms a part, our 2017 Plan will be terminated and we will not grant any additional awards under our 2017 Plan thereafter.</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Plan Sales</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130"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2"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We have non-exclusively licensed our patents and patent applications to PrognomIQ for use in the field of human diagnostics. Pursuant to our agreement with PrognomIQ, we also assigned a patent application related to lung cancer biomarkers to PrognomIQ. As part of the agreement, we also intend to grant PrognomIQ a sublicense to use the BWH patents and patent applications.</w:t>
      </w:r>
    </w:p>
    <w:p>
      <w:pPr>
        <w:spacing w:after="0" w:line="13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Philip Ma, Ph.D., our co-Founder and Chief Business Officer, is transitioning to the role of Chief Executive Officer of PrognomIQ. We intend to enter a consulting agreement with Dr. Ma for a period of twelve months. Our Chief Executive Officer and Chair of our board of directors, Omid Farokhzad, M.D., is the Chair of PrognomIQ’s board of directors.</w:t>
      </w:r>
    </w:p>
    <w:p>
      <w:pPr>
        <w:spacing w:after="0" w:line="13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presents the number of shares distributed and equity awards granted in connection with the PrognomIQ transaction to our directors, executive officers and 5% stockholders.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Investor</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A Common Shares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Class B Common Shares</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Preferred Shares</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Hallal</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892,776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Emerson Collective Investments, LLC</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5,326,807</w:t>
            </w:r>
          </w:p>
        </w:tc>
      </w:tr>
      <w:tr>
        <w:trPr>
          <w:trHeight w:val="27"/>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10,772,174</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Entities affiliated with Fidelity</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6,666,666</w:t>
            </w:r>
          </w:p>
        </w:tc>
      </w:tr>
      <w:tr>
        <w:trPr>
          <w:trHeight w:val="27"/>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11,396,607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5,169,230</w:t>
            </w:r>
          </w:p>
        </w:tc>
      </w:tr>
      <w:tr>
        <w:trPr>
          <w:trHeight w:val="27"/>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10,808,953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Omid Farokhzad, M.D. and affiliated entities</w:t>
            </w:r>
          </w:p>
        </w:tc>
        <w:tc>
          <w:tcPr>
            <w:tcW w:w="2680" w:type="dxa"/>
            <w:vAlign w:val="bottom"/>
          </w:tcPr>
          <w:p>
            <w:pPr>
              <w:jc w:val="right"/>
              <w:spacing w:after="0"/>
              <w:rPr>
                <w:sz w:val="20"/>
                <w:szCs w:val="20"/>
                <w:color w:val="auto"/>
              </w:rPr>
            </w:pPr>
            <w:r>
              <w:rPr>
                <w:rFonts w:ascii="Arial" w:cs="Arial" w:eastAsia="Arial" w:hAnsi="Arial"/>
                <w:sz w:val="18"/>
                <w:szCs w:val="18"/>
                <w:color w:val="auto"/>
              </w:rPr>
              <w:t>5,918,990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220,240</w:t>
            </w:r>
          </w:p>
        </w:tc>
      </w:tr>
      <w:tr>
        <w:trPr>
          <w:trHeight w:val="27"/>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 Ma, Ph.D. and affiliated entity</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2,152,360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220,240</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Robert Langer, Sc.D.</w:t>
            </w:r>
          </w:p>
        </w:tc>
        <w:tc>
          <w:tcPr>
            <w:tcW w:w="2680" w:type="dxa"/>
            <w:vAlign w:val="bottom"/>
          </w:tcPr>
          <w:p>
            <w:pPr>
              <w:jc w:val="right"/>
              <w:spacing w:after="0"/>
              <w:rPr>
                <w:sz w:val="20"/>
                <w:szCs w:val="20"/>
                <w:color w:val="auto"/>
              </w:rPr>
            </w:pPr>
            <w:r>
              <w:rPr>
                <w:rFonts w:ascii="Arial" w:cs="Arial" w:eastAsia="Arial" w:hAnsi="Arial"/>
                <w:sz w:val="18"/>
                <w:szCs w:val="18"/>
                <w:color w:val="auto"/>
              </w:rPr>
              <w:t>1,042,150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440,480</w:t>
            </w:r>
          </w:p>
        </w:tc>
      </w:tr>
      <w:tr>
        <w:trPr>
          <w:trHeight w:val="27"/>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 and affiliated entity</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907,031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r>
      <w:tr>
        <w:trPr>
          <w:trHeight w:val="27"/>
        </w:trPr>
        <w:tc>
          <w:tcPr>
            <w:tcW w:w="51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D-1 Convertible Preferred Stock Transaction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2020, we issued and sold an aggregate of 14,666,662 shares of our Series D-1 convertible preferred stock at a purchase price of $3.75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D-1 Convertible</w:t>
            </w:r>
          </w:p>
        </w:tc>
        <w:tc>
          <w:tcPr>
            <w:tcW w:w="140" w:type="dxa"/>
            <w:vAlign w:val="bottom"/>
          </w:tcPr>
          <w:p>
            <w:pPr>
              <w:spacing w:after="0"/>
              <w:rPr>
                <w:sz w:val="14"/>
                <w:szCs w:val="14"/>
                <w:color w:val="auto"/>
              </w:rPr>
            </w:pPr>
          </w:p>
        </w:tc>
        <w:tc>
          <w:tcPr>
            <w:tcW w:w="1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373,333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c>
          <w:tcPr>
            <w:tcW w:w="0" w:type="dxa"/>
            <w:vAlign w:val="bottom"/>
          </w:tcPr>
          <w:p>
            <w:pPr>
              <w:spacing w:after="0"/>
              <w:rPr>
                <w:sz w:val="1"/>
                <w:szCs w:val="1"/>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40" w:type="dxa"/>
            <w:vAlign w:val="bottom"/>
          </w:tcPr>
          <w:p>
            <w:pPr>
              <w:jc w:val="right"/>
              <w:ind w:right="15"/>
              <w:spacing w:after="0"/>
              <w:rPr>
                <w:sz w:val="20"/>
                <w:szCs w:val="20"/>
                <w:color w:val="auto"/>
              </w:rPr>
            </w:pPr>
            <w:r>
              <w:rPr>
                <w:rFonts w:ascii="Arial" w:cs="Arial" w:eastAsia="Arial" w:hAnsi="Arial"/>
                <w:sz w:val="18"/>
                <w:szCs w:val="18"/>
                <w:color w:val="auto"/>
              </w:rPr>
              <w:t>2,933,333</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10,999,999</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3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6,666,666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c>
          <w:tcPr>
            <w:tcW w:w="0" w:type="dxa"/>
            <w:vAlign w:val="bottom"/>
          </w:tcPr>
          <w:p>
            <w:pPr>
              <w:spacing w:after="0"/>
              <w:rPr>
                <w:sz w:val="1"/>
                <w:szCs w:val="1"/>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3440" w:type="dxa"/>
            <w:vAlign w:val="bottom"/>
          </w:tcPr>
          <w:p>
            <w:pPr>
              <w:jc w:val="right"/>
              <w:ind w:right="15"/>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3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2,400,000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3440" w:type="dxa"/>
            <w:vAlign w:val="bottom"/>
          </w:tcPr>
          <w:p>
            <w:pPr>
              <w:jc w:val="right"/>
              <w:ind w:right="15"/>
              <w:spacing w:after="0"/>
              <w:rPr>
                <w:sz w:val="20"/>
                <w:szCs w:val="20"/>
                <w:color w:val="auto"/>
              </w:rPr>
            </w:pPr>
            <w:r>
              <w:rPr>
                <w:rFonts w:ascii="Arial" w:cs="Arial" w:eastAsia="Arial" w:hAnsi="Arial"/>
                <w:sz w:val="18"/>
                <w:szCs w:val="18"/>
                <w:color w:val="auto"/>
              </w:rPr>
              <w:t>533,333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1,999,999</w:t>
            </w:r>
          </w:p>
        </w:tc>
        <w:tc>
          <w:tcPr>
            <w:tcW w:w="0" w:type="dxa"/>
            <w:vAlign w:val="bottom"/>
          </w:tcPr>
          <w:p>
            <w:pPr>
              <w:spacing w:after="0"/>
              <w:rPr>
                <w:sz w:val="1"/>
                <w:szCs w:val="1"/>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4"/>
                <w:szCs w:val="14"/>
                <w:color w:val="auto"/>
              </w:rPr>
              <w:t>________________</w:t>
            </w:r>
          </w:p>
        </w:tc>
        <w:tc>
          <w:tcPr>
            <w:tcW w:w="3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Convertible Preferred Stock Transaction</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November 2019 and December 2019, we issued and sold an aggregate of 16,923,077 shares of our Series D convertible preferred stock shares at a purchase price of $3.25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3500" w:type="dxa"/>
            <w:vAlign w:val="bottom"/>
            <w:gridSpan w:val="2"/>
          </w:tcPr>
          <w:p>
            <w:pPr>
              <w:jc w:val="center"/>
              <w:ind w:left="1655"/>
              <w:spacing w:after="0"/>
              <w:rPr>
                <w:sz w:val="20"/>
                <w:szCs w:val="20"/>
                <w:color w:val="auto"/>
              </w:rPr>
            </w:pPr>
            <w:r>
              <w:rPr>
                <w:rFonts w:ascii="Arial" w:cs="Arial" w:eastAsia="Arial" w:hAnsi="Arial"/>
                <w:sz w:val="14"/>
                <w:szCs w:val="14"/>
                <w:b w:val="1"/>
                <w:bCs w:val="1"/>
                <w:color w:val="auto"/>
                <w:w w:val="93"/>
              </w:rPr>
              <w:t>Series D Convertible</w:t>
            </w:r>
          </w:p>
        </w:tc>
        <w:tc>
          <w:tcPr>
            <w:tcW w:w="140" w:type="dxa"/>
            <w:vAlign w:val="bottom"/>
          </w:tcPr>
          <w:p>
            <w:pPr>
              <w:spacing w:after="0"/>
              <w:rPr>
                <w:sz w:val="14"/>
                <w:szCs w:val="14"/>
                <w:color w:val="auto"/>
              </w:rPr>
            </w:pPr>
          </w:p>
        </w:tc>
        <w:tc>
          <w:tcPr>
            <w:tcW w:w="1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192"/>
        </w:trPr>
        <w:tc>
          <w:tcPr>
            <w:tcW w:w="6140" w:type="dxa"/>
            <w:vAlign w:val="bottom"/>
            <w:vMerge w:val="continue"/>
          </w:tcPr>
          <w:p>
            <w:pPr>
              <w:spacing w:after="0"/>
              <w:rPr>
                <w:sz w:val="16"/>
                <w:szCs w:val="16"/>
                <w:color w:val="auto"/>
              </w:rPr>
            </w:pPr>
          </w:p>
        </w:tc>
        <w:tc>
          <w:tcPr>
            <w:tcW w:w="3500" w:type="dxa"/>
            <w:vAlign w:val="bottom"/>
            <w:gridSpan w:val="2"/>
          </w:tcPr>
          <w:p>
            <w:pPr>
              <w:jc w:val="center"/>
              <w:ind w:left="1655"/>
              <w:spacing w:after="0"/>
              <w:rPr>
                <w:sz w:val="20"/>
                <w:szCs w:val="20"/>
                <w:color w:val="auto"/>
              </w:rPr>
            </w:pPr>
            <w:r>
              <w:rPr>
                <w:rFonts w:ascii="Arial" w:cs="Arial" w:eastAsia="Arial" w:hAnsi="Arial"/>
                <w:sz w:val="14"/>
                <w:szCs w:val="14"/>
                <w:b w:val="1"/>
                <w:bCs w:val="1"/>
                <w:color w:val="auto"/>
                <w:w w:val="92"/>
              </w:rPr>
              <w:t>Preferred Shares</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1,133,739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c>
          <w:tcPr>
            <w:tcW w:w="0" w:type="dxa"/>
            <w:vAlign w:val="bottom"/>
          </w:tcPr>
          <w:p>
            <w:pPr>
              <w:spacing w:after="0"/>
              <w:rPr>
                <w:sz w:val="1"/>
                <w:szCs w:val="1"/>
                <w:color w:val="auto"/>
              </w:rPr>
            </w:pP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7,838,841</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25,476,233</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1,081,688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c>
          <w:tcPr>
            <w:tcW w:w="0" w:type="dxa"/>
            <w:vAlign w:val="bottom"/>
          </w:tcPr>
          <w:p>
            <w:pPr>
              <w:spacing w:after="0"/>
              <w:rPr>
                <w:sz w:val="1"/>
                <w:szCs w:val="1"/>
                <w:color w:val="auto"/>
              </w:rPr>
            </w:pP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2,769,230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8,999,998</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1,015,384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3,299,998</w:t>
            </w:r>
          </w:p>
        </w:tc>
        <w:tc>
          <w:tcPr>
            <w:tcW w:w="0" w:type="dxa"/>
            <w:vAlign w:val="bottom"/>
          </w:tcPr>
          <w:p>
            <w:pPr>
              <w:spacing w:after="0"/>
              <w:rPr>
                <w:sz w:val="1"/>
                <w:szCs w:val="1"/>
                <w:color w:val="auto"/>
              </w:rPr>
            </w:pPr>
          </w:p>
        </w:tc>
      </w:tr>
      <w:tr>
        <w:trPr>
          <w:trHeight w:val="155"/>
        </w:trPr>
        <w:tc>
          <w:tcPr>
            <w:tcW w:w="61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Convertible Preferred Stock Transaction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and April 2019, we issued and sold an aggregate of 7,000,000 shares of our Series C convertible preferred stock at a purchase price of $2.50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3500" w:type="dxa"/>
            <w:vAlign w:val="bottom"/>
            <w:gridSpan w:val="2"/>
          </w:tcPr>
          <w:p>
            <w:pPr>
              <w:jc w:val="center"/>
              <w:ind w:left="1657"/>
              <w:spacing w:after="0"/>
              <w:rPr>
                <w:sz w:val="20"/>
                <w:szCs w:val="20"/>
                <w:color w:val="auto"/>
              </w:rPr>
            </w:pPr>
            <w:r>
              <w:rPr>
                <w:rFonts w:ascii="Arial" w:cs="Arial" w:eastAsia="Arial" w:hAnsi="Arial"/>
                <w:sz w:val="14"/>
                <w:szCs w:val="14"/>
                <w:b w:val="1"/>
                <w:bCs w:val="1"/>
                <w:color w:val="auto"/>
                <w:w w:val="93"/>
              </w:rPr>
              <w:t>Series C Convertible</w:t>
            </w:r>
          </w:p>
        </w:tc>
        <w:tc>
          <w:tcPr>
            <w:tcW w:w="140" w:type="dxa"/>
            <w:vAlign w:val="bottom"/>
          </w:tcPr>
          <w:p>
            <w:pPr>
              <w:spacing w:after="0"/>
              <w:rPr>
                <w:sz w:val="14"/>
                <w:szCs w:val="14"/>
                <w:color w:val="auto"/>
              </w:rPr>
            </w:pPr>
          </w:p>
        </w:tc>
        <w:tc>
          <w:tcPr>
            <w:tcW w:w="14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192"/>
        </w:trPr>
        <w:tc>
          <w:tcPr>
            <w:tcW w:w="6140" w:type="dxa"/>
            <w:vAlign w:val="bottom"/>
            <w:vMerge w:val="continue"/>
          </w:tcPr>
          <w:p>
            <w:pPr>
              <w:spacing w:after="0"/>
              <w:rPr>
                <w:sz w:val="16"/>
                <w:szCs w:val="16"/>
                <w:color w:val="auto"/>
              </w:rPr>
            </w:pPr>
          </w:p>
        </w:tc>
        <w:tc>
          <w:tcPr>
            <w:tcW w:w="3500" w:type="dxa"/>
            <w:vAlign w:val="bottom"/>
            <w:gridSpan w:val="2"/>
          </w:tcPr>
          <w:p>
            <w:pPr>
              <w:jc w:val="center"/>
              <w:ind w:left="1657"/>
              <w:spacing w:after="0"/>
              <w:rPr>
                <w:sz w:val="20"/>
                <w:szCs w:val="20"/>
                <w:color w:val="auto"/>
              </w:rPr>
            </w:pPr>
            <w:r>
              <w:rPr>
                <w:rFonts w:ascii="Arial" w:cs="Arial" w:eastAsia="Arial" w:hAnsi="Arial"/>
                <w:sz w:val="14"/>
                <w:szCs w:val="14"/>
                <w:b w:val="1"/>
                <w:bCs w:val="1"/>
                <w:color w:val="auto"/>
                <w:w w:val="92"/>
              </w:rPr>
              <w:t>Preferred Shares</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420" w:type="dxa"/>
            <w:vAlign w:val="bottom"/>
          </w:tcPr>
          <w:p>
            <w:pPr>
              <w:jc w:val="right"/>
              <w:ind w:right="17"/>
              <w:spacing w:after="0"/>
              <w:rPr>
                <w:sz w:val="20"/>
                <w:szCs w:val="20"/>
                <w:color w:val="auto"/>
              </w:rPr>
            </w:pPr>
            <w:r>
              <w:rPr>
                <w:rFonts w:ascii="Arial" w:cs="Arial" w:eastAsia="Arial" w:hAnsi="Arial"/>
                <w:sz w:val="18"/>
                <w:szCs w:val="18"/>
                <w:color w:val="auto"/>
              </w:rPr>
              <w:t>880,000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2,200,000</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55"/>
        </w:trPr>
        <w:tc>
          <w:tcPr>
            <w:tcW w:w="61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540" w:hanging="332"/>
        <w:spacing w:after="0" w:line="255"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2018, we issued and sold an aggregate of 16,920,470 shares of Series B convertible preferred stock at a purchase price of $1.773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260" w:type="dxa"/>
            <w:vAlign w:val="bottom"/>
          </w:tcPr>
          <w:p>
            <w:pPr>
              <w:jc w:val="center"/>
              <w:ind w:left="3528"/>
              <w:spacing w:after="0"/>
              <w:rPr>
                <w:sz w:val="20"/>
                <w:szCs w:val="20"/>
                <w:color w:val="auto"/>
              </w:rPr>
            </w:pPr>
            <w:r>
              <w:rPr>
                <w:rFonts w:ascii="Arial" w:cs="Arial" w:eastAsia="Arial" w:hAnsi="Arial"/>
                <w:sz w:val="14"/>
                <w:szCs w:val="14"/>
                <w:b w:val="1"/>
                <w:bCs w:val="1"/>
                <w:color w:val="auto"/>
                <w:w w:val="91"/>
              </w:rPr>
              <w:t>Series B Convertible</w:t>
            </w:r>
          </w:p>
        </w:tc>
        <w:tc>
          <w:tcPr>
            <w:tcW w:w="148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0"/>
              </w:rPr>
              <w:t>Total Purchase Price</w:t>
            </w: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5260" w:type="dxa"/>
            <w:vAlign w:val="bottom"/>
          </w:tcPr>
          <w:p>
            <w:pPr>
              <w:jc w:val="center"/>
              <w:ind w:left="3508"/>
              <w:spacing w:after="0"/>
              <w:rPr>
                <w:sz w:val="20"/>
                <w:szCs w:val="20"/>
                <w:color w:val="auto"/>
              </w:rPr>
            </w:pPr>
            <w:r>
              <w:rPr>
                <w:rFonts w:ascii="Arial" w:cs="Arial" w:eastAsia="Arial" w:hAnsi="Arial"/>
                <w:sz w:val="14"/>
                <w:szCs w:val="14"/>
                <w:b w:val="1"/>
                <w:bCs w:val="1"/>
                <w:color w:val="auto"/>
                <w:w w:val="92"/>
              </w:rPr>
              <w:t>Preferred Shares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3,299,735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5,850,430</w:t>
            </w:r>
          </w:p>
        </w:tc>
      </w:tr>
      <w:tr>
        <w:trPr>
          <w:trHeight w:val="270"/>
        </w:trPr>
        <w:tc>
          <w:tcPr>
            <w:tcW w:w="646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4,230,118</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7,499,999</w:t>
            </w: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8,460,236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14,999,998</w:t>
            </w:r>
          </w:p>
        </w:tc>
      </w:tr>
      <w:tr>
        <w:trPr>
          <w:trHeight w:val="155"/>
        </w:trPr>
        <w:tc>
          <w:tcPr>
            <w:tcW w:w="64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Convertible Preferred Stock Transaction</w:t>
      </w:r>
    </w:p>
    <w:p>
      <w:pPr>
        <w:spacing w:after="0" w:line="17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December 2017, we issued and sold an aggregate of 6,607,201 shares of our Series A convertible preferred stock at a purchase price of $0.9081 per share for an aggregate purchase price of approximately $6.0 million. Purchasers of our Series A convertible preferred stock included certain of our officers and directors. The following table presents the number of shares and the total purchase price paid by these persons.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3500" w:type="dxa"/>
            <w:vAlign w:val="bottom"/>
            <w:gridSpan w:val="2"/>
          </w:tcPr>
          <w:p>
            <w:pPr>
              <w:jc w:val="center"/>
              <w:ind w:left="1655"/>
              <w:spacing w:after="0"/>
              <w:rPr>
                <w:sz w:val="20"/>
                <w:szCs w:val="20"/>
                <w:color w:val="auto"/>
              </w:rPr>
            </w:pPr>
            <w:r>
              <w:rPr>
                <w:rFonts w:ascii="Arial" w:cs="Arial" w:eastAsia="Arial" w:hAnsi="Arial"/>
                <w:sz w:val="14"/>
                <w:szCs w:val="14"/>
                <w:b w:val="1"/>
                <w:bCs w:val="1"/>
                <w:color w:val="auto"/>
                <w:w w:val="93"/>
              </w:rPr>
              <w:t>Series A Convertible</w:t>
            </w:r>
          </w:p>
        </w:tc>
        <w:tc>
          <w:tcPr>
            <w:tcW w:w="140" w:type="dxa"/>
            <w:vAlign w:val="bottom"/>
          </w:tcPr>
          <w:p>
            <w:pPr>
              <w:spacing w:after="0"/>
              <w:rPr>
                <w:sz w:val="14"/>
                <w:szCs w:val="14"/>
                <w:color w:val="auto"/>
              </w:rPr>
            </w:pPr>
          </w:p>
        </w:tc>
        <w:tc>
          <w:tcPr>
            <w:tcW w:w="1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192"/>
        </w:trPr>
        <w:tc>
          <w:tcPr>
            <w:tcW w:w="6140" w:type="dxa"/>
            <w:vAlign w:val="bottom"/>
            <w:vMerge w:val="continue"/>
          </w:tcPr>
          <w:p>
            <w:pPr>
              <w:spacing w:after="0"/>
              <w:rPr>
                <w:sz w:val="16"/>
                <w:szCs w:val="16"/>
                <w:color w:val="auto"/>
              </w:rPr>
            </w:pPr>
          </w:p>
        </w:tc>
        <w:tc>
          <w:tcPr>
            <w:tcW w:w="3500" w:type="dxa"/>
            <w:vAlign w:val="bottom"/>
            <w:gridSpan w:val="2"/>
          </w:tcPr>
          <w:p>
            <w:pPr>
              <w:jc w:val="center"/>
              <w:ind w:left="1655"/>
              <w:spacing w:after="0"/>
              <w:rPr>
                <w:sz w:val="20"/>
                <w:szCs w:val="20"/>
                <w:color w:val="auto"/>
              </w:rPr>
            </w:pPr>
            <w:r>
              <w:rPr>
                <w:rFonts w:ascii="Arial" w:cs="Arial" w:eastAsia="Arial" w:hAnsi="Arial"/>
                <w:sz w:val="14"/>
                <w:szCs w:val="14"/>
                <w:b w:val="1"/>
                <w:bCs w:val="1"/>
                <w:color w:val="auto"/>
                <w:w w:val="92"/>
              </w:rPr>
              <w:t>Preferred Shares</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Dynamics Group LLC</w:t>
            </w:r>
            <w:r>
              <w:rPr>
                <w:rFonts w:ascii="Arial" w:cs="Arial" w:eastAsia="Arial" w:hAnsi="Arial"/>
                <w:sz w:val="23"/>
                <w:szCs w:val="23"/>
                <w:color w:val="auto"/>
                <w:vertAlign w:val="superscript"/>
              </w:rPr>
              <w:t>(1)</w:t>
            </w:r>
          </w:p>
        </w:tc>
        <w:tc>
          <w:tcPr>
            <w:tcW w:w="3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220,240</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4,404,801</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 Ma, Ph.D.</w:t>
            </w:r>
            <w:r>
              <w:rPr>
                <w:rFonts w:ascii="Arial" w:cs="Arial" w:eastAsia="Arial" w:hAnsi="Arial"/>
                <w:sz w:val="23"/>
                <w:szCs w:val="23"/>
                <w:color w:val="auto"/>
                <w:vertAlign w:val="superscript"/>
              </w:rPr>
              <w:t>(3)</w:t>
            </w:r>
          </w:p>
        </w:tc>
        <w:tc>
          <w:tcPr>
            <w:tcW w:w="3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220,240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(4)</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440,480</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Strong Bridge LLC</w:t>
            </w:r>
            <w:r>
              <w:rPr>
                <w:rFonts w:ascii="Arial" w:cs="Arial" w:eastAsia="Arial" w:hAnsi="Arial"/>
                <w:sz w:val="23"/>
                <w:szCs w:val="23"/>
                <w:color w:val="auto"/>
                <w:vertAlign w:val="superscript"/>
              </w:rPr>
              <w:t>(5)</w:t>
            </w:r>
          </w:p>
        </w:tc>
        <w:tc>
          <w:tcPr>
            <w:tcW w:w="3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110,120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55"/>
        </w:trPr>
        <w:tc>
          <w:tcPr>
            <w:tcW w:w="61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Omid Farokhzad, M.D., is our Chief Executive Officer and the chair of our board of directors and is the sole member of Dynamics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9" w:lineRule="exact"/>
        <w:rPr>
          <w:sz w:val="20"/>
          <w:szCs w:val="20"/>
          <w:color w:val="auto"/>
        </w:rPr>
      </w:pPr>
    </w:p>
    <w:p>
      <w:pPr>
        <w:ind w:left="340" w:right="520" w:hanging="332"/>
        <w:spacing w:after="0" w:line="250"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Philip Ma,Ph.D. is a founder, and, at the time of purchase, was the President and Chief Business Officer of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Robert Langer, Sc.D. is a member of our board of directors.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Terrance McGuire is a member of our board of directors and is an operating manager of Strong Bridge LLC.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party to an amended and restated investors’ rights agreement, dated as of May 12, 2020 (IRA), which provides, among other things, that certain holders of our capital stock have the right to demand that we file a registration statement or request that their shares of our capital stock be covered by a registration statement that we are otherwise filing. David Singer, a member of our board of directors, is affiliated with Maverick Capital Ventures, LLC, which is a party to the IRA. See the section titled “Description of Capital Stock—Registration Rights” for additional information regarding these registration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Pursuant to certain of our bylaws, equity compensation plans and certain agreements with our stockholders, including an amended and restated right of first refusal and co-sale agreement, dated as of May 12, 2020, we or our assignees have a right to purchase shares of our capital stock which stockholders propose to sell to other parties. This right will terminate upon completion of this offering. David Singer, a member of our board of directors, is affiliated with Maverick Capital Ventures, LLC, which is a party to the right of first refusal and co-sale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are party to a voting agreement, dated as of May 12, 2020, under which certain holders of our capital stock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David Singer, a member of our board of directors, is affiliated with Maverick Capital Ventures, LLC, which is a party to the voting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70" w:lineRule="exact"/>
        <w:rPr>
          <w:sz w:val="20"/>
          <w:szCs w:val="20"/>
          <w:color w:val="auto"/>
        </w:rPr>
      </w:pPr>
    </w:p>
    <w:p>
      <w:pPr>
        <w:jc w:val="both"/>
        <w:ind w:right="320" w:firstLine="324"/>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2017,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33"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4" w:lineRule="exact"/>
        <w:rPr>
          <w:sz w:val="20"/>
          <w:szCs w:val="20"/>
          <w:color w:val="auto"/>
        </w:rPr>
      </w:pPr>
    </w:p>
    <w:p>
      <w:pPr>
        <w:ind w:left="660" w:right="2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1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August 31, 2020, and as adjusted to reflect the sale of our Class A common stock in this offering assuming no exercise of the underwriters’ option to purchase additional shares of our Class A common stock, for:</w:t>
      </w:r>
    </w:p>
    <w:p>
      <w:pPr>
        <w:spacing w:after="0" w:line="130"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w:t>
      </w:r>
    </w:p>
    <w:p>
      <w:pPr>
        <w:spacing w:after="0" w:line="11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3"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We have based our calculation of the percentage of beneficial ownership prior to this offering on 6,366,776 shares of our Class A common stock and 20,000,000 shares of our Class B common stock outstanding as of August 31, 2020, and 62,117,410 shares of our Class A common stock resulting from the automatic conversion of all outstanding shares of our convertible preferred stock into our Class A common stock immediately prior to the completion of this offering, as if this conversion had occurred as of August 31, 2020. We have based our calculation of the percentage of beneficial ownership after this offering on shares of our Class A common stock issued by us in our initial public offering and 20,000,000 shares of Class B common stock outstanding immediately after the completion of this offering, assuming that the underwriters will not exercise their option to purchase up to an additional</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shares of our Class A common stock from us in full. We have deemed shares of our Class A common stock subject to stock options that are currently exercisable or exercisable within 60 days of August 31, 2020, or issuable pursuant to RSAs which are subject to vesting and settlement conditions expected to occur within 60 days of August 31,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3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ind w:left="40"/>
              <w:spacing w:after="0"/>
              <w:rPr>
                <w:sz w:val="20"/>
                <w:szCs w:val="20"/>
                <w:color w:val="auto"/>
              </w:rPr>
            </w:pPr>
            <w:r>
              <w:rPr>
                <w:rFonts w:ascii="Arial" w:cs="Arial" w:eastAsia="Arial" w:hAnsi="Arial"/>
                <w:sz w:val="13"/>
                <w:szCs w:val="13"/>
                <w:b w:val="1"/>
                <w:bCs w:val="1"/>
                <w:color w:val="auto"/>
              </w:rPr>
              <w:t>Shares Beneficially Owned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of Total Voting</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 of Total</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 of Total Voting</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60"/>
              <w:spacing w:after="0" w:line="117" w:lineRule="exact"/>
              <w:rPr>
                <w:sz w:val="20"/>
                <w:szCs w:val="20"/>
                <w:color w:val="auto"/>
              </w:rPr>
            </w:pPr>
            <w:r>
              <w:rPr>
                <w:rFonts w:ascii="Arial" w:cs="Arial" w:eastAsia="Arial" w:hAnsi="Arial"/>
                <w:sz w:val="13"/>
                <w:szCs w:val="13"/>
                <w:b w:val="1"/>
                <w:bCs w:val="1"/>
                <w:color w:val="auto"/>
                <w:w w:val="87"/>
              </w:rPr>
              <w:t>Outstanding Before</w:t>
            </w:r>
          </w:p>
        </w:tc>
        <w:tc>
          <w:tcPr>
            <w:tcW w:w="122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5"/>
              </w:rPr>
              <w:t>Power Before</w:t>
            </w:r>
          </w:p>
        </w:tc>
        <w:tc>
          <w:tcPr>
            <w:tcW w:w="120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8"/>
              </w:rPr>
              <w:t>Outstanding After</w:t>
            </w:r>
          </w:p>
        </w:tc>
        <w:tc>
          <w:tcPr>
            <w:tcW w:w="11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90"/>
              </w:rPr>
              <w:t>Power After</w:t>
            </w:r>
          </w:p>
        </w:tc>
        <w:tc>
          <w:tcPr>
            <w:tcW w:w="0" w:type="dxa"/>
            <w:vAlign w:val="bottom"/>
          </w:tcPr>
          <w:p>
            <w:pPr>
              <w:spacing w:after="0"/>
              <w:rPr>
                <w:sz w:val="1"/>
                <w:szCs w:val="1"/>
                <w:color w:val="auto"/>
              </w:rPr>
            </w:pPr>
          </w:p>
        </w:tc>
      </w:tr>
      <w:tr>
        <w:trPr>
          <w:trHeight w:val="43"/>
        </w:trPr>
        <w:tc>
          <w:tcPr>
            <w:tcW w:w="2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Name of Beneficial Owner</w:t>
            </w: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Class A Shares</w:t>
            </w: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b w:val="1"/>
                <w:bCs w:val="1"/>
                <w:color w:val="auto"/>
              </w:rPr>
              <w:t>Class B Shares</w:t>
            </w:r>
            <w:r>
              <w:rPr>
                <w:rFonts w:ascii="Arial" w:cs="Arial" w:eastAsia="Arial" w:hAnsi="Arial"/>
                <w:sz w:val="10"/>
                <w:szCs w:val="10"/>
                <w:b w:val="1"/>
                <w:bCs w:val="1"/>
                <w:color w:val="auto"/>
              </w:rPr>
              <w:t>†</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Offering</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Offering#</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Offering</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135"/>
        </w:trPr>
        <w:tc>
          <w:tcPr>
            <w:tcW w:w="250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Named Executive Officers</w:t>
            </w: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and Directors: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9"/>
                <w:szCs w:val="9"/>
                <w:color w:val="auto"/>
              </w:rPr>
              <w:t>(1)</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6,139,230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17,545,007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9"/>
                <w:szCs w:val="9"/>
                <w:color w:val="auto"/>
              </w:rPr>
              <w:t>(2)</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892,776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9"/>
                <w:szCs w:val="9"/>
                <w:color w:val="auto"/>
              </w:rPr>
              <w:t>(3)</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9"/>
                <w:szCs w:val="9"/>
                <w:color w:val="auto"/>
              </w:rPr>
              <w:t>(4)</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1,482,630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9"/>
                <w:szCs w:val="9"/>
                <w:color w:val="auto"/>
              </w:rPr>
              <w:t>(5)</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1,017,151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8,749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Singer</w:t>
            </w:r>
            <w:r>
              <w:rPr>
                <w:rFonts w:ascii="Arial" w:cs="Arial" w:eastAsia="Arial" w:hAnsi="Arial"/>
                <w:sz w:val="9"/>
                <w:szCs w:val="9"/>
                <w:color w:val="auto"/>
              </w:rPr>
              <w:t>(6)</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11,396,607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349,999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All executive officers and directors as a</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26,227,890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18,912,504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group (8 persons)</w:t>
            </w:r>
            <w:r>
              <w:rPr>
                <w:rFonts w:ascii="Arial" w:cs="Arial" w:eastAsia="Arial" w:hAnsi="Arial"/>
                <w:sz w:val="9"/>
                <w:szCs w:val="9"/>
                <w:color w:val="auto"/>
              </w:rPr>
              <w:t>(7)</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5% Stockholders: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Entities affiliated with Maverick Capital</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11,396,607</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349,999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Ventures, LLC</w:t>
            </w:r>
            <w:r>
              <w:rPr>
                <w:rFonts w:ascii="Arial" w:cs="Arial" w:eastAsia="Arial" w:hAnsi="Arial"/>
                <w:sz w:val="9"/>
                <w:szCs w:val="9"/>
                <w:color w:val="auto"/>
              </w:rPr>
              <w:t>(8)</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Invus Public Equities, L.P.</w:t>
            </w:r>
            <w:r>
              <w:rPr>
                <w:rFonts w:ascii="Arial" w:cs="Arial" w:eastAsia="Arial" w:hAnsi="Arial"/>
                <w:sz w:val="9"/>
                <w:szCs w:val="9"/>
                <w:color w:val="auto"/>
              </w:rPr>
              <w:t>(9)</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10,808,953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Entities affiliated with aMoon Fund</w:t>
            </w:r>
            <w:r>
              <w:rPr>
                <w:rFonts w:ascii="Arial" w:cs="Arial" w:eastAsia="Arial" w:hAnsi="Arial"/>
                <w:sz w:val="9"/>
                <w:szCs w:val="9"/>
                <w:color w:val="auto"/>
              </w:rPr>
              <w:t>(10)</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10,772,174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Fidelity</w:t>
            </w:r>
            <w:r>
              <w:rPr>
                <w:rFonts w:ascii="Arial" w:cs="Arial" w:eastAsia="Arial" w:hAnsi="Arial"/>
                <w:sz w:val="9"/>
                <w:szCs w:val="9"/>
                <w:color w:val="auto"/>
              </w:rPr>
              <w:t>(11)</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6,666,666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Emerson Collective Investments LLC</w:t>
            </w:r>
            <w:r>
              <w:rPr>
                <w:rFonts w:ascii="Arial" w:cs="Arial" w:eastAsia="Arial" w:hAnsi="Arial"/>
                <w:sz w:val="9"/>
                <w:szCs w:val="9"/>
                <w:color w:val="auto"/>
              </w:rPr>
              <w:t>(12)</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5,326,807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T. Rowe Price</w:t>
            </w:r>
            <w:r>
              <w:rPr>
                <w:rFonts w:ascii="Arial" w:cs="Arial" w:eastAsia="Arial" w:hAnsi="Arial"/>
                <w:sz w:val="9"/>
                <w:szCs w:val="9"/>
                <w:color w:val="auto"/>
              </w:rPr>
              <w:t>(13)</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5,169,230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jc w:val="both"/>
        <w:ind w:left="340" w:right="100" w:hanging="332"/>
        <w:spacing w:after="0" w:line="281"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otherwise be required by law.</w:t>
      </w:r>
    </w:p>
    <w:p>
      <w:pPr>
        <w:spacing w:after="0" w:line="1"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97" w:lineRule="exact"/>
        <w:rPr>
          <w:sz w:val="20"/>
          <w:szCs w:val="20"/>
          <w:color w:val="auto"/>
        </w:rPr>
      </w:pPr>
    </w:p>
    <w:p>
      <w:pPr>
        <w:ind w:left="340" w:right="20" w:hanging="332"/>
        <w:spacing w:after="0" w:line="244"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(i) 597,538 shares of Class A common stock held of record by Dr. Farokhzad, of which 588,018 may be repurchased by us at the original exercise price; (ii) 220,240 shares of Class A common stock and 5,545,007 shares of Class B common stock held of record by Dynamics Group LLC for which Dr. Farokhzad serves as the sole member, of which 1,097,656 may be repurchased by us at the original exercise price; (iii) 6,000,000 shares of Class B shares held of record by SAF-BND Trust for which Dr. Farokhzad’s spouse serves as trustee; (iv) 1,109,397 shares of Class A common stock and 6,000,000 shares of Class B common stock held of record by OCF 2014 Trust for which Dr. Farokhzad’s spouse serves as the trust advisor; and (v) 4,212,055 shares of Class A common stock subject to options exercisable within 60 days of August 31, 2020, of which 672,555 are fully vested. Dr. Farokhzad disclaims beneficial ownership of the shares held by the SAF-BND Trust and OCF 2014 Trust.</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(i) 564,026 shares of Class A common stock held of record by Mr. Hallal, of which 223,261 may be repurchased by us at the original exercise price and (ii) 328,750 shares of Class A common stock subject to options exercisable within 60 days of August 31, 2020, of which 34,100 are fully vested.</w:t>
      </w: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Ms. Friedman joined our board of directors on September 14, 2020.</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(i) 781,867 shares of Class A common stock, of which 110,493 may be repurchased by us at the original exercise price and 700,000 shares of Class B common stock held of record by Dr. Langer, of which 62,500 may be repurchased by us at the original exercise price; (ii) 700,763 shares of Class A common stock subject to options exercisable within 60 days of August 31, 2020, of which 171,723 are fully vested; and (iii) 300,000 shares of Class B common stock held of record by The Langer Family 2012 Trust Under Trust Agreement dated December 7, 2012.</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(i) 451,507 shares of Class A common stock, of which 120,909 may be repurchased by us at the original exercise price and 8,749 shares of Class B common stock held of record by Strong Bridge, LLC for which Mr. McGuire serves as an operating manager and (ii) 565,644 shares of Class A common stock subject to options exercisable within 60 days of August 31, 2020, of which 168,908 are fully vested.</w:t>
      </w:r>
    </w:p>
    <w:p>
      <w:pPr>
        <w:spacing w:after="0" w:line="1" w:lineRule="exact"/>
        <w:rPr>
          <w:rFonts w:ascii="Arial" w:cs="Arial" w:eastAsia="Arial" w:hAnsi="Arial"/>
          <w:sz w:val="14"/>
          <w:szCs w:val="14"/>
          <w:color w:val="auto"/>
        </w:rPr>
      </w:pPr>
    </w:p>
    <w:p>
      <w:pPr>
        <w:ind w:left="340" w:right="560" w:hanging="332"/>
        <w:spacing w:after="0" w:line="241"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11,396,607 shares of Class A common stock and 349,999 shares of Class B common stock disclosed in footnote (8) below that are held of record by entities affiliated with Maverick Capital Ventures, LLC.</w:t>
      </w:r>
    </w:p>
    <w:p>
      <w:pPr>
        <w:jc w:val="both"/>
        <w:ind w:left="340" w:right="300" w:hanging="332"/>
        <w:spacing w:after="0" w:line="260"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(i) 15,488,823 shares of Class A common stock and 18,912,504 shares of Class B common stock beneficially owned by our executive officers and directors and (ii) 10,739,067 shares of Class A common stock subject to options exercisable within 60 days of August 31, 2020 and held by our executive officers and directors, of which 1,128,748 are fully vested.</w:t>
      </w:r>
    </w:p>
    <w:p>
      <w:pPr>
        <w:ind w:left="340" w:right="60" w:hanging="332"/>
        <w:spacing w:after="0" w:line="255"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(i) 7,255,800 shares of Class A common stock and 217,769 shares of Class B common stock held of record by Maverick Ventures Investment Fund, L.P. (Maverick Ventures Fund) and (ii) 4,140,807 shares of Class A common stock and 132,230 shares of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9" w:lineRule="exact"/>
        <w:rPr>
          <w:sz w:val="20"/>
          <w:szCs w:val="20"/>
          <w:color w:val="auto"/>
        </w:rPr>
      </w:pPr>
    </w:p>
    <w:p>
      <w:pPr>
        <w:ind w:left="340" w:right="80"/>
        <w:spacing w:after="0" w:line="266" w:lineRule="auto"/>
        <w:rPr>
          <w:sz w:val="20"/>
          <w:szCs w:val="20"/>
          <w:color w:val="auto"/>
        </w:rPr>
      </w:pPr>
      <w:r>
        <w:rPr>
          <w:rFonts w:ascii="Arial" w:cs="Arial" w:eastAsia="Arial" w:hAnsi="Arial"/>
          <w:sz w:val="13"/>
          <w:szCs w:val="13"/>
          <w:color w:val="auto"/>
        </w:rPr>
        <w:t>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spacing w:after="0" w:line="1" w:lineRule="exact"/>
        <w:rPr>
          <w:sz w:val="20"/>
          <w:szCs w:val="20"/>
          <w:color w:val="auto"/>
        </w:rPr>
      </w:pPr>
    </w:p>
    <w:p>
      <w:pPr>
        <w:ind w:left="340" w:hanging="332"/>
        <w:spacing w:after="0" w:line="260"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10,808,953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340" w:right="40" w:hanging="332"/>
        <w:spacing w:after="0" w:line="260" w:lineRule="auto"/>
        <w:tabs>
          <w:tab w:leader="none" w:pos="337"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6,666,666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ind w:left="340" w:hanging="332"/>
        <w:spacing w:after="0" w:line="241" w:lineRule="auto"/>
        <w:tabs>
          <w:tab w:leader="none" w:pos="33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(i) 8,819,080 shares of Class A common stock held of record by aMoon 2 Fund, Limited Partnership (aMoon 2 Fund) and (ii) 1,953,094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2" w:lineRule="exact"/>
        <w:rPr>
          <w:rFonts w:ascii="Arial" w:cs="Arial" w:eastAsia="Arial" w:hAnsi="Arial"/>
          <w:sz w:val="14"/>
          <w:szCs w:val="14"/>
          <w:color w:val="auto"/>
        </w:rPr>
      </w:pPr>
    </w:p>
    <w:p>
      <w:pPr>
        <w:ind w:left="340" w:right="140" w:hanging="332"/>
        <w:spacing w:after="0" w:line="241" w:lineRule="auto"/>
        <w:tabs>
          <w:tab w:leader="none" w:pos="33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5,326,807 shares of Class A common stock held of record by Emerson Collective Investments, LLC (ECI). The Laurene Powell Jobs Trust, for which Laurene Powell Jobs serves as trustee, is the managing member of ECI and has voting and dispositive power with respect to the shares held of record by ECI. The address for this entity is P.O. Box 61239, Palo Alto, California 94306.</w:t>
      </w:r>
    </w:p>
    <w:p>
      <w:pPr>
        <w:spacing w:after="0" w:line="1" w:lineRule="exact"/>
        <w:rPr>
          <w:rFonts w:ascii="Arial" w:cs="Arial" w:eastAsia="Arial" w:hAnsi="Arial"/>
          <w:sz w:val="14"/>
          <w:szCs w:val="14"/>
          <w:color w:val="auto"/>
        </w:rPr>
      </w:pPr>
    </w:p>
    <w:p>
      <w:pPr>
        <w:ind w:left="340" w:right="40" w:hanging="332"/>
        <w:spacing w:after="0" w:line="263" w:lineRule="auto"/>
        <w:tabs>
          <w:tab w:leader="none" w:pos="337"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(i) 4,429,354 shares of Class A common stock held of record by T. Rowe Price Health Sciences Fund, Inc.; (ii) 200,815 shares of Class A common stock held of record by T. Rowe Price Health Sciences Portfolio; (iii) 274,505 shares of Class A common stock held of record by TD Mutual Funds - TD Health Sciences Fund and (iv) 264,556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capital stock, $0.00001 par value per share, of which:</w:t>
      </w:r>
    </w:p>
    <w:p>
      <w:pPr>
        <w:spacing w:after="0" w:line="157" w:lineRule="exact"/>
        <w:rPr>
          <w:sz w:val="20"/>
          <w:szCs w:val="20"/>
          <w:color w:val="auto"/>
        </w:rPr>
      </w:pPr>
    </w:p>
    <w:p>
      <w:pPr>
        <w:ind w:left="1200" w:hanging="868"/>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shares are designated as Class A common stock;</w:t>
      </w:r>
    </w:p>
    <w:p>
      <w:pPr>
        <w:spacing w:after="0" w:line="171" w:lineRule="exact"/>
        <w:rPr>
          <w:rFonts w:ascii="Arial" w:cs="Arial" w:eastAsia="Arial" w:hAnsi="Arial"/>
          <w:sz w:val="18"/>
          <w:szCs w:val="18"/>
          <w:color w:val="auto"/>
        </w:rPr>
      </w:pPr>
    </w:p>
    <w:p>
      <w:pPr>
        <w:ind w:left="1200" w:hanging="868"/>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shares are designated as Class B common stock; and</w:t>
      </w:r>
    </w:p>
    <w:p>
      <w:pPr>
        <w:spacing w:after="0" w:line="171" w:lineRule="exact"/>
        <w:rPr>
          <w:rFonts w:ascii="Arial" w:cs="Arial" w:eastAsia="Arial" w:hAnsi="Arial"/>
          <w:sz w:val="18"/>
          <w:szCs w:val="18"/>
          <w:color w:val="auto"/>
        </w:rPr>
      </w:pPr>
    </w:p>
    <w:p>
      <w:pPr>
        <w:ind w:left="1200" w:hanging="868"/>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of August 31, 2020, there were 6,366,776 shares of our Class A common stock outstanding, held by 36 stockholders of record, 20,000,000 shares of our Class B common stock outstanding, held by 15 stockholders of record and no shares of our preferred stock outstanding. Pursuant to our amended and restated certificate of incorporation, our board of directors will have the authority, without stockholder approval except as required by the listing standards</w:t>
      </w:r>
    </w:p>
    <w:p>
      <w:pPr>
        <w:spacing w:after="0" w:line="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to issue additional shares of our Class A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will be entitled to ten votes for each share held, except as otherwise required by law. The holders of our Class A common stock and Class B common stock vote together as a single class, unless otherwise required by law.</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pacing w:after="0" w:line="116" w:lineRule="exact"/>
        <w:rPr>
          <w:sz w:val="20"/>
          <w:szCs w:val="20"/>
          <w:color w:val="auto"/>
        </w:rPr>
      </w:pPr>
    </w:p>
    <w:p>
      <w:pPr>
        <w:ind w:left="6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Stockholders do not have the ability to cumulate votes for the election of directors. Our amended and restated certificate of incorporation and amended and restated bylaws that will be in effect at the closing of this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upon the earlier of the first day following the fifth anniversary of the closing of this offering and December 31, 2025.</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2019, we had outstanding options to purchase an aggregate of 4,656,931 shares of our Class A common stock, with a weighted-average exercise price of approximately $0.39 per share,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1440" w:right="379" w:bottom="1440" w:gutter="0" w:footer="0" w:header="0"/>
        </w:sectPr>
      </w:pPr>
    </w:p>
    <w:bookmarkStart w:id="151" w:name="page152"/>
    <w:bookmarkEnd w:id="1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jc w:val="both"/>
        <w:ind w:right="460" w:firstLine="324"/>
        <w:spacing w:after="0" w:line="296" w:lineRule="auto"/>
        <w:rPr>
          <w:sz w:val="20"/>
          <w:szCs w:val="20"/>
          <w:color w:val="auto"/>
        </w:rPr>
      </w:pPr>
      <w:r>
        <w:rPr>
          <w:rFonts w:ascii="Arial" w:cs="Arial" w:eastAsia="Arial" w:hAnsi="Arial"/>
          <w:sz w:val="16"/>
          <w:szCs w:val="16"/>
          <w:color w:val="auto"/>
        </w:rPr>
        <w:t>As of December 31, 2019, we had no outstanding shares of our Class A common stock subject to RSUs under our equity compensation plans. Subsequently, as of September 1, 2020, we had 717,232 shares of our Class A common stock outstanding, subject to RSUs issued under our equity compensation plans, which will vest upon the satisfaction of a performance-based condition. The performance-based condition for the RSUs will be satisfied on the earlier of (i) the first and second year anniversaries of the effective date of this registration statement; and (ii) the date of a Change in Control (as defined in the relevant equity compensation plan), subject to continued service to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After the completion of this offering, certain holders of our Class A common stock will be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this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the completion of this offering, the holders of up to 63,413,774 shares of our Class A common stock will be entitled to certain demand registration rights. At any time after the earlier of five years after the date of the IRA or 180 days after the effective date of this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After the completion of this offering, if we propose to register the offer and sale of our Class A common stock under the Securities Act, in connection with the public offering of such Class A common stock the holders of up to 63,413,774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After the completion of this offering, the holders of up to 63,413,774 shares of our Class A common stock will be entitled to certain Form S-3 registration rights. The holders of at least 30% of registrable shares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320" w:top="1440" w:right="399" w:bottom="1440" w:gutter="0" w:footer="0" w:header="0"/>
        </w:sectPr>
      </w:pPr>
    </w:p>
    <w:bookmarkStart w:id="152" w:name="page153"/>
    <w:bookmarkEnd w:id="152"/>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30"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71" w:lineRule="exact"/>
        <w:rPr>
          <w:rFonts w:ascii="Arial" w:cs="Arial" w:eastAsia="Arial" w:hAnsi="Arial"/>
          <w:sz w:val="18"/>
          <w:szCs w:val="18"/>
          <w:color w:val="auto"/>
        </w:rPr>
      </w:pPr>
    </w:p>
    <w:p>
      <w:pPr>
        <w:ind w:left="660" w:right="120" w:hanging="328"/>
        <w:spacing w:after="0" w:line="279" w:lineRule="auto"/>
        <w:tabs>
          <w:tab w:leader="none" w:pos="65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0"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71"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3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 will authorize only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fill vacant directorships, including newly created seats. In addition, the number of directors constituting our board of directors will be permitted to be set only by a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will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will provide that our stockholders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Amendment of Charter Provisions. </w:t>
      </w:r>
      <w:r>
        <w:rPr>
          <w:rFonts w:ascii="Arial" w:cs="Arial" w:eastAsia="Arial" w:hAnsi="Arial"/>
          <w:sz w:val="16"/>
          <w:szCs w:val="16"/>
          <w:color w:val="auto"/>
        </w:rPr>
        <w:t>Any amendment of the above provisions in our amended and restated certificate of incorporation would require</w:t>
      </w:r>
    </w:p>
    <w:p>
      <w:pPr>
        <w:spacing w:after="0" w:line="46"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approval by holders of at least</w:t>
      </w:r>
      <w:r>
        <w:rPr>
          <w:sz w:val="20"/>
          <w:szCs w:val="20"/>
          <w:color w:val="auto"/>
        </w:rPr>
        <w:tab/>
      </w:r>
      <w:r>
        <w:rPr>
          <w:rFonts w:ascii="Arial" w:cs="Arial" w:eastAsia="Arial" w:hAnsi="Arial"/>
          <w:sz w:val="16"/>
          <w:szCs w:val="16"/>
          <w:color w:val="auto"/>
        </w:rPr>
        <w:t>% of our then outstanding capital stock.</w:t>
      </w:r>
    </w:p>
    <w:p>
      <w:pPr>
        <w:spacing w:after="0" w:line="157" w:lineRule="exact"/>
        <w:rPr>
          <w:sz w:val="20"/>
          <w:szCs w:val="20"/>
          <w:color w:val="auto"/>
        </w:rPr>
      </w:pPr>
    </w:p>
    <w:p>
      <w:pPr>
        <w:ind w:left="680" w:right="20" w:hanging="350"/>
        <w:spacing w:after="0" w:line="291" w:lineRule="auto"/>
        <w:rPr>
          <w:sz w:val="20"/>
          <w:szCs w:val="20"/>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Our board of directors will have the authority, without further action by our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 directors.</w:t>
      </w:r>
    </w:p>
    <w:p>
      <w:pPr>
        <w:ind w:right="120"/>
        <w:spacing w:after="0" w:line="260" w:lineRule="auto"/>
        <w:rPr>
          <w:sz w:val="20"/>
          <w:szCs w:val="20"/>
          <w:color w:val="auto"/>
        </w:rPr>
      </w:pPr>
      <w:r>
        <w:rPr>
          <w:rFonts w:ascii="Arial" w:cs="Arial" w:eastAsia="Arial" w:hAnsi="Arial"/>
          <w:sz w:val="18"/>
          <w:szCs w:val="18"/>
          <w:color w:val="auto"/>
        </w:rPr>
        <w:t>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Our amended and restated bylaws will provide that, unless we consent to the selection of an alternative forum, the Court of Chancery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This exclusive forum provision will not apply to any causes of action arising under the Securities Act or the Exchange Act or any other claim for which the federal courts have exclusive jurisdiction. Any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60"/>
          </w:cols>
          <w:pgMar w:left="320" w:top="1440" w:right="519" w:bottom="1440" w:gutter="0" w:footer="0" w:header="0"/>
        </w:sectPr>
      </w:pP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will be registrar’s address is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w:t>
      </w:r>
    </w:p>
    <w:p>
      <w:pPr>
        <w:spacing w:after="0" w:line="405" w:lineRule="exact"/>
        <w:rPr>
          <w:sz w:val="20"/>
          <w:szCs w:val="20"/>
          <w:color w:val="auto"/>
        </w:rPr>
      </w:pPr>
    </w:p>
    <w:p>
      <w:pPr>
        <w:sectPr>
          <w:pgSz w:w="11900" w:h="16838" w:orient="portrait"/>
          <w:cols w:equalWidth="0" w:num="2">
            <w:col w:w="8040" w:space="720"/>
            <w:col w:w="2300"/>
          </w:cols>
          <w:pgMar w:left="320" w:top="1440" w:right="5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tabs>
          <w:tab w:leader="none" w:pos="5720" w:val="left"/>
        </w:tabs>
        <w:rPr>
          <w:sz w:val="20"/>
          <w:szCs w:val="20"/>
          <w:color w:val="auto"/>
        </w:rPr>
      </w:pPr>
      <w:r>
        <w:rPr>
          <w:rFonts w:ascii="Arial" w:cs="Arial" w:eastAsia="Arial" w:hAnsi="Arial"/>
          <w:sz w:val="18"/>
          <w:szCs w:val="18"/>
          <w:color w:val="auto"/>
        </w:rPr>
        <w:t>We intend to apply for the listing of our Class A common stock on</w:t>
      </w:r>
      <w:r>
        <w:rPr>
          <w:sz w:val="20"/>
          <w:szCs w:val="20"/>
          <w:color w:val="auto"/>
        </w:rPr>
        <w:tab/>
      </w:r>
      <w:r>
        <w:rPr>
          <w:rFonts w:ascii="Arial" w:cs="Arial" w:eastAsia="Arial" w:hAnsi="Arial"/>
          <w:sz w:val="16"/>
          <w:szCs w:val="16"/>
          <w:color w:val="auto"/>
        </w:rPr>
        <w:t>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1440" w:right="519" w:bottom="1440" w:gutter="0" w:footer="0" w:header="0"/>
          <w:type w:val="continuous"/>
        </w:sectPr>
      </w:pPr>
    </w:p>
    <w:bookmarkStart w:id="155" w:name="page156"/>
    <w:bookmarkEnd w:id="15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September 1, 2020 we will have a total</w:t>
      </w:r>
    </w:p>
    <w:p>
      <w:pPr>
        <w:spacing w:after="0" w:line="46"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of shares of our Class A common stock outstanding and shares of our Class B common stock outstanding.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0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240"/>
          </w:cols>
          <w:pgMar w:left="320" w:top="1440" w:right="339" w:bottom="1440" w:gutter="0" w:footer="0" w:header="0"/>
        </w:sectPr>
      </w:pP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hanging="4"/>
        <w:spacing w:after="0" w:line="308" w:lineRule="auto"/>
        <w:rPr>
          <w:sz w:val="20"/>
          <w:szCs w:val="20"/>
          <w:color w:val="auto"/>
        </w:rPr>
      </w:pPr>
      <w:r>
        <w:rPr>
          <w:rFonts w:ascii="Arial" w:cs="Arial" w:eastAsia="Arial" w:hAnsi="Arial"/>
          <w:sz w:val="17"/>
          <w:szCs w:val="17"/>
          <w:color w:val="auto"/>
        </w:rPr>
        <w:t>beginning on the date of this prospectus, all in the public market; and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 sale</w:t>
      </w:r>
    </w:p>
    <w:p>
      <w:pPr>
        <w:spacing w:after="0" w:line="409" w:lineRule="exact"/>
        <w:rPr>
          <w:sz w:val="20"/>
          <w:szCs w:val="20"/>
          <w:color w:val="auto"/>
        </w:rPr>
      </w:pPr>
    </w:p>
    <w:p>
      <w:pPr>
        <w:sectPr>
          <w:pgSz w:w="11900" w:h="16838" w:orient="portrait"/>
          <w:cols w:equalWidth="0" w:num="3">
            <w:col w:w="400" w:space="260"/>
            <w:col w:w="3120" w:space="500"/>
            <w:col w:w="6960"/>
          </w:cols>
          <w:pgMar w:left="320" w:top="1440" w:right="339" w:bottom="1440" w:gutter="0" w:footer="0" w:header="0"/>
          <w:type w:val="continuous"/>
        </w:sectPr>
      </w:pPr>
    </w:p>
    <w:p>
      <w:pPr>
        <w:ind w:left="660" w:hanging="328"/>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terms of the lock-up and market standoff agreements described below)</w:t>
      </w:r>
    </w:p>
    <w:p>
      <w:pPr>
        <w:sectPr>
          <w:pgSz w:w="11900" w:h="16838" w:orient="portrait"/>
          <w:cols w:equalWidth="0" w:num="1">
            <w:col w:w="11240"/>
          </w:cols>
          <w:pgMar w:left="320" w:top="1440" w:right="339" w:bottom="1440" w:gutter="0" w:footer="0" w:header="0"/>
          <w:type w:val="continuous"/>
        </w:sectPr>
      </w:pPr>
    </w:p>
    <w:p>
      <w:pPr>
        <w:spacing w:after="0" w:line="46" w:lineRule="exact"/>
        <w:rPr>
          <w:sz w:val="20"/>
          <w:szCs w:val="20"/>
          <w:color w:val="auto"/>
        </w:rPr>
      </w:pPr>
    </w:p>
    <w:p>
      <w:pPr>
        <w:ind w:left="660" w:right="120"/>
        <w:spacing w:after="0" w:line="260" w:lineRule="auto"/>
        <w:rPr>
          <w:sz w:val="20"/>
          <w:szCs w:val="20"/>
          <w:color w:val="auto"/>
        </w:rPr>
      </w:pPr>
      <w:r>
        <w:rPr>
          <w:rFonts w:ascii="Arial" w:cs="Arial" w:eastAsia="Arial" w:hAnsi="Arial"/>
          <w:sz w:val="18"/>
          <w:szCs w:val="18"/>
          <w:color w:val="auto"/>
        </w:rPr>
        <w:t>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240"/>
          </w:cols>
          <w:pgMar w:left="320" w:top="1440"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directors, our executive officers and holders of substantially all of our capital stock and securities convertible into our capital stock have entered or will enter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Morgan Stanley &amp; Co. LLC and BofA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type w:val="continuous"/>
        </w:sectPr>
      </w:pPr>
    </w:p>
    <w:bookmarkStart w:id="156" w:name="page157"/>
    <w:bookmarkEnd w:id="156"/>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For more information, see the section titled “Underwriting.”</w:t>
      </w:r>
    </w:p>
    <w:p>
      <w:pPr>
        <w:spacing w:after="0" w:line="12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40"/>
          </w:cols>
          <w:pgMar w:left="320" w:top="1440" w:right="339" w:bottom="1440" w:gutter="0" w:footer="0" w:header="0"/>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1% of the number of shares of our capital stock then outstanding, which will equal offering; 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shares immediately after the completion of this</w:t>
      </w:r>
    </w:p>
    <w:p>
      <w:pPr>
        <w:spacing w:after="0" w:line="409" w:lineRule="exact"/>
        <w:rPr>
          <w:sz w:val="20"/>
          <w:szCs w:val="20"/>
          <w:color w:val="auto"/>
        </w:rPr>
      </w:pPr>
    </w:p>
    <w:p>
      <w:pPr>
        <w:sectPr>
          <w:pgSz w:w="11900" w:h="16838" w:orient="portrait"/>
          <w:cols w:equalWidth="0" w:num="3">
            <w:col w:w="400" w:space="260"/>
            <w:col w:w="5940" w:space="620"/>
            <w:col w:w="4020"/>
          </w:cols>
          <w:pgMar w:left="320" w:top="1440" w:right="339" w:bottom="1440" w:gutter="0" w:footer="0" w:header="0"/>
          <w:type w:val="continuous"/>
        </w:sectPr>
      </w:pPr>
    </w:p>
    <w:p>
      <w:pPr>
        <w:ind w:left="660" w:right="3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our IRA, after the completion of this offering, the holders of up to 63,413,774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Class A common stock subject to RSUs and options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320" w:top="1440" w:right="379" w:bottom="1440" w:gutter="0" w:footer="0" w:header="0"/>
        </w:sectPr>
      </w:pPr>
    </w:p>
    <w:bookmarkStart w:id="158" w:name="page159"/>
    <w:bookmarkEnd w:id="15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4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95"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94"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option or otherwise as compensation;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property held for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should consult his, her or its own tax advisor regarding the tax considerations of the purchase, ownership and disposition of our common stock through a partnership.</w:t>
      </w:r>
    </w:p>
    <w:p>
      <w:pPr>
        <w:spacing w:after="0" w:line="112"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neither a partnership nor:</w:t>
      </w:r>
    </w:p>
    <w:p>
      <w:pPr>
        <w:spacing w:after="0" w:line="116"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16" w:lineRule="exact"/>
        <w:rPr>
          <w:sz w:val="20"/>
          <w:szCs w:val="20"/>
          <w:color w:val="auto"/>
        </w:rPr>
      </w:pPr>
    </w:p>
    <w:p>
      <w:pPr>
        <w:ind w:left="660" w:right="40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2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We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6"/>
          <w:szCs w:val="16"/>
          <w:color w:val="auto"/>
        </w:rPr>
        <w:t>‑</w:t>
      </w:r>
      <w:r>
        <w:rPr>
          <w:rFonts w:ascii="Arial" w:cs="Arial" w:eastAsia="Arial" w:hAnsi="Arial"/>
          <w:sz w:val="16"/>
          <w:szCs w:val="16"/>
          <w:color w:val="auto"/>
        </w:rPr>
        <w:t>running managers of the offering and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7" w:lineRule="exact"/>
        <w:rPr>
          <w:sz w:val="20"/>
          <w:szCs w:val="20"/>
          <w:color w:val="auto"/>
        </w:rPr>
      </w:pPr>
    </w:p>
    <w:p>
      <w:pPr>
        <w:ind w:left="4620"/>
        <w:spacing w:after="0"/>
        <w:tabs>
          <w:tab w:leader="none" w:pos="98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9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underwriters are committed to purchase all the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36"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underwriters do not expect to sell more than 5% of the shares of Class A common stock in the aggregate to accounts over which they exercise discretionary authority.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w:t>
      </w:r>
    </w:p>
    <w:p>
      <w:pPr>
        <w:spacing w:after="0" w:line="46" w:lineRule="exact"/>
        <w:rPr>
          <w:sz w:val="20"/>
          <w:szCs w:val="20"/>
          <w:color w:val="auto"/>
        </w:rPr>
      </w:pPr>
    </w:p>
    <w:p>
      <w:pPr>
        <w:ind w:right="680"/>
        <w:spacing w:after="0" w:line="323" w:lineRule="auto"/>
        <w:rPr>
          <w:sz w:val="20"/>
          <w:szCs w:val="20"/>
          <w:color w:val="auto"/>
        </w:rPr>
      </w:pPr>
      <w:r>
        <w:rPr>
          <w:rFonts w:ascii="Arial" w:cs="Arial" w:eastAsia="Arial" w:hAnsi="Arial"/>
          <w:sz w:val="16"/>
          <w:szCs w:val="16"/>
          <w:color w:val="auto"/>
        </w:rPr>
        <w:t>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Without option to</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With full option to</w:t>
            </w:r>
          </w:p>
        </w:tc>
      </w:tr>
      <w:tr>
        <w:trPr>
          <w:trHeight w:val="148"/>
        </w:trPr>
        <w:tc>
          <w:tcPr>
            <w:tcW w:w="802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 additional</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 additional</w:t>
            </w:r>
          </w:p>
        </w:tc>
      </w:tr>
      <w:tr>
        <w:trPr>
          <w:trHeight w:val="192"/>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exercise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exercise</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bottom w:val="single" w:sz="8" w:color="CCEEFF"/>
            </w:tcBorders>
            <w:shd w:val="clear" w:color="auto" w:fill="CCEEFF"/>
          </w:tcPr>
          <w:p>
            <w:pPr>
              <w:jc w:val="right"/>
              <w:ind w:right="138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381"/>
              <w:spacing w:after="0"/>
              <w:rPr>
                <w:sz w:val="20"/>
                <w:szCs w:val="20"/>
                <w:color w:val="auto"/>
              </w:rPr>
            </w:pPr>
            <w:r>
              <w:rPr>
                <w:rFonts w:ascii="Arial" w:cs="Arial" w:eastAsia="Arial" w:hAnsi="Arial"/>
                <w:sz w:val="18"/>
                <w:szCs w:val="18"/>
                <w:color w:val="auto"/>
                <w:w w:val="7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8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81"/>
              <w:spacing w:after="0"/>
              <w:rPr>
                <w:sz w:val="20"/>
                <w:szCs w:val="20"/>
                <w:color w:val="auto"/>
              </w:rPr>
            </w:pPr>
            <w:r>
              <w:rPr>
                <w:rFonts w:ascii="Arial" w:cs="Arial" w:eastAsia="Arial" w:hAnsi="Arial"/>
                <w:sz w:val="18"/>
                <w:szCs w:val="18"/>
                <w:color w:val="auto"/>
                <w:w w:val="79"/>
              </w:rPr>
              <w:t>$</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46"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excluding the underwriting discounts and commissions, will be approximately $ . We have also agreed to reimburse the underwriters for reasonable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counsel related to the review by the Financial Industry Regulatory Authority of the terms of sale of the shares of Class A common stock offered hereby in</w:t>
      </w:r>
    </w:p>
    <w:p>
      <w:pPr>
        <w:spacing w:after="0" w:line="46"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an amount not to exceed $</w:t>
      </w:r>
      <w:r>
        <w:rPr>
          <w:sz w:val="20"/>
          <w:szCs w:val="20"/>
          <w:color w:val="auto"/>
        </w:rPr>
        <w:tab/>
      </w:r>
      <w:r>
        <w:rPr>
          <w:rFonts w:ascii="Arial" w:cs="Arial" w:eastAsia="Arial" w:hAnsi="Arial"/>
          <w:sz w:val="13"/>
          <w:szCs w:val="13"/>
          <w:color w:val="auto"/>
        </w:rPr>
        <w:t>.</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w:t>
      </w:r>
    </w:p>
    <w:p>
      <w:pPr>
        <w:spacing w:after="0" w:line="127" w:lineRule="exact"/>
        <w:rPr>
          <w:sz w:val="20"/>
          <w:szCs w:val="20"/>
          <w:color w:val="auto"/>
        </w:rPr>
      </w:pPr>
    </w:p>
    <w:p>
      <w:pPr>
        <w:ind w:right="20" w:firstLine="324"/>
        <w:spacing w:after="0" w:line="217" w:lineRule="exact"/>
        <w:rPr>
          <w:sz w:val="20"/>
          <w:szCs w:val="20"/>
          <w:color w:val="auto"/>
        </w:rPr>
      </w:pPr>
      <w:r>
        <w:rPr>
          <w:rFonts w:ascii="Arial" w:cs="Arial" w:eastAsia="Arial" w:hAnsi="Arial"/>
          <w:sz w:val="17"/>
          <w:szCs w:val="17"/>
          <w:color w:val="auto"/>
        </w:rPr>
        <w:t>Our directors and executive officers, and substantially all of our stockholders (such persons, the “lock-up parties”) have entered into lock</w:t>
      </w:r>
      <w:r>
        <w:rPr>
          <w:rFonts w:ascii="MS PGothic" w:cs="MS PGothic" w:eastAsia="MS PGothic" w:hAnsi="MS PGothic"/>
          <w:sz w:val="17"/>
          <w:szCs w:val="17"/>
          <w:color w:val="auto"/>
        </w:rPr>
        <w:t>‑</w:t>
      </w:r>
      <w:r>
        <w:rPr>
          <w:rFonts w:ascii="Arial" w:cs="Arial" w:eastAsia="Arial" w:hAnsi="Arial"/>
          <w:sz w:val="17"/>
          <w:szCs w:val="17"/>
          <w:color w:val="auto"/>
        </w:rPr>
        <w:t>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5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 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w:t>
      </w:r>
    </w:p>
    <w:p>
      <w:pPr>
        <w:spacing w:after="0" w:line="2" w:lineRule="exact"/>
        <w:rPr>
          <w:sz w:val="20"/>
          <w:szCs w:val="20"/>
          <w:color w:val="auto"/>
        </w:rPr>
      </w:pPr>
    </w:p>
    <w:p>
      <w:pPr>
        <w:jc w:val="both"/>
        <w:ind w:right="120" w:firstLine="8"/>
        <w:spacing w:after="0" w:line="255"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w:t>
      </w:r>
    </w:p>
    <w:p>
      <w:pPr>
        <w:spacing w:after="0" w:line="12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340"/>
        <w:spacing w:after="0"/>
        <w:tabs>
          <w:tab w:leader="none" w:pos="6740" w:val="left"/>
        </w:tabs>
        <w:rPr>
          <w:sz w:val="20"/>
          <w:szCs w:val="20"/>
          <w:color w:val="auto"/>
        </w:rPr>
      </w:pPr>
      <w:r>
        <w:rPr>
          <w:rFonts w:ascii="Arial" w:cs="Arial" w:eastAsia="Arial" w:hAnsi="Arial"/>
          <w:sz w:val="18"/>
          <w:szCs w:val="18"/>
          <w:color w:val="auto"/>
        </w:rPr>
        <w:t>We will apply to have our Class A common stock approved for listing on the</w:t>
      </w:r>
      <w:r>
        <w:rPr>
          <w:sz w:val="20"/>
          <w:szCs w:val="20"/>
          <w:color w:val="auto"/>
        </w:rPr>
        <w:tab/>
      </w:r>
      <w:r>
        <w:rPr>
          <w:rFonts w:ascii="Arial" w:cs="Arial" w:eastAsia="Arial" w:hAnsi="Arial"/>
          <w:sz w:val="16"/>
          <w:szCs w:val="16"/>
          <w:color w:val="auto"/>
        </w:rPr>
        <w:t>under the symbol “SEER.”</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w:t>
      </w:r>
    </w:p>
    <w:p>
      <w:pPr>
        <w:spacing w:after="0" w:line="2" w:lineRule="exact"/>
        <w:rPr>
          <w:sz w:val="20"/>
          <w:szCs w:val="20"/>
          <w:color w:val="auto"/>
        </w:rPr>
      </w:pPr>
    </w:p>
    <w:p>
      <w:pPr>
        <w:spacing w:after="0" w:line="207" w:lineRule="exact"/>
        <w:tabs>
          <w:tab w:leader="none" w:pos="62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57"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30"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Class A common stock of generally comparable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Class A common stock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60"/>
          </w:cols>
          <w:pgMar w:left="320" w:top="1440" w:right="419" w:bottom="1440" w:gutter="0" w:footer="0" w:header="0"/>
        </w:sectPr>
      </w:pPr>
    </w:p>
    <w:bookmarkStart w:id="166" w:name="page167"/>
    <w:bookmarkEnd w:id="166"/>
    <w:p>
      <w:pPr>
        <w:spacing w:after="0" w:line="14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4" w:lineRule="exact"/>
        <w:rPr>
          <w:sz w:val="20"/>
          <w:szCs w:val="20"/>
          <w:color w:val="auto"/>
        </w:rPr>
      </w:pPr>
    </w:p>
    <w:p>
      <w:pPr>
        <w:ind w:left="640" w:hanging="308"/>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shall require us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3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82" w:lineRule="exact"/>
        <w:rPr>
          <w:rFonts w:ascii="Arial" w:cs="Arial" w:eastAsia="Arial" w:hAnsi="Arial"/>
          <w:sz w:val="17"/>
          <w:szCs w:val="17"/>
          <w:color w:val="auto"/>
        </w:rPr>
      </w:pPr>
    </w:p>
    <w:p>
      <w:pPr>
        <w:jc w:val="both"/>
        <w:ind w:left="660" w:right="560" w:hanging="328"/>
        <w:spacing w:after="0" w:line="26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7"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7" w:lineRule="exact"/>
        <w:rPr>
          <w:sz w:val="20"/>
          <w:szCs w:val="20"/>
          <w:color w:val="auto"/>
        </w:rPr>
      </w:pPr>
    </w:p>
    <w:p>
      <w:pPr>
        <w:ind w:left="660" w:right="180" w:hanging="328"/>
        <w:spacing w:after="0" w:line="277" w:lineRule="auto"/>
        <w:tabs>
          <w:tab w:leader="none" w:pos="6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77" w:lineRule="auto"/>
        <w:tabs>
          <w:tab w:leader="none" w:pos="6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44" w:lineRule="exact"/>
        <w:rPr>
          <w:sz w:val="20"/>
          <w:szCs w:val="20"/>
          <w:color w:val="auto"/>
        </w:rPr>
      </w:pPr>
    </w:p>
    <w:p>
      <w:pPr>
        <w:ind w:left="660" w:right="80" w:hanging="328"/>
        <w:spacing w:after="0" w:line="279"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7" w:lineRule="exact"/>
        <w:rPr>
          <w:rFonts w:ascii="Arial" w:cs="Arial" w:eastAsia="Arial" w:hAnsi="Arial"/>
          <w:sz w:val="17"/>
          <w:szCs w:val="17"/>
          <w:color w:val="auto"/>
        </w:rPr>
      </w:pPr>
    </w:p>
    <w:p>
      <w:pPr>
        <w:ind w:left="640" w:hanging="308"/>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person with an address in South Africa, unless one or other of the following exemptions stipulated in section 96 (1) applies:</w:t>
      </w:r>
    </w:p>
    <w:p>
      <w:pPr>
        <w:spacing w:after="0" w:line="225"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23" w:lineRule="exact"/>
        <w:rPr>
          <w:sz w:val="20"/>
          <w:szCs w:val="20"/>
          <w:color w:val="auto"/>
        </w:rPr>
      </w:pPr>
    </w:p>
    <w:p>
      <w:pPr>
        <w:ind w:left="2380" w:hanging="221"/>
        <w:spacing w:after="0"/>
        <w:tabs>
          <w:tab w:leader="none" w:pos="23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32" w:lineRule="exact"/>
        <w:rPr>
          <w:rFonts w:ascii="Arial" w:cs="Arial" w:eastAsia="Arial" w:hAnsi="Arial"/>
          <w:sz w:val="16"/>
          <w:szCs w:val="16"/>
          <w:color w:val="auto"/>
        </w:rPr>
      </w:pPr>
    </w:p>
    <w:p>
      <w:pPr>
        <w:ind w:left="2420" w:hanging="261"/>
        <w:spacing w:after="0"/>
        <w:tabs>
          <w:tab w:leader="none" w:pos="2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9" w:lineRule="exact"/>
        <w:rPr>
          <w:rFonts w:ascii="Arial" w:cs="Arial" w:eastAsia="Arial" w:hAnsi="Arial"/>
          <w:sz w:val="18"/>
          <w:szCs w:val="18"/>
          <w:color w:val="auto"/>
        </w:rPr>
      </w:pPr>
    </w:p>
    <w:p>
      <w:pPr>
        <w:ind w:left="2480" w:hanging="321"/>
        <w:spacing w:after="0"/>
        <w:tabs>
          <w:tab w:leader="none" w:pos="2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9" w:lineRule="exact"/>
        <w:rPr>
          <w:rFonts w:ascii="Arial" w:cs="Arial" w:eastAsia="Arial" w:hAnsi="Arial"/>
          <w:sz w:val="18"/>
          <w:szCs w:val="18"/>
          <w:color w:val="auto"/>
        </w:rPr>
      </w:pPr>
    </w:p>
    <w:p>
      <w:pPr>
        <w:ind w:left="2460" w:hanging="301"/>
        <w:spacing w:after="0"/>
        <w:tabs>
          <w:tab w:leader="none" w:pos="2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9" w:lineRule="exact"/>
        <w:rPr>
          <w:rFonts w:ascii="Arial" w:cs="Arial" w:eastAsia="Arial" w:hAnsi="Arial"/>
          <w:sz w:val="18"/>
          <w:szCs w:val="18"/>
          <w:color w:val="auto"/>
        </w:rPr>
      </w:pPr>
    </w:p>
    <w:p>
      <w:pPr>
        <w:ind w:left="2420" w:hanging="261"/>
        <w:spacing w:after="0"/>
        <w:tabs>
          <w:tab w:leader="none" w:pos="2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9" w:lineRule="exact"/>
        <w:rPr>
          <w:rFonts w:ascii="Arial" w:cs="Arial" w:eastAsia="Arial" w:hAnsi="Arial"/>
          <w:sz w:val="18"/>
          <w:szCs w:val="18"/>
          <w:color w:val="auto"/>
        </w:rPr>
      </w:pPr>
    </w:p>
    <w:p>
      <w:pPr>
        <w:ind w:left="2160" w:right="420" w:hanging="1"/>
        <w:spacing w:after="0" w:line="250" w:lineRule="auto"/>
        <w:tabs>
          <w:tab w:leader="none" w:pos="24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2520" w:hanging="361"/>
        <w:spacing w:after="0"/>
        <w:tabs>
          <w:tab w:leader="none" w:pos="2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240"/>
          </w:cols>
          <w:pgMar w:left="320" w:top="1440" w:right="339" w:bottom="144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580" w:space="580"/>
            <w:col w:w="9080"/>
          </w:cols>
          <w:pgMar w:left="320" w:top="1440" w:right="339" w:bottom="1440" w:gutter="0" w:footer="0" w:header="0"/>
          <w:type w:val="continuous"/>
        </w:sectPr>
      </w:pPr>
    </w:p>
    <w:p>
      <w:pPr>
        <w:ind w:right="880"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Upon the completion of the offering, WS Investment Company (2017A) and WS Investment Company (2018A) will directly or indirectly own less than 0.1% of the outstanding shares of our common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financial statements of Seer, Inc. as of December 31, 2018 and 2019, and for each of the two years in the period ended December 31, 2019, have been included in this Prospectus have been audited by Deloitte &amp; Touche LLP,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8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320" w:top="1440" w:right="399" w:bottom="1440" w:gutter="0" w:footer="0" w:header="0"/>
        </w:sectPr>
      </w:pPr>
    </w:p>
    <w:bookmarkStart w:id="173" w:name="page174"/>
    <w:bookmarkEnd w:id="173"/>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SEER,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20" w:type="dxa"/>
            <w:vAlign w:val="bottom"/>
          </w:tcPr>
          <w:p>
            <w:pPr>
              <w:spacing w:after="0"/>
              <w:rPr>
                <w:sz w:val="16"/>
                <w:szCs w:val="16"/>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9"/>
        </w:trPr>
        <w:tc>
          <w:tcPr>
            <w:tcW w:w="10620" w:type="dxa"/>
            <w:vAlign w:val="bottom"/>
          </w:tcPr>
          <w:p>
            <w:pPr>
              <w:spacing w:after="0"/>
              <w:rPr>
                <w:rFonts w:ascii="Arial" w:cs="Arial" w:eastAsia="Arial" w:hAnsi="Arial"/>
                <w:sz w:val="18"/>
                <w:szCs w:val="18"/>
                <w:u w:val="single" w:color="auto"/>
                <w:color w:val="3051F2"/>
              </w:rPr>
            </w:pPr>
            <w:hyperlink w:anchor="page174">
              <w:r>
                <w:rPr>
                  <w:rFonts w:ascii="Arial" w:cs="Arial" w:eastAsia="Arial" w:hAnsi="Arial"/>
                  <w:sz w:val="18"/>
                  <w:szCs w:val="18"/>
                  <w:u w:val="single" w:color="auto"/>
                  <w:color w:val="3051F2"/>
                </w:rPr>
                <w:t>Report of Independent Registered Public Accounting Firm</w:t>
              </w:r>
            </w:hyperlink>
          </w:p>
        </w:tc>
        <w:tc>
          <w:tcPr>
            <w:tcW w:w="180" w:type="dxa"/>
            <w:vAlign w:val="bottom"/>
          </w:tcPr>
          <w:p>
            <w:pPr>
              <w:spacing w:after="0"/>
              <w:rPr>
                <w:sz w:val="19"/>
                <w:szCs w:val="19"/>
                <w:color w:val="auto"/>
              </w:rPr>
            </w:pPr>
          </w:p>
        </w:tc>
        <w:tc>
          <w:tcPr>
            <w:tcW w:w="420" w:type="dxa"/>
            <w:vAlign w:val="bottom"/>
            <w:gridSpan w:val="2"/>
          </w:tcPr>
          <w:p>
            <w:pPr>
              <w:jc w:val="center"/>
              <w:ind w:right="180"/>
              <w:spacing w:after="0"/>
              <w:rPr>
                <w:rFonts w:ascii="Arial" w:cs="Arial" w:eastAsia="Arial" w:hAnsi="Arial"/>
                <w:sz w:val="18"/>
                <w:szCs w:val="18"/>
                <w:u w:val="single" w:color="auto"/>
                <w:color w:val="0000FF"/>
                <w:w w:val="88"/>
              </w:rPr>
            </w:pPr>
            <w:hyperlink w:anchor="page174">
              <w:r>
                <w:rPr>
                  <w:rFonts w:ascii="Arial" w:cs="Arial" w:eastAsia="Arial" w:hAnsi="Arial"/>
                  <w:sz w:val="18"/>
                  <w:szCs w:val="18"/>
                  <w:u w:val="single" w:color="auto"/>
                  <w:color w:val="0000FF"/>
                  <w:w w:val="88"/>
                </w:rPr>
                <w:t>F-</w:t>
              </w:r>
              <w:r>
                <w:rPr>
                  <w:rFonts w:ascii="Arial" w:cs="Arial" w:eastAsia="Arial" w:hAnsi="Arial"/>
                  <w:sz w:val="18"/>
                  <w:szCs w:val="18"/>
                  <w:u w:val="single" w:color="auto"/>
                  <w:color w:val="3051F2"/>
                  <w:w w:val="88"/>
                </w:rPr>
                <w:t>2</w:t>
              </w:r>
            </w:hyperlink>
          </w:p>
        </w:tc>
      </w:tr>
      <w:tr>
        <w:trPr>
          <w:trHeight w:val="190"/>
        </w:trPr>
        <w:tc>
          <w:tcPr>
            <w:tcW w:w="10620" w:type="dxa"/>
            <w:vAlign w:val="bottom"/>
          </w:tcPr>
          <w:p>
            <w:pPr>
              <w:spacing w:after="0" w:line="190" w:lineRule="exact"/>
              <w:rPr>
                <w:rFonts w:ascii="Arial" w:cs="Arial" w:eastAsia="Arial" w:hAnsi="Arial"/>
                <w:sz w:val="18"/>
                <w:szCs w:val="18"/>
                <w:u w:val="single" w:color="auto"/>
                <w:color w:val="3051F2"/>
              </w:rPr>
            </w:pPr>
            <w:hyperlink w:anchor="page175">
              <w:r>
                <w:rPr>
                  <w:rFonts w:ascii="Arial" w:cs="Arial" w:eastAsia="Arial" w:hAnsi="Arial"/>
                  <w:sz w:val="18"/>
                  <w:szCs w:val="18"/>
                  <w:u w:val="single" w:color="auto"/>
                  <w:color w:val="3051F2"/>
                </w:rPr>
                <w:t>Balance Sheets</w:t>
              </w:r>
            </w:hyperlink>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90" w:lineRule="exact"/>
              <w:rPr>
                <w:rFonts w:ascii="Arial" w:cs="Arial" w:eastAsia="Arial" w:hAnsi="Arial"/>
                <w:sz w:val="18"/>
                <w:szCs w:val="18"/>
                <w:color w:val="3051F2"/>
                <w:w w:val="88"/>
              </w:rPr>
            </w:pPr>
            <w:hyperlink w:anchor="page175">
              <w:r>
                <w:rPr>
                  <w:rFonts w:ascii="Arial" w:cs="Arial" w:eastAsia="Arial" w:hAnsi="Arial"/>
                  <w:sz w:val="18"/>
                  <w:szCs w:val="18"/>
                  <w:color w:val="3051F2"/>
                  <w:w w:val="88"/>
                </w:rPr>
                <w:t>F-3</w:t>
              </w:r>
            </w:hyperlink>
          </w:p>
        </w:tc>
      </w:tr>
      <w:tr>
        <w:trPr>
          <w:trHeight w:val="20"/>
        </w:trPr>
        <w:tc>
          <w:tcPr>
            <w:tcW w:w="10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tcPr>
          <w:p>
            <w:pPr>
              <w:spacing w:after="0"/>
              <w:rPr>
                <w:rFonts w:ascii="Arial" w:cs="Arial" w:eastAsia="Arial" w:hAnsi="Arial"/>
                <w:sz w:val="18"/>
                <w:szCs w:val="18"/>
                <w:u w:val="single" w:color="auto"/>
                <w:color w:val="3051F2"/>
              </w:rPr>
            </w:pPr>
            <w:hyperlink w:anchor="page176">
              <w:r>
                <w:rPr>
                  <w:rFonts w:ascii="Arial" w:cs="Arial" w:eastAsia="Arial" w:hAnsi="Arial"/>
                  <w:sz w:val="18"/>
                  <w:szCs w:val="18"/>
                  <w:u w:val="single" w:color="auto"/>
                  <w:color w:val="3051F2"/>
                </w:rPr>
                <w:t>Statements of Operations and Comprehensive Loss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3051F2"/>
                <w:w w:val="88"/>
              </w:rPr>
            </w:pPr>
            <w:hyperlink w:anchor="page176">
              <w:r>
                <w:rPr>
                  <w:rFonts w:ascii="Arial" w:cs="Arial" w:eastAsia="Arial" w:hAnsi="Arial"/>
                  <w:sz w:val="18"/>
                  <w:szCs w:val="18"/>
                  <w:color w:val="3051F2"/>
                  <w:w w:val="88"/>
                </w:rPr>
                <w:t>F-4</w:t>
              </w:r>
            </w:hyperlink>
          </w:p>
        </w:tc>
      </w:tr>
      <w:tr>
        <w:trPr>
          <w:trHeight w:val="20"/>
        </w:trPr>
        <w:tc>
          <w:tcPr>
            <w:tcW w:w="10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620" w:type="dxa"/>
            <w:vAlign w:val="bottom"/>
          </w:tcPr>
          <w:p>
            <w:pPr>
              <w:spacing w:after="0"/>
              <w:rPr>
                <w:rFonts w:ascii="Arial" w:cs="Arial" w:eastAsia="Arial" w:hAnsi="Arial"/>
                <w:sz w:val="18"/>
                <w:szCs w:val="18"/>
                <w:u w:val="single" w:color="auto"/>
                <w:color w:val="3051F2"/>
              </w:rPr>
            </w:pPr>
            <w:hyperlink w:anchor="page177">
              <w:r>
                <w:rPr>
                  <w:rFonts w:ascii="Arial" w:cs="Arial" w:eastAsia="Arial" w:hAnsi="Arial"/>
                  <w:sz w:val="18"/>
                  <w:szCs w:val="18"/>
                  <w:u w:val="single" w:color="auto"/>
                  <w:color w:val="3051F2"/>
                </w:rPr>
                <w:t>Statements of Changes in Stockholders’ Equity</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3051F2"/>
                <w:w w:val="88"/>
              </w:rPr>
            </w:pPr>
            <w:hyperlink w:anchor="page177">
              <w:r>
                <w:rPr>
                  <w:rFonts w:ascii="Arial" w:cs="Arial" w:eastAsia="Arial" w:hAnsi="Arial"/>
                  <w:sz w:val="18"/>
                  <w:szCs w:val="18"/>
                  <w:color w:val="3051F2"/>
                  <w:w w:val="88"/>
                </w:rPr>
                <w:t>F-5</w:t>
              </w:r>
            </w:hyperlink>
          </w:p>
        </w:tc>
      </w:tr>
      <w:tr>
        <w:trPr>
          <w:trHeight w:val="20"/>
        </w:trPr>
        <w:tc>
          <w:tcPr>
            <w:tcW w:w="10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tcPr>
          <w:p>
            <w:pPr>
              <w:spacing w:after="0"/>
              <w:rPr>
                <w:rFonts w:ascii="Arial" w:cs="Arial" w:eastAsia="Arial" w:hAnsi="Arial"/>
                <w:sz w:val="18"/>
                <w:szCs w:val="18"/>
                <w:u w:val="single" w:color="auto"/>
                <w:color w:val="3051F2"/>
              </w:rPr>
            </w:pPr>
            <w:hyperlink w:anchor="page178">
              <w:r>
                <w:rPr>
                  <w:rFonts w:ascii="Arial" w:cs="Arial" w:eastAsia="Arial" w:hAnsi="Arial"/>
                  <w:sz w:val="18"/>
                  <w:szCs w:val="18"/>
                  <w:u w:val="single" w:color="auto"/>
                  <w:color w:val="3051F2"/>
                </w:rPr>
                <w:t>Statements of Cash Flows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3051F2"/>
                <w:w w:val="88"/>
              </w:rPr>
            </w:pPr>
            <w:hyperlink w:anchor="page178">
              <w:r>
                <w:rPr>
                  <w:rFonts w:ascii="Arial" w:cs="Arial" w:eastAsia="Arial" w:hAnsi="Arial"/>
                  <w:sz w:val="18"/>
                  <w:szCs w:val="18"/>
                  <w:color w:val="3051F2"/>
                  <w:w w:val="88"/>
                </w:rPr>
                <w:t>F-6</w:t>
              </w:r>
            </w:hyperlink>
          </w:p>
        </w:tc>
      </w:tr>
      <w:tr>
        <w:trPr>
          <w:trHeight w:val="20"/>
        </w:trPr>
        <w:tc>
          <w:tcPr>
            <w:tcW w:w="10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tcPr>
          <w:p>
            <w:pPr>
              <w:spacing w:after="0"/>
              <w:rPr>
                <w:rFonts w:ascii="Arial" w:cs="Arial" w:eastAsia="Arial" w:hAnsi="Arial"/>
                <w:sz w:val="18"/>
                <w:szCs w:val="18"/>
                <w:u w:val="single" w:color="auto"/>
                <w:color w:val="3051F2"/>
              </w:rPr>
            </w:pPr>
            <w:hyperlink w:anchor="page179">
              <w:r>
                <w:rPr>
                  <w:rFonts w:ascii="Arial" w:cs="Arial" w:eastAsia="Arial" w:hAnsi="Arial"/>
                  <w:sz w:val="18"/>
                  <w:szCs w:val="18"/>
                  <w:u w:val="single" w:color="auto"/>
                  <w:color w:val="3051F2"/>
                </w:rPr>
                <w:t>Notes to Financial Statements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3051F2"/>
                <w:w w:val="88"/>
              </w:rPr>
            </w:pPr>
            <w:hyperlink w:anchor="page179">
              <w:r>
                <w:rPr>
                  <w:rFonts w:ascii="Arial" w:cs="Arial" w:eastAsia="Arial" w:hAnsi="Arial"/>
                  <w:sz w:val="18"/>
                  <w:szCs w:val="18"/>
                  <w:color w:val="3051F2"/>
                  <w:w w:val="88"/>
                </w:rPr>
                <w:t>F-7</w:t>
              </w:r>
            </w:hyperlink>
          </w:p>
        </w:tc>
      </w:tr>
      <w:tr>
        <w:trPr>
          <w:trHeight w:val="20"/>
        </w:trPr>
        <w:tc>
          <w:tcPr>
            <w:tcW w:w="10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74" w:name="page175"/>
    <w:bookmarkEnd w:id="17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30,953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68,535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31,212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86,806</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33,696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Accrued research and development</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Deferred rent, current</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Deferred rent, net of current portion</w:t>
            </w:r>
          </w:p>
        </w:tc>
        <w:tc>
          <w:tcPr>
            <w:tcW w:w="9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79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(Note 10)</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Convertible preferred stock, $0.00001 par value; 23,527,671 and 47,450,748 shares authorized, issued and</w:t>
            </w: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outstanding as of December 31, 2018 and 2019, respectively; aggregate liquidation preference of</w:t>
            </w:r>
          </w:p>
        </w:tc>
        <w:tc>
          <w:tcPr>
            <w:tcW w:w="9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0"/>
              </w:rPr>
              <w:t>35,812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$36,000 and $108,500 as of December 31, 2018 and 2019, respectively</w:t>
            </w:r>
          </w:p>
        </w:tc>
        <w:tc>
          <w:tcPr>
            <w:tcW w:w="9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A common stock, $0.00001 par value; 60,000,000 and 91,500,000 shares authorized as of December</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400"/>
              <w:spacing w:after="0" w:line="176" w:lineRule="exact"/>
              <w:rPr>
                <w:sz w:val="20"/>
                <w:szCs w:val="20"/>
                <w:color w:val="auto"/>
              </w:rPr>
            </w:pPr>
            <w:r>
              <w:rPr>
                <w:rFonts w:ascii="Arial" w:cs="Arial" w:eastAsia="Arial" w:hAnsi="Arial"/>
                <w:sz w:val="18"/>
                <w:szCs w:val="18"/>
                <w:color w:val="auto"/>
                <w:w w:val="89"/>
              </w:rPr>
              <w:t>31, 2018 and 2019, respectively; 6,118,051 and 6,094,516 shares issued and outstanding as of December</w:t>
            </w:r>
          </w:p>
        </w:tc>
        <w:tc>
          <w:tcPr>
            <w:tcW w:w="9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ind w:left="400"/>
              <w:spacing w:after="0"/>
              <w:rPr>
                <w:sz w:val="20"/>
                <w:szCs w:val="20"/>
                <w:color w:val="auto"/>
              </w:rPr>
            </w:pPr>
            <w:r>
              <w:rPr>
                <w:rFonts w:ascii="Arial" w:cs="Arial" w:eastAsia="Arial" w:hAnsi="Arial"/>
                <w:sz w:val="18"/>
                <w:szCs w:val="18"/>
                <w:color w:val="auto"/>
              </w:rPr>
              <w:t>31, 2018 and 2019, respectively</w:t>
            </w:r>
          </w:p>
        </w:tc>
        <w:tc>
          <w:tcPr>
            <w:tcW w:w="9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Class B common stock, $0.00001 par value; 20,000,000 shares authorized as of both December 31, 2018</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and 2019, respectively; 20,000,000 shares issued and outstanding as of both December 31, 2018 and</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 respectively</w:t>
            </w:r>
          </w:p>
        </w:tc>
        <w:tc>
          <w:tcPr>
            <w:tcW w:w="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(6,548)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(22,586)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29,975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87,679</w:t>
            </w:r>
          </w:p>
        </w:tc>
        <w:tc>
          <w:tcPr>
            <w:tcW w:w="0" w:type="dxa"/>
            <w:vAlign w:val="bottom"/>
          </w:tcPr>
          <w:p>
            <w:pPr>
              <w:spacing w:after="0"/>
              <w:rPr>
                <w:sz w:val="1"/>
                <w:szCs w:val="1"/>
                <w:color w:val="auto"/>
              </w:rPr>
            </w:pPr>
          </w:p>
        </w:tc>
      </w:tr>
      <w:tr>
        <w:trPr>
          <w:trHeight w:val="264"/>
        </w:trPr>
        <w:tc>
          <w:tcPr>
            <w:tcW w:w="796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33,696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93,236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240"/>
          </w:cols>
          <w:pgMar w:left="320" w:top="1440" w:right="339" w:bottom="1440" w:gutter="0" w:footer="0" w:header="0"/>
          <w:type w:val="continuous"/>
        </w:sectPr>
      </w:pPr>
    </w:p>
    <w:bookmarkStart w:id="176" w:name="page177"/>
    <w:bookmarkEnd w:id="17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31"/>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Research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 revenue</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75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12,393</w:t>
            </w:r>
          </w:p>
        </w:tc>
      </w:tr>
      <w:tr>
        <w:trPr>
          <w:trHeight w:val="27"/>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r>
      <w:tr>
        <w:trPr>
          <w:trHeight w:val="237"/>
        </w:trPr>
        <w:tc>
          <w:tcPr>
            <w:tcW w:w="75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16,999</w:t>
            </w:r>
          </w:p>
        </w:tc>
      </w:tr>
      <w:tr>
        <w:trPr>
          <w:trHeight w:val="27"/>
        </w:trPr>
        <w:tc>
          <w:tcPr>
            <w:tcW w:w="7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income</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(16,038)</w:t>
            </w:r>
          </w:p>
        </w:tc>
      </w:tr>
      <w:tr>
        <w:trPr>
          <w:trHeight w:val="27"/>
        </w:trPr>
        <w:tc>
          <w:tcPr>
            <w:tcW w:w="7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Unrealized gain on available-for-sale securities</w:t>
            </w:r>
          </w:p>
        </w:tc>
        <w:tc>
          <w:tcPr>
            <w:tcW w:w="4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58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8,502,926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14,878,157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80" w:type="dxa"/>
            <w:vAlign w:val="bottom"/>
          </w:tcPr>
          <w:p>
            <w:pPr>
              <w:ind w:left="20"/>
              <w:spacing w:after="0"/>
              <w:rPr>
                <w:sz w:val="20"/>
                <w:szCs w:val="20"/>
                <w:color w:val="auto"/>
              </w:rPr>
            </w:pPr>
            <w:r>
              <w:rPr>
                <w:rFonts w:ascii="Arial" w:cs="Arial" w:eastAsia="Arial" w:hAnsi="Arial"/>
                <w:sz w:val="18"/>
                <w:szCs w:val="18"/>
                <w:color w:val="auto"/>
              </w:rPr>
              <w:t>Pro forma net loss per common share, basic and diluted (unaudited)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75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Pro forma weighted-average common shares used to compute basic and diluted net loss per common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(unaudited)</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45,913,238</w:t>
            </w:r>
          </w:p>
        </w:tc>
      </w:tr>
      <w:tr>
        <w:trPr>
          <w:trHeight w:val="20"/>
        </w:trPr>
        <w:tc>
          <w:tcPr>
            <w:tcW w:w="7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5"/>
              </w:rPr>
              <w:t>Class A and Class B Common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20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Convertible Preferred Stock</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92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Paid in</w:t>
            </w:r>
          </w:p>
        </w:tc>
        <w:tc>
          <w:tcPr>
            <w:tcW w:w="1060" w:type="dxa"/>
            <w:vAlign w:val="bottom"/>
            <w:gridSpan w:val="3"/>
          </w:tcPr>
          <w:p>
            <w:pPr>
              <w:jc w:val="right"/>
              <w:ind w:right="160"/>
              <w:spacing w:after="0" w:line="12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6,607,201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22,387,500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6"/>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1,809,821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Class A common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1,920,730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8"/>
              </w:rPr>
              <w:t>Vesting of early exercised stock options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and 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16,920,470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0" w:type="dxa"/>
            <w:vAlign w:val="bottom"/>
          </w:tcPr>
          <w:p>
            <w:pPr>
              <w:spacing w:after="0"/>
              <w:rPr>
                <w:sz w:val="1"/>
                <w:szCs w:val="1"/>
                <w:color w:val="auto"/>
              </w:rPr>
            </w:pPr>
          </w:p>
        </w:tc>
      </w:tr>
      <w:tr>
        <w:trPr>
          <w:trHeight w:val="217"/>
        </w:trPr>
        <w:tc>
          <w:tcPr>
            <w:tcW w:w="29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23,527,671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26,118,051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2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286,465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2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8"/>
              </w:rPr>
              <w:t>Vesting of early exercised stock options</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and 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7,000,000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16,798,459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300"/>
              <w:spacing w:after="0" w:line="162" w:lineRule="exact"/>
              <w:rPr>
                <w:sz w:val="20"/>
                <w:szCs w:val="20"/>
                <w:color w:val="auto"/>
              </w:rPr>
            </w:pPr>
            <w:r>
              <w:rPr>
                <w:rFonts w:ascii="Arial" w:cs="Arial" w:eastAsia="Arial" w:hAnsi="Arial"/>
                <w:sz w:val="16"/>
                <w:szCs w:val="16"/>
                <w:color w:val="auto"/>
              </w:rPr>
              <w:t>stock upon extinguishment of</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124,618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convertible 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23"/>
        </w:trPr>
        <w:tc>
          <w:tcPr>
            <w:tcW w:w="292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47"/>
        </w:trPr>
        <w:tc>
          <w:tcPr>
            <w:tcW w:w="29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47,450,748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26,094,516</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Pr>
          <w:p>
            <w:pPr>
              <w:spacing w:after="0"/>
              <w:rPr>
                <w:sz w:val="19"/>
                <w:szCs w:val="19"/>
                <w:color w:val="auto"/>
              </w:rPr>
            </w:pP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(16,038)</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9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23"/>
        </w:trPr>
        <w:tc>
          <w:tcPr>
            <w:tcW w:w="7960" w:type="dxa"/>
            <w:vAlign w:val="bottom"/>
          </w:tcPr>
          <w:p>
            <w:pPr>
              <w:ind w:left="220"/>
              <w:spacing w:after="0"/>
              <w:rPr>
                <w:sz w:val="20"/>
                <w:szCs w:val="20"/>
                <w:color w:val="auto"/>
              </w:rPr>
            </w:pPr>
            <w:r>
              <w:rPr>
                <w:rFonts w:ascii="Arial" w:cs="Arial" w:eastAsia="Arial" w:hAnsi="Arial"/>
                <w:sz w:val="16"/>
                <w:szCs w:val="16"/>
                <w:color w:val="auto"/>
              </w:rPr>
              <w:t>Net accretion of discount on available-for-sale securities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0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79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receivables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23"/>
        </w:trPr>
        <w:tc>
          <w:tcPr>
            <w:tcW w:w="79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24"/>
        </w:trPr>
        <w:tc>
          <w:tcPr>
            <w:tcW w:w="796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Deferred revenue</w:t>
            </w:r>
          </w:p>
        </w:tc>
        <w:tc>
          <w:tcPr>
            <w:tcW w:w="10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23"/>
        </w:trPr>
        <w:tc>
          <w:tcPr>
            <w:tcW w:w="7960" w:type="dxa"/>
            <w:vAlign w:val="bottom"/>
          </w:tcPr>
          <w:p>
            <w:pPr>
              <w:ind w:left="440"/>
              <w:spacing w:after="0"/>
              <w:rPr>
                <w:sz w:val="20"/>
                <w:szCs w:val="20"/>
                <w:color w:val="auto"/>
              </w:rPr>
            </w:pPr>
            <w:r>
              <w:rPr>
                <w:rFonts w:ascii="Arial" w:cs="Arial" w:eastAsia="Arial" w:hAnsi="Arial"/>
                <w:sz w:val="16"/>
                <w:szCs w:val="16"/>
                <w:color w:val="auto"/>
              </w:rPr>
              <w:t>Deferred rent</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r>
      <w:tr>
        <w:trPr>
          <w:trHeight w:val="223"/>
        </w:trPr>
        <w:tc>
          <w:tcPr>
            <w:tcW w:w="7960" w:type="dxa"/>
            <w:vAlign w:val="bottom"/>
          </w:tcPr>
          <w:p>
            <w:pPr>
              <w:ind w:left="440"/>
              <w:spacing w:after="0"/>
              <w:rPr>
                <w:sz w:val="20"/>
                <w:szCs w:val="20"/>
                <w:color w:val="auto"/>
              </w:rPr>
            </w:pPr>
            <w:r>
              <w:rPr>
                <w:rFonts w:ascii="Arial" w:cs="Arial" w:eastAsia="Arial" w:hAnsi="Arial"/>
                <w:sz w:val="16"/>
                <w:szCs w:val="16"/>
                <w:color w:val="auto"/>
              </w:rPr>
              <w:t>Other noncurrent liabilities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(13,073)</w:t>
            </w:r>
          </w:p>
        </w:tc>
      </w:tr>
      <w:tr>
        <w:trPr>
          <w:trHeight w:val="204"/>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(4,131)</w:t>
            </w: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Purchase of available-for-sale securities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(92,002)</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maturities of available-for-sale securities</w:t>
            </w:r>
          </w:p>
        </w:tc>
        <w:tc>
          <w:tcPr>
            <w:tcW w:w="10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23,750</w:t>
            </w:r>
          </w:p>
        </w:tc>
      </w:tr>
      <w:tr>
        <w:trPr>
          <w:trHeight w:val="217"/>
        </w:trPr>
        <w:tc>
          <w:tcPr>
            <w:tcW w:w="796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(72,383)</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6"/>
                <w:szCs w:val="16"/>
                <w:color w:val="auto"/>
              </w:rPr>
              <w:t>Proceeds from issuance of restricted stock</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of Class A common stock</w:t>
            </w:r>
          </w:p>
        </w:tc>
        <w:tc>
          <w:tcPr>
            <w:tcW w:w="10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54"/>
        </w:trPr>
        <w:tc>
          <w:tcPr>
            <w:tcW w:w="7960" w:type="dxa"/>
            <w:vAlign w:val="bottom"/>
          </w:tcPr>
          <w:p>
            <w:pPr>
              <w:ind w:left="20"/>
              <w:spacing w:after="0"/>
              <w:rPr>
                <w:sz w:val="20"/>
                <w:szCs w:val="20"/>
                <w:color w:val="auto"/>
              </w:rPr>
            </w:pPr>
            <w:r>
              <w:rPr>
                <w:rFonts w:ascii="Arial" w:cs="Arial" w:eastAsia="Arial" w:hAnsi="Arial"/>
                <w:sz w:val="16"/>
                <w:szCs w:val="16"/>
                <w:color w:val="auto"/>
              </w:rPr>
              <w:t>Proceeds from exercise of Class A common stock options including early exercised options</w:t>
            </w:r>
          </w:p>
        </w:tc>
        <w:tc>
          <w:tcPr>
            <w:tcW w:w="10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60" w:type="dxa"/>
            <w:vAlign w:val="bottom"/>
          </w:tcPr>
          <w:p>
            <w:pPr>
              <w:ind w:left="20"/>
              <w:spacing w:after="0"/>
              <w:rPr>
                <w:sz w:val="20"/>
                <w:szCs w:val="20"/>
                <w:color w:val="auto"/>
              </w:rPr>
            </w:pPr>
            <w:r>
              <w:rPr>
                <w:rFonts w:ascii="Arial" w:cs="Arial" w:eastAsia="Arial" w:hAnsi="Arial"/>
                <w:sz w:val="16"/>
                <w:szCs w:val="16"/>
                <w:color w:val="auto"/>
              </w:rPr>
              <w:t>Proceeds from issuance of Series C convertible preferred stock, net of issuance costs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17,347</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Series D convertible preferred stock, net of issuance costs</w:t>
            </w:r>
          </w:p>
        </w:tc>
        <w:tc>
          <w:tcPr>
            <w:tcW w:w="10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54,584</w:t>
            </w: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Proceeds from issuance of convertible notes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72,331</w:t>
            </w:r>
          </w:p>
        </w:tc>
      </w:tr>
      <w:tr>
        <w:trPr>
          <w:trHeight w:val="217"/>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25,126</w:t>
            </w: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(13,125)</w:t>
            </w:r>
          </w:p>
        </w:tc>
      </w:tr>
      <w:tr>
        <w:trPr>
          <w:trHeight w:val="33"/>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30,953</w:t>
            </w:r>
          </w:p>
        </w:tc>
      </w:tr>
      <w:tr>
        <w:trPr>
          <w:trHeight w:val="247"/>
        </w:trPr>
        <w:tc>
          <w:tcPr>
            <w:tcW w:w="79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30,953</w:t>
            </w: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17,828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0"/>
        </w:trPr>
        <w:tc>
          <w:tcPr>
            <w:tcW w:w="79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53"/>
        </w:trPr>
        <w:tc>
          <w:tcPr>
            <w:tcW w:w="7960" w:type="dxa"/>
            <w:vAlign w:val="bottom"/>
          </w:tcPr>
          <w:p>
            <w:pPr>
              <w:ind w:left="20"/>
              <w:spacing w:after="0"/>
              <w:rPr>
                <w:sz w:val="20"/>
                <w:szCs w:val="20"/>
                <w:color w:val="auto"/>
              </w:rPr>
            </w:pPr>
            <w:r>
              <w:rPr>
                <w:rFonts w:ascii="Arial" w:cs="Arial" w:eastAsia="Arial" w:hAnsi="Arial"/>
                <w:sz w:val="16"/>
                <w:szCs w:val="16"/>
                <w:color w:val="auto"/>
              </w:rPr>
              <w:t>Property and equipment purchases included in accounts payable</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purchases included in accrued expenses</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0"/>
        </w:trPr>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6"/>
                <w:szCs w:val="16"/>
                <w:color w:val="auto"/>
              </w:rPr>
              <w:t>Issuance of Series D convertible preferred stock upon extinguishment of convertible notes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preferred stock issuance costs included in accrued expenses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7960" w:type="dxa"/>
            <w:vAlign w:val="bottom"/>
          </w:tcPr>
          <w:p>
            <w:pPr>
              <w:ind w:left="20"/>
              <w:spacing w:after="0"/>
              <w:rPr>
                <w:sz w:val="20"/>
                <w:szCs w:val="20"/>
                <w:color w:val="auto"/>
              </w:rPr>
            </w:pPr>
            <w:r>
              <w:rPr>
                <w:rFonts w:ascii="Arial" w:cs="Arial" w:eastAsia="Arial" w:hAnsi="Arial"/>
                <w:sz w:val="16"/>
                <w:szCs w:val="16"/>
                <w:color w:val="auto"/>
              </w:rPr>
              <w:t>Tenant improvements paid by landlord</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1,787</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1440" w:gutter="0" w:footer="0" w:header="0"/>
          <w:type w:val="continuous"/>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expects net losses to continue for the foreseeable future. As of December 31, 2018 and 2019, the Company’s accumulated deficit was approximately $6.5 million and $22.6 million,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3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21" w:right="35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expected to be sold in, and related proceeds to be received from, its initial public offering (IPO).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and 2019, all amounts recorded as cash and cash equivalents consist of money market funds and are stated at fair value.</w:t>
      </w:r>
    </w:p>
    <w:p>
      <w:pPr>
        <w:spacing w:after="0" w:line="16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Restricted cash as of December 31, 2019 represents cash held by a financial institution as security for a letter of credit issued to the lessor for one of the Company’s operating leases and is classified as non-current based on the term of the underlying lease.</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30,953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30,953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3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recognizes revenue when control of the services is transferred to its customers in an amount that reflects the consideration it expects to receive from its customers in exchange for those products and services.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3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there have been no material differences from the Company’s estimated accrued research and development expenses to actual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21" w:right="35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4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121" w:right="37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70" w:lineRule="exact"/>
        <w:rPr>
          <w:sz w:val="20"/>
          <w:szCs w:val="20"/>
          <w:color w:val="auto"/>
        </w:rPr>
      </w:pPr>
    </w:p>
    <w:p>
      <w:pPr>
        <w:jc w:val="both"/>
        <w:ind w:right="68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3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121" w:right="35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further updated through ASU No. 2016-</w:t>
      </w:r>
    </w:p>
    <w:p>
      <w:pPr>
        <w:spacing w:after="0" w:line="46" w:lineRule="exact"/>
        <w:rPr>
          <w:sz w:val="20"/>
          <w:szCs w:val="20"/>
          <w:color w:val="auto"/>
        </w:rPr>
      </w:pPr>
    </w:p>
    <w:p>
      <w:pPr>
        <w:ind w:right="120" w:firstLine="8"/>
        <w:spacing w:after="0" w:line="292" w:lineRule="auto"/>
        <w:tabs>
          <w:tab w:leader="none" w:pos="2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that financial assets measured at amortized cost be presented at the net amount expected to be collected.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June 20,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to reduce cost and complexity and to improve financial reporting for share-based payments issued to non-employees. The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21" w:right="35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3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 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08"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0"/>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36"/>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1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Classification:</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w:t>
            </w:r>
          </w:p>
        </w:tc>
      </w:tr>
      <w:tr>
        <w:trPr>
          <w:trHeight w:val="284"/>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assets measured at fair value</w:t>
            </w:r>
          </w:p>
        </w:tc>
        <w:tc>
          <w:tcPr>
            <w:tcW w:w="3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r>
      <w:tr>
        <w:trPr>
          <w:trHeight w:val="20"/>
        </w:trPr>
        <w:tc>
          <w:tcPr>
            <w:tcW w:w="2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3"/>
        </w:trPr>
        <w:tc>
          <w:tcPr>
            <w:tcW w:w="2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0"/>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36"/>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1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Classification:</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140" w:type="dxa"/>
            <w:vAlign w:val="bottom"/>
            <w:gridSpan w:val="2"/>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63"/>
        </w:trPr>
        <w:tc>
          <w:tcPr>
            <w:tcW w:w="294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2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
        </w:trPr>
        <w:tc>
          <w:tcPr>
            <w:tcW w:w="5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5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720" w:type="dxa"/>
            <w:vAlign w:val="bottom"/>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8"/>
        </w:trPr>
        <w:tc>
          <w:tcPr>
            <w:tcW w:w="24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2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24"/>
                <w:szCs w:val="24"/>
                <w:color w:val="auto"/>
              </w:rPr>
            </w:pPr>
          </w:p>
        </w:tc>
      </w:tr>
      <w:tr>
        <w:trPr>
          <w:trHeight w:val="26"/>
        </w:trPr>
        <w:tc>
          <w:tcPr>
            <w:tcW w:w="2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24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6"/>
        </w:trPr>
        <w:tc>
          <w:tcPr>
            <w:tcW w:w="796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Grant receivable</w:t>
            </w:r>
          </w:p>
        </w:tc>
        <w:tc>
          <w:tcPr>
            <w:tcW w:w="10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231F20"/>
              </w:rPr>
              <w:t>12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64"/>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Total other receivables</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5"/>
        </w:trPr>
        <w:tc>
          <w:tcPr>
            <w:tcW w:w="7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79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5"/>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02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231F20"/>
              </w:rPr>
              <w:t>47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231F20"/>
              </w:rPr>
              <w:t>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7"/>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231F20"/>
              </w:rPr>
              <w:t>1,028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r>
      <w:tr>
        <w:trPr>
          <w:trHeight w:val="27"/>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63"/>
        </w:trPr>
        <w:tc>
          <w:tcPr>
            <w:tcW w:w="796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w:t>
            </w:r>
          </w:p>
        </w:tc>
      </w:tr>
      <w:tr>
        <w:trPr>
          <w:trHeight w:val="20"/>
        </w:trPr>
        <w:tc>
          <w:tcPr>
            <w:tcW w:w="7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less than $0.1 million and $0.7 million for the years ended December 31,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Accrued Expenses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Arial" w:cs="Arial" w:eastAsia="Arial" w:hAnsi="Arial"/>
                <w:sz w:val="18"/>
                <w:szCs w:val="18"/>
                <w:color w:val="auto"/>
              </w:rPr>
              <w:t>Accrued expenses consist of the following (in thousands):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Accrued professional services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231F20"/>
              </w:rPr>
              <w:t>64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231F20"/>
              </w:rPr>
              <w:t>119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77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color w:val="auto"/>
              </w:rPr>
              <w:t>REVENUE AND DEFERRED REVENUE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Company recorded $0.2 million of deferred revenue related to the following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the Company recognized research revenue of $0.1 million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2019, the Company received a notice of award from the National Institutes of Health, which will provide funding of approximately</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to the Company for its development of research applications. In June 2020, the Company received a notice that additional grant consideration of $0.9 million will be awarded. During the year ended December 31, 2019, the Company recognized grant revenue of $0.1 million with respect to the award.</w:t>
      </w:r>
    </w:p>
    <w:p>
      <w:pPr>
        <w:spacing w:after="0" w:line="13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124,618 shares of Series D convertible preferred stock at a conversion price of $3.25 per share, which was the issuance price of the Series D convertible preferred stock. The redemption of the Notes was accounted for as a debt extinguishment, and there was no gain or loss on extinguishment recorded.</w:t>
      </w:r>
    </w:p>
    <w:p>
      <w:pPr>
        <w:spacing w:after="0" w:line="118"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2019, the Company is authorized to issue 158,950,748 shares of capital stock consisting of 91,500,000 shares of Class A common stock, 20,000,000 shares of Class B common stock, and 47,450,748 shares of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Issue Price</w:t>
            </w:r>
          </w:p>
        </w:tc>
        <w:tc>
          <w:tcPr>
            <w:tcW w:w="1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 Authorized</w:t>
            </w:r>
          </w:p>
        </w:tc>
        <w:tc>
          <w:tcPr>
            <w:tcW w:w="20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Aggregate Liquidation</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34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0.9081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6,607,201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6,607,201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Series B</w:t>
            </w:r>
          </w:p>
        </w:tc>
        <w:tc>
          <w:tcPr>
            <w:tcW w:w="280" w:type="dxa"/>
            <w:vAlign w:val="bottom"/>
          </w:tcPr>
          <w:p>
            <w:pPr>
              <w:spacing w:after="0"/>
              <w:rPr>
                <w:sz w:val="21"/>
                <w:szCs w:val="21"/>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1.7730</w:t>
            </w:r>
          </w:p>
        </w:tc>
        <w:tc>
          <w:tcPr>
            <w:tcW w:w="1560" w:type="dxa"/>
            <w:vAlign w:val="bottom"/>
          </w:tcPr>
          <w:p>
            <w:pPr>
              <w:jc w:val="right"/>
              <w:spacing w:after="0"/>
              <w:rPr>
                <w:sz w:val="20"/>
                <w:szCs w:val="20"/>
                <w:color w:val="auto"/>
              </w:rPr>
            </w:pPr>
            <w:r>
              <w:rPr>
                <w:rFonts w:ascii="Arial" w:cs="Arial" w:eastAsia="Arial" w:hAnsi="Arial"/>
                <w:sz w:val="18"/>
                <w:szCs w:val="18"/>
                <w:color w:val="auto"/>
              </w:rPr>
              <w:t>16,920,470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16,920,470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23,527,671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23,527,671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Issue Price</w:t>
            </w:r>
          </w:p>
        </w:tc>
        <w:tc>
          <w:tcPr>
            <w:tcW w:w="16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20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Aggregate Liquidation</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34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0.9081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6,607,201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6,607,201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Series B</w:t>
            </w:r>
          </w:p>
        </w:tc>
        <w:tc>
          <w:tcPr>
            <w:tcW w:w="280" w:type="dxa"/>
            <w:vAlign w:val="bottom"/>
          </w:tcPr>
          <w:p>
            <w:pPr>
              <w:spacing w:after="0"/>
              <w:rPr>
                <w:sz w:val="21"/>
                <w:szCs w:val="21"/>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1.7730</w:t>
            </w:r>
          </w:p>
        </w:tc>
        <w:tc>
          <w:tcPr>
            <w:tcW w:w="1560" w:type="dxa"/>
            <w:vAlign w:val="bottom"/>
          </w:tcPr>
          <w:p>
            <w:pPr>
              <w:jc w:val="right"/>
              <w:spacing w:after="0"/>
              <w:rPr>
                <w:sz w:val="20"/>
                <w:szCs w:val="20"/>
                <w:color w:val="auto"/>
              </w:rPr>
            </w:pPr>
            <w:r>
              <w:rPr>
                <w:rFonts w:ascii="Arial" w:cs="Arial" w:eastAsia="Arial" w:hAnsi="Arial"/>
                <w:sz w:val="18"/>
                <w:szCs w:val="18"/>
                <w:color w:val="auto"/>
              </w:rPr>
              <w:t>16,920,470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16,920,470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2.5000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7,000,000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Series D</w:t>
            </w:r>
          </w:p>
        </w:tc>
        <w:tc>
          <w:tcPr>
            <w:tcW w:w="280" w:type="dxa"/>
            <w:vAlign w:val="bottom"/>
          </w:tcPr>
          <w:p>
            <w:pPr>
              <w:spacing w:after="0"/>
              <w:rPr>
                <w:sz w:val="21"/>
                <w:szCs w:val="21"/>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3.2500</w:t>
            </w:r>
          </w:p>
        </w:tc>
        <w:tc>
          <w:tcPr>
            <w:tcW w:w="1560" w:type="dxa"/>
            <w:vAlign w:val="bottom"/>
          </w:tcPr>
          <w:p>
            <w:pPr>
              <w:jc w:val="right"/>
              <w:spacing w:after="0"/>
              <w:rPr>
                <w:sz w:val="20"/>
                <w:szCs w:val="20"/>
                <w:color w:val="auto"/>
              </w:rPr>
            </w:pPr>
            <w:r>
              <w:rPr>
                <w:rFonts w:ascii="Arial" w:cs="Arial" w:eastAsia="Arial" w:hAnsi="Arial"/>
                <w:sz w:val="18"/>
                <w:szCs w:val="18"/>
                <w:color w:val="auto"/>
              </w:rPr>
              <w:t>16,923,077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16,923,077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47,450,748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47,450,748</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20" w:hanging="88"/>
        <w:spacing w:after="0"/>
        <w:tabs>
          <w:tab w:leader="none" w:pos="420" w:val="left"/>
        </w:tabs>
        <w:numPr>
          <w:ilvl w:val="0"/>
          <w:numId w:val="130"/>
        </w:numPr>
        <w:rPr>
          <w:rFonts w:ascii="Arial" w:cs="Arial" w:eastAsia="Arial" w:hAnsi="Arial"/>
          <w:sz w:val="23"/>
          <w:szCs w:val="23"/>
          <w:color w:val="auto"/>
          <w:vertAlign w:val="superscript"/>
        </w:rPr>
      </w:pPr>
      <w:r>
        <w:rPr>
          <w:rFonts w:ascii="Arial" w:cs="Arial" w:eastAsia="Arial" w:hAnsi="Arial"/>
          <w:sz w:val="18"/>
          <w:szCs w:val="18"/>
          <w:color w:val="auto"/>
        </w:rPr>
        <w:t>Issued in March and April 2019.</w:t>
      </w:r>
    </w:p>
    <w:p>
      <w:pPr>
        <w:spacing w:after="0" w:line="148" w:lineRule="exact"/>
        <w:rPr>
          <w:sz w:val="20"/>
          <w:szCs w:val="20"/>
          <w:color w:val="auto"/>
        </w:rPr>
      </w:pPr>
    </w:p>
    <w:p>
      <w:pPr>
        <w:ind w:right="160" w:firstLine="332"/>
        <w:spacing w:after="0" w:line="267" w:lineRule="auto"/>
        <w:tabs>
          <w:tab w:leader="none" w:pos="412" w:val="left"/>
        </w:tabs>
        <w:numPr>
          <w:ilvl w:val="0"/>
          <w:numId w:val="131"/>
        </w:numPr>
        <w:rPr>
          <w:rFonts w:ascii="Arial" w:cs="Arial" w:eastAsia="Arial" w:hAnsi="Arial"/>
          <w:sz w:val="21"/>
          <w:szCs w:val="21"/>
          <w:color w:val="auto"/>
          <w:vertAlign w:val="superscript"/>
        </w:rPr>
      </w:pPr>
      <w:r>
        <w:rPr>
          <w:rFonts w:ascii="Arial" w:cs="Arial" w:eastAsia="Arial" w:hAnsi="Arial"/>
          <w:sz w:val="16"/>
          <w:szCs w:val="16"/>
          <w:color w:val="auto"/>
        </w:rPr>
        <w:t>In November and December 2019, the Company issued 16,798,459 shares of its Series D convertible preferred stock at a price per share of $3.25 for net proceeds of $54.4 million, with such amounts not including the redemption of the Notes (see Note 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$0.9081 per share for Series A convertible preferred stock, $1.7730 per share for Series B convertible preferred stock, $2.50 per share of Series C convertible preferred stock, and $3.25 per share of Series D convertible preferred stock, each adjusted for any stock splits, combinations, and reorganizations, plus all declared and unpaid dividends on each such share.</w:t>
      </w:r>
    </w:p>
    <w:p>
      <w:pPr>
        <w:spacing w:after="0" w:line="1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liquidation event requires approval by the holders of at least a majority of the outstanding shares of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Optional Conversion Rights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Conversion Rights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holders of shares of Series A convertible preferred stock, Series B convertible preferred stock, Series C convertible preferred stock, and Series D convertible preferred stock shall be entitled to receive dividends of $0.0545, $0.1064, $0.15, and $0.195, respectively, per annum on each outstanding share of Series A convertible preferred stock, Series B convertible preferred stock, Series C convertible preferred stock, and Series D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are elected by the holders of common stock and of any other class or series of voting stock, including convertible preferred stock, as a single class.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issued and outstanding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180" w:type="dxa"/>
            <w:vAlign w:val="bottom"/>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6"/>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6,094,516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Class B common stock</w:t>
            </w:r>
          </w:p>
        </w:tc>
        <w:tc>
          <w:tcPr>
            <w:tcW w:w="1580" w:type="dxa"/>
            <w:vAlign w:val="bottom"/>
          </w:tcPr>
          <w:p>
            <w:pPr>
              <w:jc w:val="right"/>
              <w:spacing w:after="0"/>
              <w:rPr>
                <w:sz w:val="20"/>
                <w:szCs w:val="20"/>
                <w:color w:val="auto"/>
              </w:rPr>
            </w:pPr>
            <w:r>
              <w:rPr>
                <w:rFonts w:ascii="Arial" w:cs="Arial" w:eastAsia="Arial" w:hAnsi="Arial"/>
                <w:sz w:val="18"/>
                <w:szCs w:val="18"/>
                <w:color w:val="231F20"/>
              </w:rPr>
              <w:t>20,000,000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26,118,051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26,094,516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6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2017, the Company adopted the 2017 Stock Incentive Plan (Plan), which provided for the granting of awards to employees, directors, and consultants of the Company. Awards issuable under the Plan include incentive stock options (ISO), nonqualified stock options (NSO), and restricted stock awards.</w:t>
      </w:r>
    </w:p>
    <w:p>
      <w:pPr>
        <w:spacing w:after="0" w:line="13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Plan generally vest over four years and expire no later than 10 years from the date of grant. As of December 31, 2019, the Company has reserved 19,442,199 shares of Class A common stock for issuance under the Plan.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4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Aggregate Intrinsic</w:t>
            </w:r>
          </w:p>
        </w:tc>
      </w:tr>
      <w:tr>
        <w:trPr>
          <w:trHeight w:val="175"/>
        </w:trPr>
        <w:tc>
          <w:tcPr>
            <w:tcW w:w="4660" w:type="dxa"/>
            <w:vAlign w:val="bottom"/>
          </w:tcPr>
          <w:p>
            <w:pPr>
              <w:spacing w:after="0"/>
              <w:rPr>
                <w:sz w:val="15"/>
                <w:szCs w:val="15"/>
                <w:color w:val="auto"/>
              </w:rPr>
            </w:pPr>
          </w:p>
        </w:tc>
        <w:tc>
          <w:tcPr>
            <w:tcW w:w="1580" w:type="dxa"/>
            <w:vAlign w:val="bottom"/>
          </w:tcPr>
          <w:p>
            <w:pPr>
              <w:jc w:val="right"/>
              <w:ind w:right="52"/>
              <w:spacing w:after="0"/>
              <w:rPr>
                <w:sz w:val="20"/>
                <w:szCs w:val="20"/>
                <w:color w:val="auto"/>
              </w:rPr>
            </w:pPr>
            <w:r>
              <w:rPr>
                <w:rFonts w:ascii="Arial" w:cs="Arial" w:eastAsia="Arial" w:hAnsi="Arial"/>
                <w:sz w:val="14"/>
                <w:szCs w:val="14"/>
                <w:b w:val="1"/>
                <w:bCs w:val="1"/>
                <w:color w:val="auto"/>
              </w:rPr>
              <w:t>Options Outstanding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40" w:type="dxa"/>
            <w:vAlign w:val="bottom"/>
          </w:tcPr>
          <w:p>
            <w:pPr>
              <w:spacing w:after="0"/>
              <w:rPr>
                <w:sz w:val="15"/>
                <w:szCs w:val="15"/>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Value (in thousands)</w:t>
            </w:r>
          </w:p>
        </w:tc>
      </w:tr>
      <w:tr>
        <w:trPr>
          <w:trHeight w:val="192"/>
        </w:trPr>
        <w:tc>
          <w:tcPr>
            <w:tcW w:w="46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2017</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rPr>
              <w:t>263,915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0.00001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ind w:right="12"/>
              <w:spacing w:after="0"/>
              <w:rPr>
                <w:sz w:val="20"/>
                <w:szCs w:val="20"/>
                <w:color w:val="auto"/>
              </w:rPr>
            </w:pPr>
            <w:r>
              <w:rPr>
                <w:rFonts w:ascii="Arial" w:cs="Arial" w:eastAsia="Arial" w:hAnsi="Arial"/>
                <w:sz w:val="18"/>
                <w:szCs w:val="18"/>
                <w:color w:val="231F20"/>
              </w:rPr>
              <w:t>4,850,473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(1,809,821)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Options cancelled and forfeited</w:t>
            </w:r>
          </w:p>
        </w:tc>
        <w:tc>
          <w:tcPr>
            <w:tcW w:w="1580" w:type="dxa"/>
            <w:vAlign w:val="bottom"/>
          </w:tcPr>
          <w:p>
            <w:pPr>
              <w:jc w:val="right"/>
              <w:spacing w:after="0"/>
              <w:rPr>
                <w:sz w:val="20"/>
                <w:szCs w:val="20"/>
                <w:color w:val="auto"/>
              </w:rPr>
            </w:pPr>
            <w:r>
              <w:rPr>
                <w:rFonts w:ascii="Arial" w:cs="Arial" w:eastAsia="Arial" w:hAnsi="Arial"/>
                <w:sz w:val="18"/>
                <w:szCs w:val="18"/>
                <w:color w:val="231F20"/>
              </w:rPr>
              <w:t>(146,540)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0.00001</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231F20"/>
              </w:rPr>
              <w:t>3,158,027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3,005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ind w:right="12"/>
              <w:spacing w:after="0"/>
              <w:rPr>
                <w:sz w:val="20"/>
                <w:szCs w:val="20"/>
                <w:color w:val="auto"/>
              </w:rPr>
            </w:pPr>
            <w:r>
              <w:rPr>
                <w:rFonts w:ascii="Arial" w:cs="Arial" w:eastAsia="Arial" w:hAnsi="Arial"/>
                <w:sz w:val="18"/>
                <w:szCs w:val="18"/>
                <w:color w:val="231F20"/>
              </w:rPr>
              <w:t>1,786,827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0.99</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(286,465)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Options cancelled and forfeited</w:t>
            </w:r>
          </w:p>
        </w:tc>
        <w:tc>
          <w:tcPr>
            <w:tcW w:w="1580" w:type="dxa"/>
            <w:vAlign w:val="bottom"/>
          </w:tcPr>
          <w:p>
            <w:pPr>
              <w:jc w:val="right"/>
              <w:spacing w:after="0"/>
              <w:rPr>
                <w:sz w:val="20"/>
                <w:szCs w:val="20"/>
                <w:color w:val="auto"/>
              </w:rPr>
            </w:pPr>
            <w:r>
              <w:rPr>
                <w:rFonts w:ascii="Arial" w:cs="Arial" w:eastAsia="Arial" w:hAnsi="Arial"/>
                <w:sz w:val="18"/>
                <w:szCs w:val="18"/>
                <w:color w:val="231F20"/>
              </w:rPr>
              <w:t>(1,458)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0.02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rPr>
              <w:t>4,656,931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0.39</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4,051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44"/>
        </w:trPr>
        <w:tc>
          <w:tcPr>
            <w:tcW w:w="4660" w:type="dxa"/>
            <w:vAlign w:val="bottom"/>
          </w:tcPr>
          <w:p>
            <w:pPr>
              <w:ind w:left="20"/>
              <w:spacing w:after="0"/>
              <w:rPr>
                <w:sz w:val="20"/>
                <w:szCs w:val="20"/>
                <w:color w:val="auto"/>
              </w:rPr>
            </w:pPr>
            <w:r>
              <w:rPr>
                <w:rFonts w:ascii="Arial" w:cs="Arial" w:eastAsia="Arial" w:hAnsi="Arial"/>
                <w:sz w:val="18"/>
                <w:szCs w:val="18"/>
                <w:color w:val="auto"/>
              </w:rPr>
              <w:t>Vested and exercisable, December 31, 2019</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31F20"/>
              </w:rPr>
              <w:t>1,448,931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0.15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231F20"/>
              </w:rPr>
              <w:t>8.55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1,600</w:t>
            </w:r>
          </w:p>
        </w:tc>
      </w:tr>
      <w:tr>
        <w:trPr>
          <w:trHeight w:val="20"/>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weighted-average grant-date fair value of stock options granted to employees during the years ended December 31, 2018 and 2019, was $0.77 and $0.75 per share, respectively. The total intrinsic value of stock options exercised during the years ended December 31, 2018 and 2019, was nil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stock options granted to employees and directors is calculated using the Black-Scholes option pricing model using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2019</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1020" w:type="dxa"/>
            <w:vAlign w:val="bottom"/>
          </w:tcPr>
          <w:p>
            <w:pPr>
              <w:ind w:left="20"/>
              <w:spacing w:after="0"/>
              <w:rPr>
                <w:sz w:val="20"/>
                <w:szCs w:val="20"/>
                <w:color w:val="auto"/>
              </w:rPr>
            </w:pPr>
            <w:r>
              <w:rPr>
                <w:rFonts w:ascii="Arial" w:cs="Arial" w:eastAsia="Arial" w:hAnsi="Arial"/>
                <w:sz w:val="18"/>
                <w:szCs w:val="18"/>
                <w:color w:val="auto"/>
              </w:rPr>
              <w:t>- 77.9%</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w:t>
            </w:r>
          </w:p>
        </w:tc>
        <w:tc>
          <w:tcPr>
            <w:tcW w:w="1020" w:type="dxa"/>
            <w:vAlign w:val="bottom"/>
          </w:tcPr>
          <w:p>
            <w:pPr>
              <w:ind w:left="20"/>
              <w:spacing w:after="0"/>
              <w:rPr>
                <w:sz w:val="20"/>
                <w:szCs w:val="20"/>
                <w:color w:val="auto"/>
              </w:rPr>
            </w:pPr>
            <w:r>
              <w:rPr>
                <w:rFonts w:ascii="Arial" w:cs="Arial" w:eastAsia="Arial" w:hAnsi="Arial"/>
                <w:sz w:val="18"/>
                <w:szCs w:val="18"/>
                <w:color w:val="auto"/>
              </w:rPr>
              <w:t>- 77.5%</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stock options granted to non-employees is calculated at each reporting date using the Black-Scholes option pricing model using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9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2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8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 - 1.9%</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77.5%</w:t>
            </w:r>
          </w:p>
        </w:tc>
        <w:tc>
          <w:tcPr>
            <w:tcW w:w="8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77.7%</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8.73 – 9.88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7.73 – 9.49</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Certain stock options granted under the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1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5"/>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2,119,792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3,619,147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5,126,040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(1,886,347)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3,209,388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2018 and 2019, was $0.2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Pr>
          <w:p>
            <w:pPr>
              <w:spacing w:after="0"/>
              <w:rPr>
                <w:sz w:val="16"/>
                <w:szCs w:val="16"/>
                <w:color w:val="auto"/>
              </w:rPr>
            </w:pPr>
          </w:p>
        </w:tc>
      </w:tr>
      <w:tr>
        <w:trPr>
          <w:trHeight w:val="26"/>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ind w:right="734"/>
              <w:spacing w:after="0"/>
              <w:rPr>
                <w:sz w:val="20"/>
                <w:szCs w:val="20"/>
                <w:color w:val="auto"/>
              </w:rPr>
            </w:pPr>
            <w:r>
              <w:rPr>
                <w:rFonts w:ascii="Arial" w:cs="Arial" w:eastAsia="Arial" w:hAnsi="Arial"/>
                <w:sz w:val="14"/>
                <w:szCs w:val="14"/>
                <w:b w:val="1"/>
                <w:bCs w:val="1"/>
                <w:color w:val="auto"/>
              </w:rPr>
              <w:t>2019</w:t>
            </w:r>
          </w:p>
        </w:tc>
      </w:tr>
      <w:tr>
        <w:trPr>
          <w:trHeight w:val="26"/>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granted to employees and directors</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Stock options granted to non-employees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shares of Class A common stock</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63"/>
        </w:trPr>
        <w:tc>
          <w:tcPr>
            <w:tcW w:w="726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r>
      <w:tr>
        <w:trPr>
          <w:trHeight w:val="21"/>
        </w:trPr>
        <w:tc>
          <w:tcPr>
            <w:tcW w:w="7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statements of operations and comprehensive loss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Pr>
          <w:p>
            <w:pPr>
              <w:spacing w:after="0"/>
              <w:rPr>
                <w:sz w:val="16"/>
                <w:szCs w:val="16"/>
                <w:color w:val="auto"/>
              </w:rPr>
            </w:pPr>
          </w:p>
        </w:tc>
      </w:tr>
      <w:tr>
        <w:trPr>
          <w:trHeight w:val="26"/>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ind w:right="735"/>
              <w:spacing w:after="0"/>
              <w:rPr>
                <w:sz w:val="20"/>
                <w:szCs w:val="20"/>
                <w:color w:val="auto"/>
              </w:rPr>
            </w:pPr>
            <w:r>
              <w:rPr>
                <w:rFonts w:ascii="Arial" w:cs="Arial" w:eastAsia="Arial" w:hAnsi="Arial"/>
                <w:sz w:val="14"/>
                <w:szCs w:val="14"/>
                <w:b w:val="1"/>
                <w:bCs w:val="1"/>
                <w:color w:val="auto"/>
              </w:rPr>
              <w:t>2019</w:t>
            </w:r>
          </w:p>
        </w:tc>
      </w:tr>
      <w:tr>
        <w:trPr>
          <w:trHeight w:val="26"/>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385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7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2019, the total unrecognized stock-based compensation related to unvested stock options and restricted stock awards was $3.8 million, which the Company expects to recognize over a remaining weighted-average period of 2.71 years.</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granted 127,500 shares of performance-based stock options in February 2018 through June 2019, of which 7,500 shares have vested or been determined to be probable to vest as of December 31, 2019. There is $0.1 million in unrecognized stock-based compensation associated with options not determined to be probable of vesting as of December 31, 2019.</w:t>
      </w:r>
    </w:p>
    <w:p>
      <w:pPr>
        <w:spacing w:after="0" w:line="126"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w:t>
      </w:r>
    </w:p>
    <w:p>
      <w:pPr>
        <w:spacing w:after="0" w:line="126"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116"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03"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Rent expense was $0.4 million and $0.6 million for the years ended December 31, 2018 and 2019, respectively. The Company is required to pay property taxes, insurance, and normal maintenance costs for the facility and will be required to pay any increases over the base year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future minimum commitments under the Company’s non-cancelable facility operating lease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16"/>
                <w:szCs w:val="16"/>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7"/>
        </w:trPr>
        <w:tc>
          <w:tcPr>
            <w:tcW w:w="9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the Company does not have any material indemnification claims that were probable or reasonably possible and consequently has not recorded related liabilities.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pacing w:after="0" w:line="203"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23495</wp:posOffset>
            </wp:positionV>
            <wp:extent cx="20828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tabs>
          <w:tab w:leader="none" w:pos="796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50" w:lineRule="exact"/>
        <w:rPr>
          <w:sz w:val="20"/>
          <w:szCs w:val="20"/>
          <w:color w:val="auto"/>
        </w:rPr>
      </w:pPr>
    </w:p>
    <w:p>
      <w:pPr>
        <w:ind w:left="180" w:right="180" w:hanging="161"/>
        <w:spacing w:after="0" w:line="235" w:lineRule="auto"/>
        <w:rPr>
          <w:sz w:val="20"/>
          <w:szCs w:val="20"/>
          <w:color w:val="auto"/>
        </w:rPr>
      </w:pPr>
      <w:r>
        <w:rPr>
          <w:rFonts w:ascii="Arial" w:cs="Arial" w:eastAsia="Arial" w:hAnsi="Arial"/>
          <w:sz w:val="18"/>
          <w:szCs w:val="18"/>
          <w:color w:val="auto"/>
        </w:rPr>
        <w:t>Weighted-average common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960" w:val="left"/>
        </w:tabs>
        <w:rPr>
          <w:sz w:val="20"/>
          <w:szCs w:val="20"/>
          <w:color w:val="auto"/>
        </w:rPr>
      </w:pPr>
      <w:r>
        <w:rPr>
          <w:rFonts w:ascii="Arial" w:cs="Arial" w:eastAsia="Arial" w:hAnsi="Arial"/>
          <w:sz w:val="18"/>
          <w:szCs w:val="18"/>
          <w:color w:val="auto"/>
        </w:rPr>
        <w:t>Net loss per share attributable to common stockholders, basic and diluted</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40"/>
        <w:spacing w:after="0"/>
        <w:tabs>
          <w:tab w:leader="none" w:pos="900" w:val="left"/>
          <w:tab w:leader="none" w:pos="1820" w:val="left"/>
        </w:tabs>
        <w:rPr>
          <w:sz w:val="20"/>
          <w:szCs w:val="20"/>
          <w:color w:val="auto"/>
        </w:rPr>
      </w:pPr>
      <w:r>
        <w:rPr>
          <w:rFonts w:ascii="Arial" w:cs="Arial" w:eastAsia="Arial" w:hAnsi="Arial"/>
          <w:sz w:val="18"/>
          <w:szCs w:val="18"/>
          <w:color w:val="auto"/>
        </w:rPr>
        <w:t>(6,307)</w:t>
        <w:tab/>
        <w:t>$</w:t>
      </w:r>
      <w:r>
        <w:rPr>
          <w:sz w:val="20"/>
          <w:szCs w:val="20"/>
          <w:color w:val="auto"/>
        </w:rPr>
        <w:tab/>
      </w:r>
      <w:r>
        <w:rPr>
          <w:rFonts w:ascii="Arial" w:cs="Arial" w:eastAsia="Arial" w:hAnsi="Arial"/>
          <w:sz w:val="16"/>
          <w:szCs w:val="16"/>
          <w:color w:val="auto"/>
        </w:rPr>
        <w:t>(16,038)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31750</wp:posOffset>
            </wp:positionV>
            <wp:extent cx="2082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8,502,926</w:t>
      </w:r>
      <w:r>
        <w:rPr>
          <w:sz w:val="20"/>
          <w:szCs w:val="20"/>
          <w:color w:val="auto"/>
        </w:rPr>
        <w:tab/>
      </w:r>
      <w:r>
        <w:rPr>
          <w:rFonts w:ascii="Arial" w:cs="Arial" w:eastAsia="Arial" w:hAnsi="Arial"/>
          <w:sz w:val="17"/>
          <w:szCs w:val="17"/>
          <w:color w:val="auto"/>
        </w:rPr>
        <w:t>14,878,157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39370</wp:posOffset>
            </wp:positionV>
            <wp:extent cx="2082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09" w:lineRule="exact"/>
        <w:rPr>
          <w:sz w:val="20"/>
          <w:szCs w:val="20"/>
          <w:color w:val="auto"/>
        </w:rPr>
      </w:pPr>
    </w:p>
    <w:p>
      <w:pPr>
        <w:jc w:val="right"/>
        <w:ind w:right="40"/>
        <w:spacing w:after="0"/>
        <w:tabs>
          <w:tab w:leader="none" w:pos="1520" w:val="left"/>
          <w:tab w:leader="none" w:pos="420" w:val="left"/>
        </w:tabs>
        <w:rPr>
          <w:sz w:val="20"/>
          <w:szCs w:val="20"/>
          <w:color w:val="auto"/>
        </w:rPr>
      </w:pPr>
      <w:r>
        <w:rPr>
          <w:rFonts w:ascii="Arial" w:cs="Arial" w:eastAsia="Arial" w:hAnsi="Arial"/>
          <w:sz w:val="18"/>
          <w:szCs w:val="18"/>
          <w:color w:val="auto"/>
        </w:rPr>
        <w:t>(0.74)</w:t>
        <w:tab/>
        <w:t>$</w:t>
      </w:r>
      <w:r>
        <w:rPr>
          <w:sz w:val="20"/>
          <w:szCs w:val="20"/>
          <w:color w:val="auto"/>
        </w:rPr>
        <w:tab/>
      </w: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57785</wp:posOffset>
            </wp:positionV>
            <wp:extent cx="2082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060" w:space="680"/>
            <w:col w:w="2500"/>
          </w:cols>
          <w:pgMar w:left="320" w:top="121" w:right="339" w:bottom="1440" w:gutter="0" w:footer="0" w:header="0"/>
          <w:type w:val="continuous"/>
        </w:sectPr>
      </w:pPr>
    </w:p>
    <w:p>
      <w:pPr>
        <w:spacing w:after="0" w:line="29" w:lineRule="exact"/>
        <w:rPr>
          <w:sz w:val="20"/>
          <w:szCs w:val="20"/>
          <w:color w:val="auto"/>
        </w:rPr>
      </w:pPr>
    </w:p>
    <w:p>
      <w:pPr>
        <w:ind w:right="400" w:firstLine="324"/>
        <w:spacing w:after="0" w:line="326"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1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23,527,671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47,450,748</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3,158,027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4,656,931</w:t>
            </w: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14,499,738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7,602,182</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41,185,436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59,709,861</w:t>
            </w:r>
          </w:p>
        </w:tc>
      </w:tr>
      <w:tr>
        <w:trPr>
          <w:trHeight w:val="21"/>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21" w:right="339" w:bottom="1440"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9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3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70"/>
        </w:trPr>
        <w:tc>
          <w:tcPr>
            <w:tcW w:w="9340" w:type="dxa"/>
            <w:vAlign w:val="bottom"/>
          </w:tcPr>
          <w:p>
            <w:pPr>
              <w:ind w:left="20"/>
              <w:spacing w:after="0"/>
              <w:rPr>
                <w:sz w:val="20"/>
                <w:szCs w:val="20"/>
                <w:color w:val="auto"/>
              </w:rPr>
            </w:pPr>
            <w:r>
              <w:rPr>
                <w:rFonts w:ascii="Arial" w:cs="Arial" w:eastAsia="Arial" w:hAnsi="Arial"/>
                <w:sz w:val="18"/>
                <w:szCs w:val="18"/>
                <w:color w:val="auto"/>
              </w:rPr>
              <w:t>Pro forma net loss attributable to common stockholders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3"/>
                <w:szCs w:val="23"/>
                <w:color w:val="auto"/>
              </w:rPr>
            </w:pPr>
          </w:p>
        </w:tc>
      </w:tr>
      <w:tr>
        <w:trPr>
          <w:trHeight w:val="20"/>
        </w:trPr>
        <w:tc>
          <w:tcPr>
            <w:tcW w:w="9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9340" w:type="dxa"/>
            <w:vAlign w:val="bottom"/>
          </w:tcPr>
          <w:p>
            <w:pPr>
              <w:ind w:left="220"/>
              <w:spacing w:after="0"/>
              <w:rPr>
                <w:sz w:val="20"/>
                <w:szCs w:val="20"/>
                <w:color w:val="auto"/>
              </w:rPr>
            </w:pPr>
            <w:r>
              <w:rPr>
                <w:rFonts w:ascii="Arial" w:cs="Arial" w:eastAsia="Arial" w:hAnsi="Arial"/>
                <w:sz w:val="18"/>
                <w:szCs w:val="18"/>
                <w:color w:val="auto"/>
                <w:w w:val="94"/>
              </w:rPr>
              <w:t>Weighted-average common shares used in computing net loss per share attributable to common stockholders, basic and</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14,878,157</w:t>
            </w:r>
          </w:p>
        </w:tc>
        <w:tc>
          <w:tcPr>
            <w:tcW w:w="100" w:type="dxa"/>
            <w:vAlign w:val="bottom"/>
          </w:tcPr>
          <w:p>
            <w:pPr>
              <w:spacing w:after="0"/>
              <w:rPr>
                <w:sz w:val="20"/>
                <w:szCs w:val="20"/>
                <w:color w:val="auto"/>
              </w:rPr>
            </w:pPr>
          </w:p>
        </w:tc>
      </w:tr>
      <w:tr>
        <w:trPr>
          <w:trHeight w:val="27"/>
        </w:trPr>
        <w:tc>
          <w:tcPr>
            <w:tcW w:w="9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 to reflect the assumed conversion of convertible preferred stock</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31,035,081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9340" w:type="dxa"/>
            <w:vAlign w:val="bottom"/>
          </w:tcPr>
          <w:p>
            <w:pPr>
              <w:ind w:left="20"/>
              <w:spacing w:after="0"/>
              <w:rPr>
                <w:sz w:val="20"/>
                <w:szCs w:val="20"/>
                <w:color w:val="auto"/>
              </w:rPr>
            </w:pPr>
            <w:r>
              <w:rPr>
                <w:rFonts w:ascii="Arial" w:cs="Arial" w:eastAsia="Arial" w:hAnsi="Arial"/>
                <w:sz w:val="18"/>
                <w:szCs w:val="18"/>
                <w:color w:val="auto"/>
              </w:rPr>
              <w:t>Pro forma weighted-average common shares used to compute net loss per share, basic and diluted</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45,913,238</w:t>
            </w:r>
          </w:p>
        </w:tc>
        <w:tc>
          <w:tcPr>
            <w:tcW w:w="100" w:type="dxa"/>
            <w:vAlign w:val="bottom"/>
          </w:tcPr>
          <w:p>
            <w:pPr>
              <w:spacing w:after="0"/>
              <w:rPr>
                <w:sz w:val="20"/>
                <w:szCs w:val="20"/>
                <w:color w:val="auto"/>
              </w:rPr>
            </w:pPr>
          </w:p>
        </w:tc>
      </w:tr>
      <w:tr>
        <w:trPr>
          <w:trHeight w:val="27"/>
        </w:trPr>
        <w:tc>
          <w:tcPr>
            <w:tcW w:w="9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6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r>
      <w:tr>
        <w:trPr>
          <w:trHeight w:val="188"/>
        </w:trPr>
        <w:tc>
          <w:tcPr>
            <w:tcW w:w="7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(3,347)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Fixed assets and intangibles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Accrued expenses and reserves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63"/>
        </w:trPr>
        <w:tc>
          <w:tcPr>
            <w:tcW w:w="79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7960" w:type="dxa"/>
            <w:vAlign w:val="bottom"/>
          </w:tcPr>
          <w:p>
            <w:pPr>
              <w:ind w:left="220"/>
              <w:spacing w:after="0"/>
              <w:rPr>
                <w:sz w:val="20"/>
                <w:szCs w:val="20"/>
                <w:color w:val="auto"/>
              </w:rPr>
            </w:pPr>
            <w:r>
              <w:rPr>
                <w:rFonts w:ascii="Arial" w:cs="Arial" w:eastAsia="Arial" w:hAnsi="Arial"/>
                <w:sz w:val="18"/>
                <w:szCs w:val="18"/>
                <w:color w:val="auto"/>
              </w:rPr>
              <w:t>Fixed assets and intangibles</w:t>
            </w:r>
          </w:p>
        </w:tc>
        <w:tc>
          <w:tcPr>
            <w:tcW w:w="9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63"/>
        </w:trPr>
        <w:tc>
          <w:tcPr>
            <w:tcW w:w="796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3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8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63"/>
        </w:trPr>
        <w:tc>
          <w:tcPr>
            <w:tcW w:w="7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1"/>
        </w:trPr>
        <w:tc>
          <w:tcPr>
            <w:tcW w:w="7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2"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evaluated events subsequent from December 31, 2019 through September 25, 2020, the date at which the financial statements were available to be issued.</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May 2020, the Company issued 14,666,662 shares of its Series D-1 convertible preferred stock at a price per share of $3.75 for gross proceeds of $55.0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41"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 Transaction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Omid Farokhzad, Chief Executive Officer, serves as the Chair of PrognomIQ’s board of directors. Philip Ma has served as the Company’s Chief Business Officer and at the conclusion of his consulting agreement with PrognomIQ will serve as the Chief Executive Officer of PrognomIQ.</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Furthermore, pursuant to the anti-dilution provisions included in the Company's stock incentive plan, certain adjustments were made to the number and exercise price of the outstanding stock-based compensation awards 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121" w:right="35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281305</wp:posOffset>
            </wp:positionV>
            <wp:extent cx="1714500" cy="1714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Seer, Inc.</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281305</wp:posOffset>
            </wp:positionV>
            <wp:extent cx="35744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40005</wp:posOffset>
            </wp:positionV>
            <wp:extent cx="3574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01" w:name="page202"/>
    <w:bookmarkEnd w:id="20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ind w:left="5300"/>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00" w:type="dxa"/>
            <w:vAlign w:val="bottom"/>
          </w:tcPr>
          <w:p>
            <w:pPr>
              <w:ind w:left="3280"/>
              <w:spacing w:after="0"/>
              <w:rPr>
                <w:sz w:val="20"/>
                <w:szCs w:val="20"/>
                <w:color w:val="auto"/>
              </w:rPr>
            </w:pPr>
            <w:r>
              <w:rPr>
                <w:rFonts w:ascii="Arial" w:cs="Arial" w:eastAsia="Arial" w:hAnsi="Arial"/>
                <w:sz w:val="18"/>
                <w:szCs w:val="18"/>
                <w:b w:val="1"/>
                <w:bCs w:val="1"/>
                <w:color w:val="auto"/>
              </w:rPr>
              <w:t>INFORMATION NOT REQUIRED IN THE PROSPECTUS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00" w:type="dxa"/>
            <w:vAlign w:val="bottom"/>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980" w:type="dxa"/>
            <w:vAlign w:val="bottom"/>
            <w:gridSpan w:val="3"/>
          </w:tcPr>
          <w:p>
            <w:pPr>
              <w:ind w:left="340"/>
              <w:spacing w:after="0"/>
              <w:rPr>
                <w:sz w:val="20"/>
                <w:szCs w:val="20"/>
                <w:color w:val="auto"/>
              </w:rPr>
            </w:pPr>
            <w:r>
              <w:rPr>
                <w:rFonts w:ascii="Arial" w:cs="Arial" w:eastAsia="Arial" w:hAnsi="Arial"/>
                <w:sz w:val="18"/>
                <w:szCs w:val="18"/>
                <w:color w:val="auto"/>
                <w:w w:val="95"/>
              </w:rPr>
              <w:t>The following table sets forth the expenses to be incurred in connection with the offering described in this Registration Statement, other than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80" w:type="dxa"/>
            <w:vAlign w:val="bottom"/>
            <w:gridSpan w:val="3"/>
          </w:tcPr>
          <w:p>
            <w:pPr>
              <w:spacing w:after="0"/>
              <w:rPr>
                <w:sz w:val="20"/>
                <w:szCs w:val="20"/>
                <w:color w:val="auto"/>
              </w:rPr>
            </w:pPr>
            <w:r>
              <w:rPr>
                <w:rFonts w:ascii="Arial" w:cs="Arial" w:eastAsia="Arial" w:hAnsi="Arial"/>
                <w:sz w:val="18"/>
                <w:szCs w:val="18"/>
                <w:color w:val="auto"/>
                <w:w w:val="92"/>
              </w:rPr>
              <w:t>underwriting discounts and commissions, all of which will be paid by us. All amounts are estimates except the Securities and Exchange Commission’s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registration fee, the filing fee of the Financial Industry Regulatory Authority, Inc., or FINRA, and the</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listing fee.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 OR TO</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BE PAID</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7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market listing fee</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Miscellaneous expenses</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then the liability of the registrant’s directors shall be eliminated or limited to the fullest extent permitted by the DGCL, as so amended.</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3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0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3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2017,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Issuances of Convertible Preferred Stock</w:t>
      </w:r>
    </w:p>
    <w:p>
      <w:pPr>
        <w:spacing w:after="0" w:line="171" w:lineRule="exact"/>
        <w:rPr>
          <w:sz w:val="20"/>
          <w:szCs w:val="20"/>
          <w:color w:val="auto"/>
        </w:rPr>
      </w:pPr>
    </w:p>
    <w:p>
      <w:pPr>
        <w:ind w:left="660" w:right="18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December 20, 2017, we sold 6,607,201 shares of Series A convertible preferred stock to eleven accredited investors at a price of $0.9081 per share, for aggregate proceeds of approximately $6,000,000.</w:t>
      </w:r>
    </w:p>
    <w:p>
      <w:pPr>
        <w:spacing w:after="0" w:line="116"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March 23, 2018, we sold 16,920,470 shares of Series B convertible preferred stock to eleven accredited investors at a price of $1.773 per share, for aggregate proceeds of approximately $30,000,000.</w:t>
      </w:r>
    </w:p>
    <w:p>
      <w:pPr>
        <w:spacing w:after="0" w:line="116" w:lineRule="exact"/>
        <w:rPr>
          <w:rFonts w:ascii="Arial" w:cs="Arial" w:eastAsia="Arial" w:hAnsi="Arial"/>
          <w:sz w:val="18"/>
          <w:szCs w:val="18"/>
          <w:color w:val="auto"/>
        </w:rPr>
      </w:pPr>
    </w:p>
    <w:p>
      <w:pPr>
        <w:ind w:left="660" w:right="480" w:hanging="328"/>
        <w:spacing w:after="0" w:line="308"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March 7, 2019 and April 12, 2019, we sold 4,000,000 and 3,000,000 shares of Series C convertible preferred stock, respectively, to eight accredited investors at a price of $2.50 per share, for total aggregate proceeds of approximately $17,500,000.</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May 7, 2019, we issued convertible promissory notes in the aggregate principal amount of $400,000 to two accredited investors.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November 15, 2019 and December 13, 2019, we sold 15,238,082 and 1,684,995 shares of Series D convertible preferred stock, respectively, to 18 accredited investors at a price of $3.25 per share, for total aggregate proceeds of approximately $55,000,000, which consideration included $400,000 in cancellation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ind w:left="660" w:right="8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May 12, 2020, we sold 14,666,662 shares of Series D-1 convertible preferred stock to 21 accredited investors at a price of $3.75 per share, for aggregate proceeds of approximately $55,000,000.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RSU and Common Stock Issuances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2017, we have issued the following unregistered securities:</w:t>
      </w:r>
    </w:p>
    <w:p>
      <w:pPr>
        <w:spacing w:after="0" w:line="171" w:lineRule="exact"/>
        <w:rPr>
          <w:sz w:val="20"/>
          <w:szCs w:val="20"/>
          <w:color w:val="auto"/>
        </w:rPr>
      </w:pPr>
    </w:p>
    <w:p>
      <w:pPr>
        <w:ind w:left="660" w:right="220" w:hanging="328"/>
        <w:spacing w:after="0" w:line="263"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September 20, 2017 to July 28, 2020, we granted to our directors, officers, employees, consultants and other service providers options to purchase an aggregate of 20,146,704 shares of our Class A common stock under our equity compensation plans, at exercise prices ranging from approximately $0.01 to $1.62 per share.</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September 20, 2017 to July 28, 2020, we issued and sold to our officers, directors, employees (including awards assumed through acquisitions), consultants and other service providers an aggregate of 2,844,160 shares of our Class A common stock upon the exercise of options under our equity compensation plans at exercise prices ranging from $0.01 to $1.62 per share, for a weighted-average exercise price of $0.22 per share.</w:t>
      </w:r>
    </w:p>
    <w:p>
      <w:pPr>
        <w:spacing w:after="0" w:line="13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April 1, 2020 to July 28, 2020, we granted to our directors, officers, employees, consultants and other service providers an aggregate of 717,232 RSUs to be settled in shares of our Class A common stock under our equity compensation plans.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17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16" w:lineRule="exact"/>
        <w:rPr>
          <w:sz w:val="20"/>
          <w:szCs w:val="20"/>
          <w:color w:val="auto"/>
        </w:rPr>
      </w:pPr>
    </w:p>
    <w:p>
      <w:pPr>
        <w:ind w:left="640" w:hanging="308"/>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 that:</w:t>
      </w:r>
    </w:p>
    <w:p>
      <w:pPr>
        <w:spacing w:after="0" w:line="171" w:lineRule="exact"/>
        <w:rPr>
          <w:sz w:val="20"/>
          <w:szCs w:val="20"/>
          <w:color w:val="auto"/>
        </w:rPr>
      </w:pPr>
    </w:p>
    <w:p>
      <w:pPr>
        <w:ind w:left="660" w:hanging="328"/>
        <w:spacing w:after="0" w:line="311" w:lineRule="auto"/>
        <w:tabs>
          <w:tab w:leader="none" w:pos="65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4" w:lineRule="exact"/>
        <w:rPr>
          <w:rFonts w:ascii="Arial" w:cs="Arial" w:eastAsia="Arial" w:hAnsi="Arial"/>
          <w:sz w:val="16"/>
          <w:szCs w:val="16"/>
          <w:color w:val="auto"/>
        </w:rPr>
      </w:pPr>
    </w:p>
    <w:p>
      <w:pPr>
        <w:ind w:left="660" w:right="60" w:hanging="328"/>
        <w:spacing w:after="0" w:line="263" w:lineRule="auto"/>
        <w:tabs>
          <w:tab w:leader="none" w:pos="65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440" w:right="379" w:bottom="1440" w:gutter="0" w:footer="0" w:header="0"/>
        </w:sectPr>
      </w:pPr>
    </w:p>
    <w:bookmarkStart w:id="205" w:name="page206"/>
    <w:bookmarkEnd w:id="20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9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Form of Amended and Restated Certificate of Incorporation of the Registrant, to be in effect upon completion of this offering.</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Amended and Restated Bylaws of the Registrant, as amended, as currently in effect.</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Form of common stock certificate of the Registrant.</w:t>
            </w: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w w:val="92"/>
              </w:rPr>
              <w:t>Amended and Restated Investors’ Rights Agreement, by and among the Registrant and certain holders of its capital stock, dated as of</w:t>
            </w: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May 12, 2020.</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Opinion of Wilson Sonsini Goodrich &amp; Rosati, P.C.</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2020 Equity Incentive Plan and related form agreements.</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2017 Equity Incentive Plan and related form agreements.</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2020 RSU Equity Incentive Plan and related form agreements.</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Outside Director Compensation Policy.</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Umbrella Development &amp; Supply Agreement between the Registrant and Hamilton Company, dated March 9, 2020.</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w w:val="92"/>
              </w:rPr>
              <w:t>Exclusive Patent License Agreement between the Registrant and The Brigham and Women’s Hospital, Inc., dated December 18, 2017.</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270"/>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Power of Attorney (included on page II-6).</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 w:lineRule="exact"/>
        <w:rPr>
          <w:sz w:val="20"/>
          <w:szCs w:val="20"/>
          <w:color w:val="auto"/>
        </w:rPr>
      </w:pPr>
    </w:p>
    <w:p>
      <w:pPr>
        <w:ind w:right="6940" w:firstLine="8"/>
        <w:spacing w:after="0" w:line="241" w:lineRule="auto"/>
        <w:tabs>
          <w:tab w:leader="none" w:pos="315"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To be filed by amendment. All other exhibits are submitted herewith. + Indicates management contract or compensatory plan.</w:t>
      </w:r>
    </w:p>
    <w:p>
      <w:pPr>
        <w:spacing w:after="0"/>
        <w:rPr>
          <w:rFonts w:ascii="Arial" w:cs="Arial" w:eastAsia="Arial" w:hAnsi="Arial"/>
          <w:sz w:val="14"/>
          <w:szCs w:val="14"/>
          <w:color w:val="auto"/>
        </w:rPr>
      </w:pPr>
      <w:r>
        <w:rPr>
          <w:rFonts w:ascii="Arial" w:cs="Arial" w:eastAsia="Arial" w:hAnsi="Arial"/>
          <w:sz w:val="13"/>
          <w:szCs w:val="13"/>
          <w:color w:val="auto"/>
        </w:rPr>
        <w:t>#    Confidential treatment has been requested for portions of this exhibit. These portions have been omitted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color w:val="auto"/>
                <w:w w:val="93"/>
              </w:rPr>
              <w:t>behalf by the undersigned, thereunto duly authorized, in the City of Redwood City, State of California, on September</w:t>
            </w:r>
          </w:p>
        </w:tc>
        <w:tc>
          <w:tcPr>
            <w:tcW w:w="72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Omid Farokhzad, M.D. and David Horn as his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2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6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378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color w:val="auto"/>
                <w:w w:val="92"/>
              </w:rPr>
              <w:t>Chair of the Board of Directors</w:t>
            </w: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2"/>
              </w:rPr>
              <w:t>Omid Farokhzad, M.D.</w:t>
            </w:r>
          </w:p>
        </w:tc>
        <w:tc>
          <w:tcPr>
            <w:tcW w:w="100" w:type="dxa"/>
            <w:vAlign w:val="bottom"/>
            <w:vMerge w:val="continue"/>
          </w:tcPr>
          <w:p>
            <w:pPr>
              <w:spacing w:after="0"/>
              <w:rPr>
                <w:sz w:val="2"/>
                <w:szCs w:val="2"/>
                <w:color w:val="auto"/>
              </w:rPr>
            </w:pPr>
          </w:p>
        </w:tc>
        <w:tc>
          <w:tcPr>
            <w:tcW w:w="3780" w:type="dxa"/>
            <w:vAlign w:val="bottom"/>
            <w:gridSpan w:val="2"/>
            <w:vMerge w:val="continue"/>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80" w:type="dxa"/>
            <w:vAlign w:val="bottom"/>
            <w:tcBorders>
              <w:bottom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378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Officer and Accounting</w:t>
            </w: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3"/>
              </w:rPr>
              <w:t>David R. Horn</w:t>
            </w:r>
          </w:p>
        </w:tc>
        <w:tc>
          <w:tcPr>
            <w:tcW w:w="100" w:type="dxa"/>
            <w:vAlign w:val="bottom"/>
            <w:vMerge w:val="continue"/>
          </w:tcPr>
          <w:p>
            <w:pPr>
              <w:spacing w:after="0"/>
              <w:rPr>
                <w:sz w:val="2"/>
                <w:szCs w:val="2"/>
                <w:color w:val="auto"/>
              </w:rPr>
            </w:pPr>
          </w:p>
        </w:tc>
        <w:tc>
          <w:tcPr>
            <w:tcW w:w="3780" w:type="dxa"/>
            <w:vAlign w:val="bottom"/>
            <w:gridSpan w:val="2"/>
            <w:vMerge w:val="continue"/>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Lead Independent 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5"/>
              </w:rPr>
              <w:t>David Hallal</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Catherine Friedman</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Langer, Sc.D.</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Terrance McGuire</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Omead Ostadan</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3"/>
              </w:rPr>
              <w:t>David Singer</w:t>
            </w:r>
          </w:p>
        </w:tc>
        <w:tc>
          <w:tcPr>
            <w:tcW w:w="100" w:type="dxa"/>
            <w:vAlign w:val="bottom"/>
            <w:vMerge w:val="continue"/>
          </w:tcPr>
          <w:p>
            <w:pPr>
              <w:spacing w:after="0"/>
              <w:rPr>
                <w:sz w:val="8"/>
                <w:szCs w:val="8"/>
                <w:color w:val="auto"/>
              </w:rPr>
            </w:pPr>
          </w:p>
        </w:tc>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SEER,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Corporation Law of the State of Delaware)</w:t>
      </w:r>
    </w:p>
    <w:p>
      <w:pPr>
        <w:spacing w:after="0" w:line="14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Seer, Inc., a corporation organized and existing under and by virtue of the provisions of the General Corporation Law of the State of Delaware (the “</w:t>
      </w:r>
      <w:r>
        <w:rPr>
          <w:rFonts w:ascii="Arial" w:cs="Arial" w:eastAsia="Arial" w:hAnsi="Arial"/>
          <w:sz w:val="22"/>
          <w:szCs w:val="22"/>
          <w:b w:val="1"/>
          <w:bCs w:val="1"/>
          <w:color w:val="auto"/>
        </w:rPr>
        <w:t>General Corporation Law</w:t>
      </w:r>
      <w:r>
        <w:rPr>
          <w:rFonts w:ascii="Arial" w:cs="Arial" w:eastAsia="Arial" w:hAnsi="Arial"/>
          <w:sz w:val="22"/>
          <w:szCs w:val="22"/>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DOES HEREBY CERTIFY:</w:t>
      </w:r>
    </w:p>
    <w:p>
      <w:pPr>
        <w:spacing w:after="0" w:line="172" w:lineRule="exact"/>
        <w:rPr>
          <w:sz w:val="20"/>
          <w:szCs w:val="20"/>
          <w:color w:val="auto"/>
        </w:rPr>
      </w:pPr>
    </w:p>
    <w:p>
      <w:pPr>
        <w:ind w:right="700" w:firstLine="1304"/>
        <w:spacing w:after="0" w:line="287" w:lineRule="auto"/>
        <w:tabs>
          <w:tab w:leader="none" w:pos="1944"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That the name of this corporation is Seer, Inc., and that this corporation was originally incorporated pursuant to the General Corporation Law on March 16, 2017 under the name Seer Biosciences, Inc.</w:t>
      </w:r>
    </w:p>
    <w:p>
      <w:pPr>
        <w:spacing w:after="0" w:line="97" w:lineRule="exact"/>
        <w:rPr>
          <w:rFonts w:ascii="Arial" w:cs="Arial" w:eastAsia="Arial" w:hAnsi="Arial"/>
          <w:sz w:val="21"/>
          <w:szCs w:val="21"/>
          <w:b w:val="1"/>
          <w:bCs w:val="1"/>
          <w:color w:val="auto"/>
        </w:rPr>
      </w:pPr>
    </w:p>
    <w:p>
      <w:pPr>
        <w:ind w:right="460" w:firstLine="1304"/>
        <w:spacing w:after="0" w:line="302" w:lineRule="auto"/>
        <w:tabs>
          <w:tab w:leader="none" w:pos="1944"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82" w:lineRule="exact"/>
        <w:rPr>
          <w:sz w:val="20"/>
          <w:szCs w:val="20"/>
          <w:color w:val="auto"/>
        </w:rPr>
      </w:pPr>
    </w:p>
    <w:p>
      <w:pPr>
        <w:ind w:right="440" w:firstLine="1296"/>
        <w:spacing w:after="0" w:line="269"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the Certificate of Incorporation of this corporation, as previously amended and restated,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in its entirety to read as follows:</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FIRST: </w:t>
      </w:r>
      <w:r>
        <w:rPr>
          <w:rFonts w:ascii="Arial" w:cs="Arial" w:eastAsia="Arial" w:hAnsi="Arial"/>
          <w:sz w:val="22"/>
          <w:szCs w:val="22"/>
          <w:color w:val="auto"/>
        </w:rPr>
        <w:t>The name of this corporation is Seer, Inc. (the “</w:t>
      </w:r>
      <w:r>
        <w:rPr>
          <w:rFonts w:ascii="Arial" w:cs="Arial" w:eastAsia="Arial" w:hAnsi="Arial"/>
          <w:sz w:val="22"/>
          <w:szCs w:val="22"/>
          <w:b w:val="1"/>
          <w:bCs w:val="1"/>
          <w:color w:val="auto"/>
        </w:rPr>
        <w:t>Corporation</w:t>
      </w:r>
      <w:r>
        <w:rPr>
          <w:rFonts w:ascii="Arial" w:cs="Arial" w:eastAsia="Arial" w:hAnsi="Arial"/>
          <w:sz w:val="22"/>
          <w:szCs w:val="22"/>
          <w:color w:val="auto"/>
        </w:rPr>
        <w:t>”).</w:t>
      </w:r>
    </w:p>
    <w:p>
      <w:pPr>
        <w:spacing w:after="0" w:line="166" w:lineRule="exact"/>
        <w:rPr>
          <w:sz w:val="20"/>
          <w:szCs w:val="20"/>
          <w:color w:val="auto"/>
        </w:rPr>
      </w:pPr>
    </w:p>
    <w:p>
      <w:pPr>
        <w:jc w:val="both"/>
        <w:ind w:right="80" w:firstLine="1296"/>
        <w:spacing w:after="0" w:line="256" w:lineRule="auto"/>
        <w:rPr>
          <w:sz w:val="20"/>
          <w:szCs w:val="20"/>
          <w:color w:val="auto"/>
        </w:rPr>
      </w:pPr>
      <w:r>
        <w:rPr>
          <w:rFonts w:ascii="Arial" w:cs="Arial" w:eastAsia="Arial" w:hAnsi="Arial"/>
          <w:sz w:val="22"/>
          <w:szCs w:val="22"/>
          <w:b w:val="1"/>
          <w:bCs w:val="1"/>
          <w:color w:val="auto"/>
        </w:rPr>
        <w:t xml:space="preserve">SECOND: </w:t>
      </w:r>
      <w:r>
        <w:rPr>
          <w:rFonts w:ascii="Arial" w:cs="Arial" w:eastAsia="Arial" w:hAnsi="Arial"/>
          <w:sz w:val="22"/>
          <w:szCs w:val="22"/>
          <w:color w:val="auto"/>
        </w:rPr>
        <w:t>The address of the registered office of the Corporation in the State of Delaware is 1209 Orange Street,</w:t>
      </w:r>
      <w:r>
        <w:rPr>
          <w:rFonts w:ascii="Arial" w:cs="Arial" w:eastAsia="Arial" w:hAnsi="Arial"/>
          <w:sz w:val="22"/>
          <w:szCs w:val="22"/>
          <w:b w:val="1"/>
          <w:bCs w:val="1"/>
          <w:color w:val="auto"/>
        </w:rPr>
        <w:t xml:space="preserve"> </w:t>
      </w:r>
      <w:r>
        <w:rPr>
          <w:rFonts w:ascii="Arial" w:cs="Arial" w:eastAsia="Arial" w:hAnsi="Arial"/>
          <w:sz w:val="22"/>
          <w:szCs w:val="22"/>
          <w:color w:val="auto"/>
        </w:rPr>
        <w:t>Wilmington, Delaware, 19801, County of New Castle. The name of its registered agent at such address is The Corporation Trust Company.</w:t>
      </w:r>
    </w:p>
    <w:p>
      <w:pPr>
        <w:spacing w:after="0" w:line="122" w:lineRule="exact"/>
        <w:rPr>
          <w:sz w:val="20"/>
          <w:szCs w:val="20"/>
          <w:color w:val="auto"/>
        </w:rPr>
      </w:pPr>
    </w:p>
    <w:p>
      <w:pPr>
        <w:ind w:right="420" w:firstLine="1296"/>
        <w:spacing w:after="0" w:line="269" w:lineRule="auto"/>
        <w:rPr>
          <w:sz w:val="20"/>
          <w:szCs w:val="20"/>
          <w:color w:val="auto"/>
        </w:rPr>
      </w:pPr>
      <w:r>
        <w:rPr>
          <w:rFonts w:ascii="Arial" w:cs="Arial" w:eastAsia="Arial" w:hAnsi="Arial"/>
          <w:sz w:val="22"/>
          <w:szCs w:val="22"/>
          <w:b w:val="1"/>
          <w:bCs w:val="1"/>
          <w:color w:val="auto"/>
        </w:rPr>
        <w:t xml:space="preserve">THIRD: </w:t>
      </w:r>
      <w:r>
        <w:rPr>
          <w:rFonts w:ascii="Arial" w:cs="Arial" w:eastAsia="Arial" w:hAnsi="Arial"/>
          <w:sz w:val="22"/>
          <w:szCs w:val="22"/>
          <w:color w:val="auto"/>
        </w:rPr>
        <w:t>The nature of the business or purposes to be conducted or promoted is to engage in any lawful act or</w:t>
      </w:r>
      <w:r>
        <w:rPr>
          <w:rFonts w:ascii="Arial" w:cs="Arial" w:eastAsia="Arial" w:hAnsi="Arial"/>
          <w:sz w:val="22"/>
          <w:szCs w:val="22"/>
          <w:b w:val="1"/>
          <w:bCs w:val="1"/>
          <w:color w:val="auto"/>
        </w:rPr>
        <w:t xml:space="preserve"> </w:t>
      </w:r>
      <w:r>
        <w:rPr>
          <w:rFonts w:ascii="Arial" w:cs="Arial" w:eastAsia="Arial" w:hAnsi="Arial"/>
          <w:sz w:val="22"/>
          <w:szCs w:val="22"/>
          <w:color w:val="auto"/>
        </w:rPr>
        <w:t>activity for which corporations may be organized under the General Corporation Law.</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FOURTH: </w:t>
      </w:r>
      <w:r>
        <w:rPr>
          <w:rFonts w:ascii="Arial" w:cs="Arial" w:eastAsia="Arial" w:hAnsi="Arial"/>
          <w:sz w:val="19"/>
          <w:szCs w:val="19"/>
          <w:color w:val="auto"/>
        </w:rPr>
        <w:t>The total number of shares of all classes of stock which the Corporation shall have authority to issue is</w:t>
      </w:r>
    </w:p>
    <w:p>
      <w:pPr>
        <w:spacing w:after="0" w:line="62" w:lineRule="exact"/>
        <w:rPr>
          <w:sz w:val="20"/>
          <w:szCs w:val="20"/>
          <w:color w:val="auto"/>
        </w:rPr>
      </w:pPr>
    </w:p>
    <w:p>
      <w:pPr>
        <w:ind w:right="360" w:firstLine="8"/>
        <w:spacing w:after="0" w:line="290" w:lineRule="auto"/>
        <w:tabs>
          <w:tab w:leader="none" w:pos="25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120,000,000 shares of Class A Common Stock, $0.00001 par value per share (“</w:t>
      </w:r>
      <w:r>
        <w:rPr>
          <w:rFonts w:ascii="Arial" w:cs="Arial" w:eastAsia="Arial" w:hAnsi="Arial"/>
          <w:sz w:val="19"/>
          <w:szCs w:val="19"/>
          <w:b w:val="1"/>
          <w:bCs w:val="1"/>
          <w:color w:val="auto"/>
        </w:rPr>
        <w:t>Class A Common Stock</w:t>
      </w:r>
      <w:r>
        <w:rPr>
          <w:rFonts w:ascii="Arial" w:cs="Arial" w:eastAsia="Arial" w:hAnsi="Arial"/>
          <w:sz w:val="19"/>
          <w:szCs w:val="19"/>
          <w:color w:val="auto"/>
        </w:rPr>
        <w:t>”), (ii) 20,000,000 shares of Class B Common Stock, $0.00001 par value per share (“</w:t>
      </w:r>
      <w:r>
        <w:rPr>
          <w:rFonts w:ascii="Arial" w:cs="Arial" w:eastAsia="Arial" w:hAnsi="Arial"/>
          <w:sz w:val="19"/>
          <w:szCs w:val="19"/>
          <w:b w:val="1"/>
          <w:bCs w:val="1"/>
          <w:color w:val="auto"/>
        </w:rPr>
        <w:t>Class B Common Stock</w:t>
      </w:r>
      <w:r>
        <w:rPr>
          <w:rFonts w:ascii="Arial" w:cs="Arial" w:eastAsia="Arial" w:hAnsi="Arial"/>
          <w:sz w:val="19"/>
          <w:szCs w:val="19"/>
          <w:color w:val="auto"/>
        </w:rPr>
        <w:t>” and, together with the Class A Common Stock, “</w:t>
      </w:r>
      <w:r>
        <w:rPr>
          <w:rFonts w:ascii="Arial" w:cs="Arial" w:eastAsia="Arial" w:hAnsi="Arial"/>
          <w:sz w:val="19"/>
          <w:szCs w:val="19"/>
          <w:b w:val="1"/>
          <w:bCs w:val="1"/>
          <w:color w:val="auto"/>
        </w:rPr>
        <w:t>Common Stock</w:t>
      </w:r>
      <w:r>
        <w:rPr>
          <w:rFonts w:ascii="Arial" w:cs="Arial" w:eastAsia="Arial" w:hAnsi="Arial"/>
          <w:sz w:val="19"/>
          <w:szCs w:val="19"/>
          <w:color w:val="auto"/>
        </w:rPr>
        <w:t>”) and (iii) 62,117,414 shares of Preferred Stock, $0.00001 par value per share (“</w:t>
      </w:r>
      <w:r>
        <w:rPr>
          <w:rFonts w:ascii="Arial" w:cs="Arial" w:eastAsia="Arial" w:hAnsi="Arial"/>
          <w:sz w:val="19"/>
          <w:szCs w:val="19"/>
          <w:b w:val="1"/>
          <w:bCs w:val="1"/>
          <w:color w:val="auto"/>
        </w:rPr>
        <w:t>Preferred</w:t>
      </w:r>
      <w:r>
        <w:rPr>
          <w:rFonts w:ascii="Arial" w:cs="Arial" w:eastAsia="Arial" w:hAnsi="Arial"/>
          <w:sz w:val="19"/>
          <w:szCs w:val="19"/>
          <w:color w:val="auto"/>
        </w:rPr>
        <w:t xml:space="preserve"> </w:t>
      </w:r>
      <w:r>
        <w:rPr>
          <w:rFonts w:ascii="Arial" w:cs="Arial" w:eastAsia="Arial" w:hAnsi="Arial"/>
          <w:sz w:val="19"/>
          <w:szCs w:val="19"/>
          <w:b w:val="1"/>
          <w:bCs w:val="1"/>
          <w:color w:val="auto"/>
        </w:rPr>
        <w:t>Stock</w:t>
      </w:r>
      <w:r>
        <w:rPr>
          <w:rFonts w:ascii="Arial" w:cs="Arial" w:eastAsia="Arial" w:hAnsi="Arial"/>
          <w:sz w:val="19"/>
          <w:szCs w:val="19"/>
          <w:color w:val="auto"/>
        </w:rPr>
        <w:t>”), of which 6,607,201 shall be designated “</w:t>
      </w:r>
      <w:r>
        <w:rPr>
          <w:rFonts w:ascii="Arial" w:cs="Arial" w:eastAsia="Arial" w:hAnsi="Arial"/>
          <w:sz w:val="19"/>
          <w:szCs w:val="19"/>
          <w:b w:val="1"/>
          <w:bCs w:val="1"/>
          <w:color w:val="auto"/>
        </w:rPr>
        <w:t>Series A Preferred Stock</w:t>
      </w:r>
      <w:r>
        <w:rPr>
          <w:rFonts w:ascii="Arial" w:cs="Arial" w:eastAsia="Arial" w:hAnsi="Arial"/>
          <w:sz w:val="19"/>
          <w:szCs w:val="19"/>
          <w:color w:val="auto"/>
        </w:rPr>
        <w:t>,” 16,920,470 shall be designated “</w:t>
      </w:r>
      <w:r>
        <w:rPr>
          <w:rFonts w:ascii="Arial" w:cs="Arial" w:eastAsia="Arial" w:hAnsi="Arial"/>
          <w:sz w:val="19"/>
          <w:szCs w:val="19"/>
          <w:b w:val="1"/>
          <w:bCs w:val="1"/>
          <w:color w:val="auto"/>
        </w:rPr>
        <w:t>Series B Preferred Stock</w:t>
      </w:r>
      <w:r>
        <w:rPr>
          <w:rFonts w:ascii="Arial" w:cs="Arial" w:eastAsia="Arial" w:hAnsi="Arial"/>
          <w:sz w:val="19"/>
          <w:szCs w:val="19"/>
          <w:color w:val="auto"/>
        </w:rPr>
        <w:t>,” 7,000,000 shall be designated “</w:t>
      </w:r>
      <w:r>
        <w:rPr>
          <w:rFonts w:ascii="Arial" w:cs="Arial" w:eastAsia="Arial" w:hAnsi="Arial"/>
          <w:sz w:val="19"/>
          <w:szCs w:val="19"/>
          <w:b w:val="1"/>
          <w:bCs w:val="1"/>
          <w:color w:val="auto"/>
        </w:rPr>
        <w:t>Series C Preferred Stock</w:t>
      </w:r>
      <w:r>
        <w:rPr>
          <w:rFonts w:ascii="Arial" w:cs="Arial" w:eastAsia="Arial" w:hAnsi="Arial"/>
          <w:sz w:val="19"/>
          <w:szCs w:val="19"/>
          <w:color w:val="auto"/>
        </w:rPr>
        <w:t>,” 16,923,077 shall be designated “</w:t>
      </w:r>
      <w:r>
        <w:rPr>
          <w:rFonts w:ascii="Arial" w:cs="Arial" w:eastAsia="Arial" w:hAnsi="Arial"/>
          <w:sz w:val="19"/>
          <w:szCs w:val="19"/>
          <w:b w:val="1"/>
          <w:bCs w:val="1"/>
          <w:color w:val="auto"/>
        </w:rPr>
        <w:t>Series D Preferred Stock</w:t>
      </w:r>
      <w:r>
        <w:rPr>
          <w:rFonts w:ascii="Arial" w:cs="Arial" w:eastAsia="Arial" w:hAnsi="Arial"/>
          <w:sz w:val="19"/>
          <w:szCs w:val="19"/>
          <w:color w:val="auto"/>
        </w:rPr>
        <w:t>” and 14,666,666 shall be designated “</w:t>
      </w:r>
      <w:r>
        <w:rPr>
          <w:rFonts w:ascii="Arial" w:cs="Arial" w:eastAsia="Arial" w:hAnsi="Arial"/>
          <w:sz w:val="19"/>
          <w:szCs w:val="19"/>
          <w:b w:val="1"/>
          <w:bCs w:val="1"/>
          <w:color w:val="auto"/>
        </w:rPr>
        <w:t>Series D-1 Preferred Stock</w:t>
      </w:r>
      <w:r>
        <w:rPr>
          <w:rFonts w:ascii="Arial" w:cs="Arial" w:eastAsia="Arial" w:hAnsi="Arial"/>
          <w:sz w:val="19"/>
          <w:szCs w:val="19"/>
          <w:color w:val="auto"/>
        </w:rPr>
        <w:t>.”</w:t>
      </w:r>
    </w:p>
    <w:p>
      <w:pPr>
        <w:spacing w:after="0" w:line="99"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240"/>
          </w:cols>
          <w:pgMar w:left="320" w:top="121" w:right="339" w:bottom="1440" w:gutter="0" w:footer="0" w:header="0"/>
        </w:sectPr>
      </w:pPr>
    </w:p>
    <w:bookmarkStart w:id="208" w:name="page209"/>
    <w:bookmarkEnd w:id="208"/>
    <w:p>
      <w:pPr>
        <w:spacing w:after="0" w:line="204" w:lineRule="exact"/>
        <w:rPr>
          <w:sz w:val="20"/>
          <w:szCs w:val="20"/>
          <w:color w:val="auto"/>
        </w:rPr>
      </w:pPr>
    </w:p>
    <w:p>
      <w:pPr>
        <w:ind w:left="644" w:hanging="644"/>
        <w:spacing w:after="0"/>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165" w:lineRule="exact"/>
        <w:rPr>
          <w:rFonts w:ascii="Arial" w:cs="Arial" w:eastAsia="Arial" w:hAnsi="Arial"/>
          <w:sz w:val="22"/>
          <w:szCs w:val="22"/>
          <w:color w:val="auto"/>
        </w:rPr>
      </w:pPr>
    </w:p>
    <w:p>
      <w:pPr>
        <w:ind w:left="-656" w:right="20" w:firstLine="1304"/>
        <w:spacing w:after="0" w:line="263" w:lineRule="auto"/>
        <w:tabs>
          <w:tab w:leader="none" w:pos="1288"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voting, dividend and liquidation rights of the holders of the Common Stock are subject to and qualified by the rights, powers and preferences of the holders of the Preferred Stock set forth herein.</w:t>
      </w:r>
    </w:p>
    <w:p>
      <w:pPr>
        <w:spacing w:after="0" w:line="120" w:lineRule="exact"/>
        <w:rPr>
          <w:rFonts w:ascii="Arial" w:cs="Arial" w:eastAsia="Arial" w:hAnsi="Arial"/>
          <w:sz w:val="22"/>
          <w:szCs w:val="22"/>
          <w:color w:val="auto"/>
        </w:rPr>
      </w:pPr>
    </w:p>
    <w:p>
      <w:pPr>
        <w:ind w:left="-656" w:right="300" w:firstLine="1304"/>
        <w:spacing w:after="0" w:line="250" w:lineRule="auto"/>
        <w:tabs>
          <w:tab w:leader="none" w:pos="1288"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Equal Status</w:t>
      </w:r>
      <w:r>
        <w:rPr>
          <w:rFonts w:ascii="Arial" w:cs="Arial" w:eastAsia="Arial" w:hAnsi="Arial"/>
          <w:sz w:val="22"/>
          <w:szCs w:val="22"/>
          <w:color w:val="auto"/>
        </w:rPr>
        <w:t>. Except as otherwise provided in this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33" w:lineRule="exact"/>
        <w:rPr>
          <w:rFonts w:ascii="Arial" w:cs="Arial" w:eastAsia="Arial" w:hAnsi="Arial"/>
          <w:sz w:val="22"/>
          <w:szCs w:val="22"/>
          <w:color w:val="auto"/>
        </w:rPr>
      </w:pPr>
    </w:p>
    <w:p>
      <w:pPr>
        <w:ind w:left="-656" w:right="20" w:firstLine="1304"/>
        <w:spacing w:after="0" w:line="289" w:lineRule="auto"/>
        <w:tabs>
          <w:tab w:leader="none" w:pos="1288"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Except as otherwise expressly provided by this Certificate of Incorporation or as provided by law, the holders of shares of Class A Common Stock and Class B Common Stock shall (a) at all times vote together as a single class on all matters (including the election of directors) submitted to a vote or for the consent (if action by written consent of the stockholders is permitted at such time under this Certificate of Incorporation)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each holder of Class A Common Stock shall have the right to one (1) vote per share of Class A Common Stock held of record by such holder and each holder of Class B Common Stock shall have the right to ten (10) votes per share of Class B Common Stock held of record by such holder.</w:t>
      </w:r>
    </w:p>
    <w:p>
      <w:pPr>
        <w:spacing w:after="0" w:line="102" w:lineRule="exact"/>
        <w:rPr>
          <w:rFonts w:ascii="Arial" w:cs="Arial" w:eastAsia="Arial" w:hAnsi="Arial"/>
          <w:sz w:val="19"/>
          <w:szCs w:val="19"/>
          <w:color w:val="auto"/>
        </w:rPr>
      </w:pPr>
    </w:p>
    <w:p>
      <w:pPr>
        <w:ind w:left="1304" w:hanging="656"/>
        <w:spacing w:after="0"/>
        <w:tabs>
          <w:tab w:leader="none" w:pos="1304"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Conversion</w:t>
      </w:r>
      <w:r>
        <w:rPr>
          <w:rFonts w:ascii="Arial" w:cs="Arial" w:eastAsia="Arial" w:hAnsi="Arial"/>
          <w:sz w:val="22"/>
          <w:szCs w:val="22"/>
          <w:color w:val="auto"/>
        </w:rPr>
        <w:t>.</w:t>
      </w:r>
    </w:p>
    <w:p>
      <w:pPr>
        <w:spacing w:after="0" w:line="166" w:lineRule="exact"/>
        <w:rPr>
          <w:sz w:val="20"/>
          <w:szCs w:val="20"/>
          <w:color w:val="auto"/>
        </w:rPr>
      </w:pPr>
    </w:p>
    <w:p>
      <w:pPr>
        <w:ind w:left="1304"/>
        <w:spacing w:after="0"/>
        <w:tabs>
          <w:tab w:leader="none" w:pos="192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As used in this Section 4, the following terms shall have the following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22"/>
          <w:szCs w:val="22"/>
          <w:color w:val="auto"/>
        </w:rPr>
        <w:t>meanings:</w:t>
      </w:r>
    </w:p>
    <w:p>
      <w:pPr>
        <w:spacing w:after="0" w:line="148" w:lineRule="exact"/>
        <w:rPr>
          <w:sz w:val="20"/>
          <w:szCs w:val="20"/>
          <w:color w:val="auto"/>
        </w:rPr>
      </w:pPr>
    </w:p>
    <w:p>
      <w:pPr>
        <w:jc w:val="both"/>
        <w:ind w:left="1944" w:hanging="648"/>
        <w:spacing w:after="0" w:line="260" w:lineRule="auto"/>
        <w:tabs>
          <w:tab w:leader="none" w:pos="193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26" w:lineRule="exact"/>
        <w:rPr>
          <w:rFonts w:ascii="Arial" w:cs="Arial" w:eastAsia="Arial" w:hAnsi="Arial"/>
          <w:sz w:val="21"/>
          <w:szCs w:val="21"/>
          <w:color w:val="auto"/>
        </w:rPr>
      </w:pPr>
    </w:p>
    <w:p>
      <w:pPr>
        <w:ind w:left="1944" w:hanging="648"/>
        <w:spacing w:after="0" w:line="263" w:lineRule="auto"/>
        <w:tabs>
          <w:tab w:leader="none" w:pos="193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Stockholder</w:t>
      </w:r>
      <w:r>
        <w:rPr>
          <w:rFonts w:ascii="Arial" w:cs="Arial" w:eastAsia="Arial" w:hAnsi="Arial"/>
          <w:sz w:val="22"/>
          <w:szCs w:val="22"/>
          <w:color w:val="auto"/>
        </w:rPr>
        <w:t>” shall mean any stockholder that is issued Class B Common Stock by the Corporation.</w:t>
      </w:r>
    </w:p>
    <w:p>
      <w:pPr>
        <w:spacing w:after="0" w:line="120" w:lineRule="exact"/>
        <w:rPr>
          <w:rFonts w:ascii="Arial" w:cs="Arial" w:eastAsia="Arial" w:hAnsi="Arial"/>
          <w:sz w:val="22"/>
          <w:szCs w:val="22"/>
          <w:color w:val="auto"/>
        </w:rPr>
      </w:pPr>
    </w:p>
    <w:p>
      <w:pPr>
        <w:ind w:left="1944" w:hanging="648"/>
        <w:spacing w:after="0" w:line="343" w:lineRule="auto"/>
        <w:tabs>
          <w:tab w:leader="none" w:pos="194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Entity</w:t>
      </w:r>
      <w:r>
        <w:rPr>
          <w:rFonts w:ascii="Arial" w:cs="Arial" w:eastAsia="Arial" w:hAnsi="Arial"/>
          <w:sz w:val="19"/>
          <w:szCs w:val="19"/>
          <w:color w:val="auto"/>
        </w:rPr>
        <w:t xml:space="preserve">” shall mean, with respect to any Class B Stockholder, any trust, account, plan, corporation, partnership, or limited liability company specified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established by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9" w:lineRule="exact"/>
        <w:rPr>
          <w:rFonts w:ascii="Arial" w:cs="Arial" w:eastAsia="Arial" w:hAnsi="Arial"/>
          <w:sz w:val="19"/>
          <w:szCs w:val="19"/>
          <w:color w:val="auto"/>
        </w:rPr>
      </w:pPr>
    </w:p>
    <w:p>
      <w:pPr>
        <w:ind w:left="4924" w:hanging="136"/>
        <w:spacing w:after="0"/>
        <w:tabs>
          <w:tab w:leader="none" w:pos="492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584"/>
          </w:cols>
          <w:pgMar w:left="976" w:top="1440" w:right="339" w:bottom="1440" w:gutter="0" w:footer="0" w:header="0"/>
        </w:sectPr>
      </w:pPr>
    </w:p>
    <w:bookmarkStart w:id="209" w:name="page210"/>
    <w:bookmarkEnd w:id="209"/>
    <w:p>
      <w:pPr>
        <w:spacing w:after="0" w:line="204"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 xml:space="preserve">for such Class B Stockholder, so long as such entity meets the requirements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200" w:lineRule="exact"/>
        <w:rPr>
          <w:sz w:val="20"/>
          <w:szCs w:val="20"/>
          <w:color w:val="auto"/>
        </w:rPr>
      </w:pPr>
    </w:p>
    <w:p>
      <w:pPr>
        <w:jc w:val="both"/>
        <w:ind w:left="1940" w:hanging="648"/>
        <w:spacing w:after="0" w:line="250" w:lineRule="auto"/>
        <w:tabs>
          <w:tab w:leader="none" w:pos="192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w:t>
      </w:r>
    </w:p>
    <w:p>
      <w:pPr>
        <w:spacing w:after="0" w:line="133" w:lineRule="exact"/>
        <w:rPr>
          <w:rFonts w:ascii="Arial" w:cs="Arial" w:eastAsia="Arial" w:hAnsi="Arial"/>
          <w:sz w:val="22"/>
          <w:szCs w:val="22"/>
          <w:color w:val="auto"/>
        </w:rPr>
      </w:pPr>
    </w:p>
    <w:p>
      <w:pPr>
        <w:jc w:val="both"/>
        <w:ind w:left="1940" w:hanging="648"/>
        <w:spacing w:after="0" w:line="253" w:lineRule="auto"/>
        <w:tabs>
          <w:tab w:leader="none" w:pos="193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Control</w:t>
      </w:r>
      <w:r>
        <w:rPr>
          <w:rFonts w:ascii="Arial" w:cs="Arial" w:eastAsia="Arial" w:hAnsi="Arial"/>
          <w:sz w:val="22"/>
          <w:szCs w:val="22"/>
          <w:color w:val="auto"/>
        </w:rPr>
        <w:t>” shall mean, with respect to a share of Class B Common Stock, the power (whether exclusive or shared) to vote or direct the voting of such share of Class B Common Stock by proxy, voting agreement or otherwise.</w:t>
      </w:r>
    </w:p>
    <w:p>
      <w:pPr>
        <w:spacing w:after="0" w:line="13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Optional Conversion</w:t>
      </w:r>
      <w:r>
        <w:rPr>
          <w:rFonts w:ascii="Arial" w:cs="Arial" w:eastAsia="Arial" w:hAnsi="Arial"/>
          <w:sz w:val="22"/>
          <w:szCs w:val="22"/>
          <w:color w:val="auto"/>
        </w:rPr>
        <w:t>. Each share of Class B Common Stock shall be convertible into one (1) fully paid and nonassessable share of Class A Common Stock at the option of the holder thereof at any time upon written notice to the transfer agent of the Corporation.</w:t>
      </w:r>
    </w:p>
    <w:p>
      <w:pPr>
        <w:spacing w:after="0" w:line="131" w:lineRule="exact"/>
        <w:rPr>
          <w:sz w:val="20"/>
          <w:szCs w:val="20"/>
          <w:color w:val="auto"/>
        </w:rPr>
      </w:pPr>
    </w:p>
    <w:p>
      <w:pPr>
        <w:ind w:right="100" w:firstLine="1296"/>
        <w:spacing w:after="0" w:line="258"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Automatic Conversion upon Transfer</w:t>
      </w:r>
      <w:r>
        <w:rPr>
          <w:rFonts w:ascii="Arial" w:cs="Arial" w:eastAsia="Arial" w:hAnsi="Arial"/>
          <w:sz w:val="21"/>
          <w:szCs w:val="21"/>
          <w:color w:val="auto"/>
        </w:rPr>
        <w:t xml:space="preserve">. Each share of Class B Common Stock shall automatically, without any further action, convert into one (1) fully paid and nonassessable share of Class A Common Stock upon the Transfer of such share;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Arial" w:cs="Arial" w:eastAsia="Arial" w:hAnsi="Arial"/>
          <w:sz w:val="21"/>
          <w:szCs w:val="21"/>
          <w:u w:val="single" w:color="auto"/>
          <w:color w:val="auto"/>
        </w:rPr>
        <w:t>Subsection 4.3</w:t>
      </w:r>
      <w:r>
        <w:rPr>
          <w:rFonts w:ascii="Arial" w:cs="Arial" w:eastAsia="Arial" w:hAnsi="Arial"/>
          <w:sz w:val="21"/>
          <w:szCs w:val="21"/>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31" w:lineRule="exact"/>
        <w:rPr>
          <w:sz w:val="20"/>
          <w:szCs w:val="20"/>
          <w:color w:val="auto"/>
        </w:rPr>
      </w:pPr>
    </w:p>
    <w:p>
      <w:pPr>
        <w:ind w:left="1920" w:hanging="628"/>
        <w:spacing w:after="0"/>
        <w:tabs>
          <w:tab w:leader="none" w:pos="19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an Affiliate of such Class B Stockholder;</w:t>
      </w:r>
    </w:p>
    <w:p>
      <w:pPr>
        <w:spacing w:after="0" w:line="165" w:lineRule="exact"/>
        <w:rPr>
          <w:rFonts w:ascii="Arial" w:cs="Arial" w:eastAsia="Arial" w:hAnsi="Arial"/>
          <w:sz w:val="22"/>
          <w:szCs w:val="22"/>
          <w:color w:val="auto"/>
        </w:rPr>
      </w:pPr>
    </w:p>
    <w:p>
      <w:pPr>
        <w:ind w:left="1940" w:hanging="648"/>
        <w:spacing w:after="0" w:line="263" w:lineRule="auto"/>
        <w:tabs>
          <w:tab w:leader="none" w:pos="193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 trust for the benefit of such Class B Stockholder or such Class B Stockholder’s spouse, parents or children, and for the benefit of no other person or persons;</w:t>
      </w:r>
    </w:p>
    <w:p>
      <w:pPr>
        <w:spacing w:after="0" w:line="120" w:lineRule="exact"/>
        <w:rPr>
          <w:rFonts w:ascii="Arial" w:cs="Arial" w:eastAsia="Arial" w:hAnsi="Arial"/>
          <w:sz w:val="22"/>
          <w:szCs w:val="22"/>
          <w:color w:val="auto"/>
        </w:rPr>
      </w:pPr>
    </w:p>
    <w:p>
      <w:pPr>
        <w:jc w:val="both"/>
        <w:ind w:left="1940" w:hanging="648"/>
        <w:spacing w:after="0" w:line="247" w:lineRule="auto"/>
        <w:tabs>
          <w:tab w:leader="none" w:pos="19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 trust for the benefit of persons other than those listed in paragraph 4.3(ii) or an Individual Retirement Account, as defined in Section 408(a) of the Internal Revenue Code (the “</w:t>
      </w:r>
      <w:r>
        <w:rPr>
          <w:rFonts w:ascii="Arial" w:cs="Arial" w:eastAsia="Arial" w:hAnsi="Arial"/>
          <w:sz w:val="22"/>
          <w:szCs w:val="22"/>
          <w:b w:val="1"/>
          <w:bCs w:val="1"/>
          <w:color w:val="auto"/>
        </w:rPr>
        <w:t>Code</w:t>
      </w:r>
      <w:r>
        <w:rPr>
          <w:rFonts w:ascii="Arial" w:cs="Arial" w:eastAsia="Arial" w:hAnsi="Arial"/>
          <w:sz w:val="22"/>
          <w:szCs w:val="22"/>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8" w:lineRule="exact"/>
        <w:rPr>
          <w:rFonts w:ascii="Arial" w:cs="Arial" w:eastAsia="Arial" w:hAnsi="Arial"/>
          <w:sz w:val="22"/>
          <w:szCs w:val="22"/>
          <w:color w:val="auto"/>
        </w:rPr>
      </w:pPr>
    </w:p>
    <w:p>
      <w:pPr>
        <w:ind w:left="4920" w:hanging="136"/>
        <w:spacing w:after="0"/>
        <w:tabs>
          <w:tab w:leader="none" w:pos="492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580"/>
          </w:cols>
          <w:pgMar w:left="980" w:top="1440" w:right="339" w:bottom="1440" w:gutter="0" w:footer="0" w:header="0"/>
        </w:sectPr>
      </w:pPr>
    </w:p>
    <w:bookmarkStart w:id="210" w:name="page211"/>
    <w:bookmarkEnd w:id="210"/>
    <w:p>
      <w:pPr>
        <w:spacing w:after="0" w:line="20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respect to the shares of Class B Common Stock held by such trust; or</w:t>
      </w:r>
    </w:p>
    <w:p>
      <w:pPr>
        <w:spacing w:after="0" w:line="166" w:lineRule="exact"/>
        <w:rPr>
          <w:sz w:val="20"/>
          <w:szCs w:val="20"/>
          <w:color w:val="auto"/>
        </w:rPr>
      </w:pPr>
    </w:p>
    <w:p>
      <w:pPr>
        <w:jc w:val="both"/>
        <w:ind w:left="1940" w:hanging="648"/>
        <w:spacing w:after="0" w:line="246" w:lineRule="auto"/>
        <w:tabs>
          <w:tab w:leader="none" w:pos="192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each case such Transfer does not involve any payment of cash, securities, property or other consideration (other than an interest in such trust) to the Class B Stockholder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the event that the requirements of such Permitted Entity as described in paragraphs 4.3(i)-4.3(iii) above are no longer met, then each share of Class B Common Stock then held by such Permitted Entity shall automatically convert into one (1) fully paid and nonassessable share of Class A Common Stock.</w:t>
      </w:r>
    </w:p>
    <w:p>
      <w:pPr>
        <w:spacing w:after="0" w:line="12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Automatic Conversion</w:t>
      </w:r>
      <w:r>
        <w:rPr>
          <w:rFonts w:ascii="Arial" w:cs="Arial" w:eastAsia="Arial" w:hAnsi="Arial"/>
          <w:sz w:val="19"/>
          <w:szCs w:val="19"/>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written consent or agreement of holders in interest of at least fifty percent (50%) of the then outstanding shares of Class B Common Stock or (iv) the earlier of (x)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 with the U.S. Securities and Exchange Commission as a national securities exchange pursuant to Section 6(a) of the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(y) December 31, 2025.</w:t>
      </w:r>
    </w:p>
    <w:p>
      <w:pPr>
        <w:spacing w:after="0" w:line="108"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Effect of Conversion</w:t>
      </w:r>
      <w:r>
        <w:rPr>
          <w:rFonts w:ascii="Arial" w:cs="Arial" w:eastAsia="Arial" w:hAnsi="Arial"/>
          <w:sz w:val="22"/>
          <w:szCs w:val="22"/>
          <w:color w:val="auto"/>
        </w:rPr>
        <w:t xml:space="preserve">. In the event of a conversion of shares of Class B Common Stock to shares of Class A Common Stock pursuant to this </w:t>
      </w:r>
      <w:r>
        <w:rPr>
          <w:rFonts w:ascii="Arial" w:cs="Arial" w:eastAsia="Arial" w:hAnsi="Arial"/>
          <w:sz w:val="22"/>
          <w:szCs w:val="22"/>
          <w:u w:val="single" w:color="auto"/>
          <w:color w:val="auto"/>
        </w:rPr>
        <w:t>Section 4</w:t>
      </w:r>
      <w:r>
        <w:rPr>
          <w:rFonts w:ascii="Arial" w:cs="Arial" w:eastAsia="Arial" w:hAnsi="Arial"/>
          <w:sz w:val="22"/>
          <w:szCs w:val="22"/>
          <w:color w:val="auto"/>
        </w:rPr>
        <w:t>, such conversion shall be deemed to have been made at the time that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580"/>
          </w:cols>
          <w:pgMar w:left="980" w:top="1440" w:right="339" w:bottom="1440" w:gutter="0" w:footer="0" w:header="0"/>
        </w:sectPr>
      </w:pPr>
    </w:p>
    <w:bookmarkStart w:id="211" w:name="page212"/>
    <w:bookmarkEnd w:id="211"/>
    <w:p>
      <w:pPr>
        <w:spacing w:after="0" w:line="204" w:lineRule="exact"/>
        <w:rPr>
          <w:sz w:val="20"/>
          <w:szCs w:val="20"/>
          <w:color w:val="auto"/>
        </w:rPr>
      </w:pPr>
    </w:p>
    <w:p>
      <w:pPr>
        <w:ind w:left="660" w:right="40"/>
        <w:spacing w:after="0" w:line="290" w:lineRule="auto"/>
        <w:rPr>
          <w:sz w:val="20"/>
          <w:szCs w:val="20"/>
          <w:color w:val="auto"/>
        </w:rPr>
      </w:pPr>
      <w:r>
        <w:rPr>
          <w:rFonts w:ascii="Arial" w:cs="Arial" w:eastAsia="Arial" w:hAnsi="Arial"/>
          <w:sz w:val="19"/>
          <w:szCs w:val="19"/>
          <w:color w:val="auto"/>
        </w:rPr>
        <w:t xml:space="preserve">transfer agent receives the written notice required pursuant to </w:t>
      </w:r>
      <w:r>
        <w:rPr>
          <w:rFonts w:ascii="Arial" w:cs="Arial" w:eastAsia="Arial" w:hAnsi="Arial"/>
          <w:sz w:val="19"/>
          <w:szCs w:val="19"/>
          <w:u w:val="single" w:color="auto"/>
          <w:color w:val="auto"/>
        </w:rPr>
        <w:t>Subsection 4.2</w:t>
      </w:r>
      <w:r>
        <w:rPr>
          <w:rFonts w:ascii="Arial" w:cs="Arial" w:eastAsia="Arial" w:hAnsi="Arial"/>
          <w:sz w:val="19"/>
          <w:szCs w:val="19"/>
          <w:color w:val="auto"/>
        </w:rPr>
        <w:t>, the time that the Transfer of such shares occurred or the death or permanent disability of the Class B Stockholder (or its sole member), as applicable.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4 shall be retired and shall not be reissued.</w:t>
      </w:r>
    </w:p>
    <w:p>
      <w:pPr>
        <w:spacing w:after="0" w:line="102" w:lineRule="exact"/>
        <w:rPr>
          <w:sz w:val="20"/>
          <w:szCs w:val="20"/>
          <w:color w:val="auto"/>
        </w:rPr>
      </w:pPr>
    </w:p>
    <w:p>
      <w:pPr>
        <w:ind w:right="20" w:firstLine="1304"/>
        <w:spacing w:after="0" w:line="302" w:lineRule="auto"/>
        <w:tabs>
          <w:tab w:leader="none" w:pos="1944"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Reservation of Stock</w:t>
      </w:r>
      <w:r>
        <w:rPr>
          <w:rFonts w:ascii="Arial" w:cs="Arial" w:eastAsia="Arial" w:hAnsi="Arial"/>
          <w:sz w:val="19"/>
          <w:szCs w:val="19"/>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88" w:lineRule="exact"/>
        <w:rPr>
          <w:rFonts w:ascii="Arial" w:cs="Arial" w:eastAsia="Arial" w:hAnsi="Arial"/>
          <w:sz w:val="19"/>
          <w:szCs w:val="19"/>
          <w:color w:val="auto"/>
        </w:rPr>
      </w:pPr>
    </w:p>
    <w:p>
      <w:pPr>
        <w:ind w:right="80" w:firstLine="1304"/>
        <w:spacing w:after="0" w:line="248" w:lineRule="auto"/>
        <w:tabs>
          <w:tab w:leader="none" w:pos="1944"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Adjustment in Authorized Class A Common Stock</w:t>
      </w:r>
      <w:r>
        <w:rPr>
          <w:rFonts w:ascii="Arial" w:cs="Arial" w:eastAsia="Arial" w:hAnsi="Arial"/>
          <w:sz w:val="22"/>
          <w:szCs w:val="22"/>
          <w:color w:val="auto"/>
        </w:rPr>
        <w:t>. The number of authorized shares of Class A Common Stock may be increased or decreased (but not below the number of shares of Class A Common Stock then outstanding) by an affirmative vote of the holders of a majority of the voting power of the Corporation (in addition to the affirmative vote of holders of the Preferred Stock voting as a separate class pursuant to Article Fourth, Part B, Section 3.3.8 of this Certificate of Incorporation).</w:t>
      </w:r>
    </w:p>
    <w:p>
      <w:pPr>
        <w:spacing w:after="0" w:line="137" w:lineRule="exact"/>
        <w:rPr>
          <w:rFonts w:ascii="Arial" w:cs="Arial" w:eastAsia="Arial" w:hAnsi="Arial"/>
          <w:sz w:val="22"/>
          <w:szCs w:val="22"/>
          <w:color w:val="auto"/>
        </w:rPr>
      </w:pPr>
    </w:p>
    <w:p>
      <w:pPr>
        <w:ind w:right="60" w:firstLine="1304"/>
        <w:spacing w:after="0" w:line="247" w:lineRule="auto"/>
        <w:tabs>
          <w:tab w:leader="none" w:pos="1944"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Corporation may, from time to time, establish such policies and procedures relating to the conversion of the Class B Common Stock to Class A Common Stock and the general administration of this dual class Common Stock structure, including the issuance of stock certificates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w:t>
      </w:r>
    </w:p>
    <w:p>
      <w:pPr>
        <w:spacing w:after="0" w:line="138" w:lineRule="exact"/>
        <w:rPr>
          <w:rFonts w:ascii="Arial" w:cs="Arial" w:eastAsia="Arial" w:hAnsi="Arial"/>
          <w:sz w:val="22"/>
          <w:szCs w:val="22"/>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PREFERRED STOCK</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6,607,201 shares of the authorized and issued Preferred Stock of the Corporation are hereby designated Series A Preferred Stock, 16,920,470 shares of the authorized and issued Preferred Stock of the Corporation are hereby designated Series B Preferred Stock, 7,000,000 shares of the authorized and issued Preferred Stock of the Corporation are hereby designated Series C Preferred Stock, 16,923,077 shares of the authorized and unissued Preferred Stock of the Corporation are hereby designated Series D Preferred Stock and 14,666,666 shares of the authorized and unissued Preferred Stock of the Corporation are hereby designated Series D-1 Preferred Stock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4" w:lineRule="exact"/>
        <w:rPr>
          <w:sz w:val="20"/>
          <w:szCs w:val="20"/>
          <w:color w:val="auto"/>
        </w:rPr>
      </w:pPr>
    </w:p>
    <w:p>
      <w:pPr>
        <w:ind w:left="1960" w:hanging="656"/>
        <w:spacing w:after="0"/>
        <w:tabs>
          <w:tab w:leader="none" w:pos="196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Holders of Series A Preferred Stock, in preference to the holders of Common Stock and pari passu with the holders of Series B Preferred Stock, the holders of Series C Preferred Stock, the holders of Series D Preferred Stock and the holders of Series D-1 Preferred Stock, shall be entitled to receive, but only out of funds that are legally available therefor, cash dividends at the rate of $0.0545 per annum on each outstanding share of Series A Preferred Stock. Holders of Series B Preferred Stock, in preference to the holders of Common Stock and pari passu with the holders of Series A Preferred Stock, the holders of Series C Preferred Stock, the holders of Series D Preferred Stock and the holders of Series D-1 Preferred Stock, shall be entitled to receive, but only out of funds that are legally available therefor, cash dividends at the rate of $0.1064 per annum on each outstanding share of Series B Preferred Stock. Holders of Series C Preferred Stock, in preference to the holders of Common Stock and pari passu with the holders of Series A Preferred Stock, the holders of Series B Preferred Stock, the holders of Series D Preferred Stock and the holders of Series D-1 Preferred Stock, shall be entitled to receive, but only out of funds that are legally available therefor, cash dividends at the rate of $0.15 per annum on each outstanding share of Series C Preferred Stock. Holders of Series D Preferred Stock, in preference to the holders of Common Stock and pari passu with the holders of Series A Preferred Stock, the holders of Series B Preferred Stock, the holders of Series C Preferred Stock and the holders of Series D-1 Preferred Stock, shall be entitled to receive, but only out of funds that are legally available therefor, cash dividends at the rate of $0.195 per annum on each outstanding share of Series D Preferred Stock. Holders of Series D-1 Preferred Stock, in preference to the holders of Common Stock and pari passu with the holders of Series A Preferred Stock, the holders of Series B Preferred Stock, the holders of Series C Preferred Stock and the holders of Series D Preferred Stock, shall be entitled to receive, but only out of funds that are legally available therefor, cash dividends at the rate of $0.225 per annum on each outstanding share of Series D-1 Preferred Stock. Such dividends shall be payable only when, as and if declared by the Board of Directors and shall be non-cumulative. After payment of such dividends to the holders of Series A Preferred Stock, Series B Preferred Stock, Series C Preferred Stock, Series D Preferred Stock and Series D-1 Preferred Stock,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Series A Conversion Rate (as defined below), Series B Conversion Rate (as defined below), Series C Conversion Rate (as defined below), Series D Conversion Rate (as defined below) and Series D-1 Conversion Rate (as defined below), as applicable. A distribution to the Corporation’s stockholders may be made without regard to the preferential dividends arrears amount or any preferential rights amount (each as determined under applicable law).</w:t>
      </w:r>
    </w:p>
    <w:p>
      <w:pPr>
        <w:spacing w:after="0" w:line="365" w:lineRule="exact"/>
        <w:rPr>
          <w:sz w:val="20"/>
          <w:szCs w:val="20"/>
          <w:color w:val="auto"/>
        </w:rPr>
      </w:pPr>
    </w:p>
    <w:p>
      <w:pPr>
        <w:ind w:left="1960" w:hanging="656"/>
        <w:spacing w:after="0"/>
        <w:tabs>
          <w:tab w:leader="none" w:pos="196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Liquidation, Dissolution or Winding Up; Certain Mergers, Consolidations and Asset Sales</w:t>
      </w:r>
      <w:r>
        <w:rPr>
          <w:rFonts w:ascii="Arial" w:cs="Arial" w:eastAsia="Arial" w:hAnsi="Arial"/>
          <w:sz w:val="22"/>
          <w:szCs w:val="22"/>
          <w:color w:val="auto"/>
        </w:rPr>
        <w:t>.</w:t>
      </w:r>
    </w:p>
    <w:p>
      <w:pPr>
        <w:spacing w:after="0" w:line="166" w:lineRule="exact"/>
        <w:rPr>
          <w:sz w:val="20"/>
          <w:szCs w:val="20"/>
          <w:color w:val="auto"/>
        </w:rPr>
      </w:pPr>
    </w:p>
    <w:p>
      <w:pPr>
        <w:jc w:val="both"/>
        <w:ind w:right="160" w:firstLine="1944"/>
        <w:spacing w:after="0" w:line="31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Preferential Payments to Holders of Preferred Stock</w:t>
      </w:r>
      <w:r>
        <w:rPr>
          <w:rFonts w:ascii="Arial" w:cs="Arial" w:eastAsia="Arial" w:hAnsi="Arial"/>
          <w:sz w:val="19"/>
          <w:szCs w:val="19"/>
          <w:color w:val="auto"/>
        </w:rPr>
        <w:t>.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4"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 xml:space="preserve">stockholders before any payment shall be made to the holders of Common Stock by reason of their ownership thereof, an amount per share of Preferred Stock equal to the greater of (i) the Original Issue Price of such series of Preferred Stock, plus any dividends declared but unpaid thereon and (ii) such amount per share as would have been payable had all shares of such series of Preferred Stock been converted into Class A Common Stock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immediately prior to such liquidation, dissolution, winding up or Deemed Liquidation Event (the amount payable pursuant to this sentence is hereinafter referred to as in the case of the Series A Preferred Stock, the “</w:t>
      </w:r>
      <w:r>
        <w:rPr>
          <w:rFonts w:ascii="Arial" w:cs="Arial" w:eastAsia="Arial" w:hAnsi="Arial"/>
          <w:sz w:val="19"/>
          <w:szCs w:val="19"/>
          <w:b w:val="1"/>
          <w:bCs w:val="1"/>
          <w:color w:val="auto"/>
        </w:rPr>
        <w:t>Series A Liquidation Amount</w:t>
      </w:r>
      <w:r>
        <w:rPr>
          <w:rFonts w:ascii="Arial" w:cs="Arial" w:eastAsia="Arial" w:hAnsi="Arial"/>
          <w:sz w:val="19"/>
          <w:szCs w:val="19"/>
          <w:color w:val="auto"/>
        </w:rPr>
        <w:t>,” as in the case of the Series B Preferred Stock, the “</w:t>
      </w:r>
      <w:r>
        <w:rPr>
          <w:rFonts w:ascii="Arial" w:cs="Arial" w:eastAsia="Arial" w:hAnsi="Arial"/>
          <w:sz w:val="19"/>
          <w:szCs w:val="19"/>
          <w:b w:val="1"/>
          <w:bCs w:val="1"/>
          <w:color w:val="auto"/>
        </w:rPr>
        <w:t>Series B Liquidation Amount</w:t>
      </w:r>
      <w:r>
        <w:rPr>
          <w:rFonts w:ascii="Arial" w:cs="Arial" w:eastAsia="Arial" w:hAnsi="Arial"/>
          <w:sz w:val="19"/>
          <w:szCs w:val="19"/>
          <w:color w:val="auto"/>
        </w:rPr>
        <w:t>,” as in the case of the Series C Preferred Stock, the “</w:t>
      </w:r>
      <w:r>
        <w:rPr>
          <w:rFonts w:ascii="Arial" w:cs="Arial" w:eastAsia="Arial" w:hAnsi="Arial"/>
          <w:sz w:val="19"/>
          <w:szCs w:val="19"/>
          <w:b w:val="1"/>
          <w:bCs w:val="1"/>
          <w:color w:val="auto"/>
        </w:rPr>
        <w:t>Series C Liquidation Amount</w:t>
      </w:r>
      <w:r>
        <w:rPr>
          <w:rFonts w:ascii="Arial" w:cs="Arial" w:eastAsia="Arial" w:hAnsi="Arial"/>
          <w:sz w:val="19"/>
          <w:szCs w:val="19"/>
          <w:color w:val="auto"/>
        </w:rPr>
        <w:t>,” as in the case of the Series D Preferred Stock, the “</w:t>
      </w:r>
      <w:r>
        <w:rPr>
          <w:rFonts w:ascii="Arial" w:cs="Arial" w:eastAsia="Arial" w:hAnsi="Arial"/>
          <w:sz w:val="19"/>
          <w:szCs w:val="19"/>
          <w:b w:val="1"/>
          <w:bCs w:val="1"/>
          <w:color w:val="auto"/>
        </w:rPr>
        <w:t>Series D Liquidation Amount</w:t>
      </w:r>
      <w:r>
        <w:rPr>
          <w:rFonts w:ascii="Arial" w:cs="Arial" w:eastAsia="Arial" w:hAnsi="Arial"/>
          <w:sz w:val="19"/>
          <w:szCs w:val="19"/>
          <w:color w:val="auto"/>
        </w:rPr>
        <w:t>” and as in the case of the Series D-1 Preferred Stock, the “</w:t>
      </w:r>
      <w:r>
        <w:rPr>
          <w:rFonts w:ascii="Arial" w:cs="Arial" w:eastAsia="Arial" w:hAnsi="Arial"/>
          <w:sz w:val="19"/>
          <w:szCs w:val="19"/>
          <w:b w:val="1"/>
          <w:bCs w:val="1"/>
          <w:color w:val="auto"/>
        </w:rPr>
        <w:t>Series D-1 Liquidation Amount</w:t>
      </w:r>
      <w:r>
        <w:rPr>
          <w:rFonts w:ascii="Arial" w:cs="Arial" w:eastAsia="Arial" w:hAnsi="Arial"/>
          <w:sz w:val="19"/>
          <w:szCs w:val="19"/>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9"/>
          <w:szCs w:val="19"/>
          <w:u w:val="single" w:color="auto"/>
          <w:color w:val="auto"/>
        </w:rPr>
        <w:t>Subsection 2.1</w:t>
      </w:r>
      <w:r>
        <w:rPr>
          <w:rFonts w:ascii="Arial" w:cs="Arial" w:eastAsia="Arial" w:hAnsi="Arial"/>
          <w:sz w:val="19"/>
          <w:szCs w:val="19"/>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w:t>
      </w:r>
      <w:r>
        <w:rPr>
          <w:rFonts w:ascii="Arial" w:cs="Arial" w:eastAsia="Arial" w:hAnsi="Arial"/>
          <w:sz w:val="19"/>
          <w:szCs w:val="19"/>
          <w:b w:val="1"/>
          <w:bCs w:val="1"/>
          <w:color w:val="auto"/>
        </w:rPr>
        <w:t>Series A Original Issue Price</w:t>
      </w:r>
      <w:r>
        <w:rPr>
          <w:rFonts w:ascii="Arial" w:cs="Arial" w:eastAsia="Arial" w:hAnsi="Arial"/>
          <w:sz w:val="19"/>
          <w:szCs w:val="19"/>
          <w:color w:val="auto"/>
        </w:rPr>
        <w:t>” shall mean $0.9081 per share, subject to appropriate adjustment in the event of any stock dividend, stock split, combination or other similar recapitalization with respect to the Series A Preferred Stock. The “</w:t>
      </w:r>
      <w:r>
        <w:rPr>
          <w:rFonts w:ascii="Arial" w:cs="Arial" w:eastAsia="Arial" w:hAnsi="Arial"/>
          <w:sz w:val="19"/>
          <w:szCs w:val="19"/>
          <w:b w:val="1"/>
          <w:bCs w:val="1"/>
          <w:color w:val="auto"/>
        </w:rPr>
        <w:t>Series B Original Issue Price</w:t>
      </w:r>
      <w:r>
        <w:rPr>
          <w:rFonts w:ascii="Arial" w:cs="Arial" w:eastAsia="Arial" w:hAnsi="Arial"/>
          <w:sz w:val="19"/>
          <w:szCs w:val="19"/>
          <w:color w:val="auto"/>
        </w:rPr>
        <w:t>” shall mean $1.7730 per share, subject to appropriate adjustment in the event of any stock dividend, stock split, combination or other similar recapitalization with respect to the Series B Preferred Stock. The “</w:t>
      </w:r>
      <w:r>
        <w:rPr>
          <w:rFonts w:ascii="Arial" w:cs="Arial" w:eastAsia="Arial" w:hAnsi="Arial"/>
          <w:sz w:val="19"/>
          <w:szCs w:val="19"/>
          <w:b w:val="1"/>
          <w:bCs w:val="1"/>
          <w:color w:val="auto"/>
        </w:rPr>
        <w:t>Series C Original Issue Price</w:t>
      </w:r>
      <w:r>
        <w:rPr>
          <w:rFonts w:ascii="Arial" w:cs="Arial" w:eastAsia="Arial" w:hAnsi="Arial"/>
          <w:sz w:val="19"/>
          <w:szCs w:val="19"/>
          <w:color w:val="auto"/>
        </w:rPr>
        <w:t>” shall mean $2.50 per share, subject to appropriate adjustment in the event of any stock dividend, stock split, combination or other similar recapitalization with respect to the Series C Preferred Stock. The “</w:t>
      </w:r>
      <w:r>
        <w:rPr>
          <w:rFonts w:ascii="Arial" w:cs="Arial" w:eastAsia="Arial" w:hAnsi="Arial"/>
          <w:sz w:val="19"/>
          <w:szCs w:val="19"/>
          <w:b w:val="1"/>
          <w:bCs w:val="1"/>
          <w:color w:val="auto"/>
        </w:rPr>
        <w:t>Series D Original Issue Price</w:t>
      </w:r>
      <w:r>
        <w:rPr>
          <w:rFonts w:ascii="Arial" w:cs="Arial" w:eastAsia="Arial" w:hAnsi="Arial"/>
          <w:sz w:val="19"/>
          <w:szCs w:val="19"/>
          <w:color w:val="auto"/>
        </w:rPr>
        <w:t>” shall mean $3.25 per share, subject to appropriate adjustment in the event of any stock dividend, stock split, combination or other similar recapitalization with respect to the Series D Preferred Stock. The “</w:t>
      </w:r>
      <w:r>
        <w:rPr>
          <w:rFonts w:ascii="Arial" w:cs="Arial" w:eastAsia="Arial" w:hAnsi="Arial"/>
          <w:sz w:val="19"/>
          <w:szCs w:val="19"/>
          <w:b w:val="1"/>
          <w:bCs w:val="1"/>
          <w:color w:val="auto"/>
        </w:rPr>
        <w:t>Series D-1 Original Issue Price</w:t>
      </w:r>
      <w:r>
        <w:rPr>
          <w:rFonts w:ascii="Arial" w:cs="Arial" w:eastAsia="Arial" w:hAnsi="Arial"/>
          <w:sz w:val="19"/>
          <w:szCs w:val="19"/>
          <w:color w:val="auto"/>
        </w:rPr>
        <w:t>” shall mean $3.75 per share, subject to appropriate adjustment in the event of any stock dividend, stock split, combination or other similar recapitalization with respect to the Series D-1 Preferred Stock.</w:t>
      </w:r>
    </w:p>
    <w:p>
      <w:pPr>
        <w:spacing w:after="0" w:line="115" w:lineRule="exact"/>
        <w:rPr>
          <w:sz w:val="20"/>
          <w:szCs w:val="20"/>
          <w:color w:val="auto"/>
        </w:rPr>
      </w:pPr>
    </w:p>
    <w:p>
      <w:pPr>
        <w:ind w:firstLine="1944"/>
        <w:spacing w:after="0" w:line="24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Payments to Holders of Common Stock</w:t>
      </w:r>
      <w:r>
        <w:rPr>
          <w:rFonts w:ascii="Arial" w:cs="Arial" w:eastAsia="Arial" w:hAnsi="Arial"/>
          <w:sz w:val="22"/>
          <w:szCs w:val="22"/>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w:t>
      </w:r>
    </w:p>
    <w:p>
      <w:pPr>
        <w:spacing w:after="0" w:line="138"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Deemed Liquidation Events</w:t>
      </w:r>
      <w:r>
        <w:rPr>
          <w:rFonts w:ascii="Arial" w:cs="Arial" w:eastAsia="Arial" w:hAnsi="Arial"/>
          <w:sz w:val="19"/>
          <w:szCs w:val="19"/>
          <w:color w:val="auto"/>
        </w:rPr>
        <w:t>.</w:t>
      </w:r>
    </w:p>
    <w:p>
      <w:pPr>
        <w:spacing w:after="0" w:line="160" w:lineRule="exact"/>
        <w:rPr>
          <w:sz w:val="20"/>
          <w:szCs w:val="20"/>
          <w:color w:val="auto"/>
        </w:rPr>
      </w:pPr>
    </w:p>
    <w:p>
      <w:pPr>
        <w:ind w:right="40" w:firstLine="2592"/>
        <w:spacing w:after="0" w:line="256" w:lineRule="auto"/>
        <w:rPr>
          <w:sz w:val="20"/>
          <w:szCs w:val="20"/>
          <w:color w:val="auto"/>
        </w:rPr>
      </w:pPr>
      <w:r>
        <w:rPr>
          <w:rFonts w:ascii="Arial" w:cs="Arial" w:eastAsia="Arial" w:hAnsi="Arial"/>
          <w:sz w:val="22"/>
          <w:szCs w:val="22"/>
          <w:color w:val="auto"/>
        </w:rPr>
        <w:t xml:space="preserve">2.3.1. </w:t>
      </w:r>
      <w:r>
        <w:rPr>
          <w:rFonts w:ascii="Arial" w:cs="Arial" w:eastAsia="Arial" w:hAnsi="Arial"/>
          <w:sz w:val="22"/>
          <w:szCs w:val="22"/>
          <w:u w:val="single" w:color="auto"/>
          <w:color w:val="auto"/>
        </w:rPr>
        <w:t>Definition</w:t>
      </w:r>
      <w:r>
        <w:rPr>
          <w:rFonts w:ascii="Arial" w:cs="Arial" w:eastAsia="Arial" w:hAnsi="Arial"/>
          <w:sz w:val="22"/>
          <w:szCs w:val="22"/>
          <w:color w:val="auto"/>
        </w:rPr>
        <w:t>. Each of the following events shall be considered a “</w:t>
      </w:r>
      <w:r>
        <w:rPr>
          <w:rFonts w:ascii="Arial" w:cs="Arial" w:eastAsia="Arial" w:hAnsi="Arial"/>
          <w:sz w:val="22"/>
          <w:szCs w:val="22"/>
          <w:b w:val="1"/>
          <w:bCs w:val="1"/>
          <w:color w:val="auto"/>
        </w:rPr>
        <w:t>Deemed Liquidation</w:t>
      </w:r>
      <w:r>
        <w:rPr>
          <w:rFonts w:ascii="Arial" w:cs="Arial" w:eastAsia="Arial" w:hAnsi="Arial"/>
          <w:sz w:val="22"/>
          <w:szCs w:val="22"/>
          <w:color w:val="auto"/>
        </w:rPr>
        <w:t xml:space="preserve"> </w:t>
      </w:r>
      <w:r>
        <w:rPr>
          <w:rFonts w:ascii="Arial" w:cs="Arial" w:eastAsia="Arial" w:hAnsi="Arial"/>
          <w:sz w:val="22"/>
          <w:szCs w:val="22"/>
          <w:b w:val="1"/>
          <w:bCs w:val="1"/>
          <w:color w:val="auto"/>
        </w:rPr>
        <w:t>Event</w:t>
      </w:r>
      <w:r>
        <w:rPr>
          <w:rFonts w:ascii="Arial" w:cs="Arial" w:eastAsia="Arial" w:hAnsi="Arial"/>
          <w:sz w:val="22"/>
          <w:szCs w:val="22"/>
          <w:color w:val="auto"/>
        </w:rPr>
        <w:t>” unless the holders of at least a majority of the outstanding shares of Preferred Stock elect otherwise by written notice sent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Corporation prior to the effective date of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4" w:lineRule="exact"/>
        <w:rPr>
          <w:sz w:val="20"/>
          <w:szCs w:val="20"/>
          <w:color w:val="auto"/>
        </w:rPr>
      </w:pPr>
    </w:p>
    <w:p>
      <w:pPr>
        <w:ind w:left="3900" w:hanging="652"/>
        <w:spacing w:after="0"/>
        <w:tabs>
          <w:tab w:leader="none" w:pos="39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merger, reorganization or consolidation in which</w:t>
      </w:r>
    </w:p>
    <w:p>
      <w:pPr>
        <w:spacing w:after="0" w:line="165" w:lineRule="exact"/>
        <w:rPr>
          <w:rFonts w:ascii="Arial" w:cs="Arial" w:eastAsia="Arial" w:hAnsi="Arial"/>
          <w:sz w:val="22"/>
          <w:szCs w:val="22"/>
          <w:color w:val="auto"/>
        </w:rPr>
      </w:pPr>
    </w:p>
    <w:p>
      <w:pPr>
        <w:ind w:left="4540" w:hanging="644"/>
        <w:spacing w:after="0"/>
        <w:tabs>
          <w:tab w:leader="none" w:pos="454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Corporation is a constituent party or</w:t>
      </w:r>
    </w:p>
    <w:p>
      <w:pPr>
        <w:spacing w:after="0" w:line="165" w:lineRule="exact"/>
        <w:rPr>
          <w:rFonts w:ascii="Arial" w:cs="Arial" w:eastAsia="Arial" w:hAnsi="Arial"/>
          <w:sz w:val="22"/>
          <w:szCs w:val="22"/>
          <w:color w:val="auto"/>
        </w:rPr>
      </w:pPr>
    </w:p>
    <w:p>
      <w:pPr>
        <w:jc w:val="both"/>
        <w:ind w:left="4540" w:right="300" w:hanging="644"/>
        <w:spacing w:after="0" w:line="343" w:lineRule="auto"/>
        <w:tabs>
          <w:tab w:leader="none" w:pos="453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 subsidiary of the Corporation is a constituent party and the Corporation issues shares of its capital stock pursuant to such merger or consolidation,</w:t>
      </w:r>
    </w:p>
    <w:p>
      <w:pPr>
        <w:spacing w:after="0" w:line="50" w:lineRule="exact"/>
        <w:rPr>
          <w:sz w:val="20"/>
          <w:szCs w:val="20"/>
          <w:color w:val="auto"/>
        </w:rPr>
      </w:pPr>
    </w:p>
    <w:p>
      <w:pPr>
        <w:ind w:right="160"/>
        <w:spacing w:after="0" w:line="247" w:lineRule="auto"/>
        <w:rPr>
          <w:sz w:val="20"/>
          <w:szCs w:val="20"/>
          <w:color w:val="auto"/>
        </w:rPr>
      </w:pPr>
      <w:r>
        <w:rPr>
          <w:rFonts w:ascii="Arial" w:cs="Arial" w:eastAsia="Arial" w:hAnsi="Arial"/>
          <w:sz w:val="22"/>
          <w:szCs w:val="22"/>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39" w:lineRule="exact"/>
        <w:rPr>
          <w:sz w:val="20"/>
          <w:szCs w:val="20"/>
          <w:color w:val="auto"/>
        </w:rPr>
      </w:pPr>
    </w:p>
    <w:p>
      <w:pPr>
        <w:ind w:left="3900" w:hanging="652"/>
        <w:spacing w:after="0"/>
        <w:tabs>
          <w:tab w:leader="none" w:pos="39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sale, lease, transfer, exclusive license (in all fields or substantially all fields such</w:t>
      </w:r>
    </w:p>
    <w:p>
      <w:pPr>
        <w:spacing w:after="0" w:line="55"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that the Corporation is unable to continue operations in its ordinary course of business)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(in all fields or substantially all fields such that the Corporation is unable to continue operations in its ordinary course of business) or other disposition is to a wholly owned subsidiary of the Corporation.</w:t>
      </w:r>
    </w:p>
    <w:p>
      <w:pPr>
        <w:spacing w:after="0" w:line="12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2.3.2.  </w:t>
      </w:r>
      <w:r>
        <w:rPr>
          <w:rFonts w:ascii="Arial" w:cs="Arial" w:eastAsia="Arial" w:hAnsi="Arial"/>
          <w:sz w:val="22"/>
          <w:szCs w:val="22"/>
          <w:u w:val="single" w:color="auto"/>
          <w:color w:val="auto"/>
        </w:rPr>
        <w:t>Effecting a Deemed Liquidation Event</w:t>
      </w:r>
      <w:r>
        <w:rPr>
          <w:rFonts w:ascii="Arial" w:cs="Arial" w:eastAsia="Arial" w:hAnsi="Arial"/>
          <w:sz w:val="22"/>
          <w:szCs w:val="22"/>
          <w:color w:val="auto"/>
        </w:rPr>
        <w:t>.</w:t>
      </w:r>
    </w:p>
    <w:p>
      <w:pPr>
        <w:spacing w:after="0" w:line="166" w:lineRule="exact"/>
        <w:rPr>
          <w:sz w:val="20"/>
          <w:szCs w:val="20"/>
          <w:color w:val="auto"/>
        </w:rPr>
      </w:pPr>
    </w:p>
    <w:p>
      <w:pPr>
        <w:ind w:left="3900" w:hanging="652"/>
        <w:spacing w:after="0"/>
        <w:tabs>
          <w:tab w:leader="none" w:pos="39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Corporation shall not have the power to effect a Deemed Liquidation Event</w:t>
      </w:r>
    </w:p>
    <w:p>
      <w:pPr>
        <w:spacing w:after="0" w:line="55" w:lineRule="exact"/>
        <w:rPr>
          <w:rFonts w:ascii="Arial" w:cs="Arial" w:eastAsia="Arial" w:hAnsi="Arial"/>
          <w:sz w:val="19"/>
          <w:szCs w:val="19"/>
          <w:color w:val="auto"/>
        </w:rPr>
      </w:pPr>
    </w:p>
    <w:p>
      <w:pPr>
        <w:ind w:right="60"/>
        <w:spacing w:after="0" w:line="245" w:lineRule="auto"/>
        <w:rPr>
          <w:rFonts w:ascii="Arial" w:cs="Arial" w:eastAsia="Arial" w:hAnsi="Arial"/>
          <w:sz w:val="19"/>
          <w:szCs w:val="19"/>
          <w:color w:val="auto"/>
        </w:rPr>
      </w:pPr>
      <w:r>
        <w:rPr>
          <w:rFonts w:ascii="Arial" w:cs="Arial" w:eastAsia="Arial" w:hAnsi="Arial"/>
          <w:sz w:val="22"/>
          <w:szCs w:val="22"/>
          <w:color w:val="auto"/>
        </w:rPr>
        <w:t xml:space="preserve">referred to in </w:t>
      </w:r>
      <w:r>
        <w:rPr>
          <w:rFonts w:ascii="Arial" w:cs="Arial" w:eastAsia="Arial" w:hAnsi="Arial"/>
          <w:sz w:val="22"/>
          <w:szCs w:val="22"/>
          <w:u w:val="single" w:color="auto"/>
          <w:color w:val="auto"/>
        </w:rPr>
        <w:t>Subsection 2.3.1(a)(i)</w:t>
      </w:r>
      <w:r>
        <w:rPr>
          <w:rFonts w:ascii="Arial" w:cs="Arial" w:eastAsia="Arial" w:hAnsi="Arial"/>
          <w:sz w:val="22"/>
          <w:szCs w:val="22"/>
          <w:color w:val="auto"/>
        </w:rPr>
        <w:t xml:space="preserve"> unless the agreement or plan of merger or consolidation for such transaction (the “</w:t>
      </w:r>
      <w:r>
        <w:rPr>
          <w:rFonts w:ascii="Arial" w:cs="Arial" w:eastAsia="Arial" w:hAnsi="Arial"/>
          <w:sz w:val="22"/>
          <w:szCs w:val="22"/>
          <w:b w:val="1"/>
          <w:bCs w:val="1"/>
          <w:color w:val="auto"/>
        </w:rPr>
        <w:t>Merger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provides that the consideration payable to the stockholders of the Corporation shall be allocated among the holders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capital stock of the Corporation in accordance with </w:t>
      </w:r>
      <w:r>
        <w:rPr>
          <w:rFonts w:ascii="Arial" w:cs="Arial" w:eastAsia="Arial" w:hAnsi="Arial"/>
          <w:sz w:val="22"/>
          <w:szCs w:val="22"/>
          <w:u w:val="single" w:color="auto"/>
          <w:color w:val="auto"/>
        </w:rPr>
        <w:t>Subsections 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w:t>
      </w:r>
      <w:r>
        <w:rPr>
          <w:rFonts w:ascii="Arial" w:cs="Arial" w:eastAsia="Arial" w:hAnsi="Arial"/>
          <w:sz w:val="22"/>
          <w:szCs w:val="22"/>
          <w:color w:val="auto"/>
        </w:rPr>
        <w:t>.</w:t>
      </w:r>
    </w:p>
    <w:p>
      <w:pPr>
        <w:spacing w:after="0" w:line="138" w:lineRule="exact"/>
        <w:rPr>
          <w:rFonts w:ascii="Arial" w:cs="Arial" w:eastAsia="Arial" w:hAnsi="Arial"/>
          <w:sz w:val="19"/>
          <w:szCs w:val="19"/>
          <w:color w:val="auto"/>
        </w:rPr>
      </w:pPr>
    </w:p>
    <w:p>
      <w:pPr>
        <w:ind w:firstLine="3248"/>
        <w:spacing w:after="0" w:line="262" w:lineRule="auto"/>
        <w:tabs>
          <w:tab w:leader="none" w:pos="388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In the event of a Deemed Liquidation Event referred to in </w:t>
      </w:r>
      <w:r>
        <w:rPr>
          <w:rFonts w:ascii="Arial" w:cs="Arial" w:eastAsia="Arial" w:hAnsi="Arial"/>
          <w:sz w:val="20"/>
          <w:szCs w:val="20"/>
          <w:u w:val="single" w:color="auto"/>
          <w:color w:val="auto"/>
        </w:rPr>
        <w:t>Subsection 2.3.1(a)(ii)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2.3.1(b)</w:t>
      </w:r>
      <w:r>
        <w:rPr>
          <w:rFonts w:ascii="Arial" w:cs="Arial" w:eastAsia="Arial" w:hAnsi="Arial"/>
          <w:sz w:val="20"/>
          <w:szCs w:val="20"/>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Deemed Liquidation Event advising such holders of their right (and the requirements to be met to secure such right) pursuant to the terms of the following clause (ii) to require the redemption of such shares of Preferred Stock, and (ii) if the holders of at least a majority of the then outstanding shares of Preferred Stock so request in a written instrument delivered to the Corporation not later than one hundred twenty (120) days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4" w:lineRule="exact"/>
        <w:rPr>
          <w:rFonts w:ascii="Arial" w:cs="Arial" w:eastAsia="Arial" w:hAnsi="Arial"/>
          <w:sz w:val="20"/>
          <w:szCs w:val="20"/>
          <w:color w:val="auto"/>
        </w:rPr>
      </w:pPr>
    </w:p>
    <w:p>
      <w:pPr>
        <w:ind w:left="5580" w:hanging="136"/>
        <w:spacing w:after="0"/>
        <w:tabs>
          <w:tab w:leader="none" w:pos="558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204"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auto"/>
        </w:rPr>
        <w:t>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Arial" w:cs="Arial" w:eastAsia="Arial" w:hAnsi="Arial"/>
          <w:sz w:val="20"/>
          <w:szCs w:val="20"/>
          <w:b w:val="1"/>
          <w:bCs w:val="1"/>
          <w:color w:val="auto"/>
        </w:rPr>
        <w:t>,</w:t>
      </w:r>
      <w:r>
        <w:rPr>
          <w:rFonts w:ascii="Arial" w:cs="Arial" w:eastAsia="Arial" w:hAnsi="Arial"/>
          <w:sz w:val="20"/>
          <w:szCs w:val="20"/>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20"/>
          <w:szCs w:val="20"/>
          <w:b w:val="1"/>
          <w:bCs w:val="1"/>
          <w:color w:val="auto"/>
        </w:rPr>
        <w:t>Available Proceeds</w:t>
      </w:r>
      <w:r>
        <w:rPr>
          <w:rFonts w:ascii="Arial" w:cs="Arial" w:eastAsia="Arial" w:hAnsi="Arial"/>
          <w:sz w:val="20"/>
          <w:szCs w:val="20"/>
          <w:color w:val="auto"/>
        </w:rPr>
        <w:t>”), on the one hundred fiftieth (150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such Deemed Liquidation Event, to redeem all outstanding shares of Series A Preferred Stock at a price per share equal to the Series A Liquidation Amount, all outstanding shares of Series B Preferred Stock at a price per share equal to the Series B Liquidation Amount, all outstanding shares of Series C Preferred Stock at a price per share equal to the Series C Liquidation Amount, all outstanding shares of Series D Preferred Stock at a price per share equal to the Series D Liquidation Amount and all outstanding shares of Series D-1 Preferred Stock at a price per share equal to the Series D-1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20"/>
          <w:szCs w:val="20"/>
          <w:u w:val="single" w:color="auto"/>
          <w:color w:val="auto"/>
        </w:rPr>
        <w:t>Subsection 2.3.2(b)</w:t>
      </w:r>
      <w:r>
        <w:rPr>
          <w:rFonts w:ascii="Arial" w:cs="Arial" w:eastAsia="Arial" w:hAnsi="Arial"/>
          <w:sz w:val="20"/>
          <w:szCs w:val="20"/>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27" w:lineRule="exact"/>
        <w:rPr>
          <w:sz w:val="20"/>
          <w:szCs w:val="20"/>
          <w:color w:val="auto"/>
        </w:rPr>
      </w:pPr>
    </w:p>
    <w:p>
      <w:pPr>
        <w:ind w:firstLine="2592"/>
        <w:spacing w:after="0" w:line="261"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u w:val="single" w:color="auto"/>
          <w:color w:val="auto"/>
        </w:rPr>
        <w:t>Amount Deemed Paid or Distributed</w:t>
      </w:r>
      <w:r>
        <w:rPr>
          <w:rFonts w:ascii="Arial" w:cs="Arial" w:eastAsia="Arial" w:hAnsi="Arial"/>
          <w:sz w:val="21"/>
          <w:szCs w:val="21"/>
          <w:color w:val="auto"/>
        </w:rPr>
        <w:t>. The amount deemed paid or distributed to the holders of capital stock of the Corporation upon any such merger, consolidation, sale, transfer, exclusive license (in all fields or substantially all fields such that the Corporation is unable to continue operations in its ordinary course of business),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25" w:lineRule="exact"/>
        <w:rPr>
          <w:sz w:val="20"/>
          <w:szCs w:val="20"/>
          <w:color w:val="auto"/>
        </w:rPr>
      </w:pPr>
    </w:p>
    <w:p>
      <w:pPr>
        <w:ind w:right="80" w:firstLine="2592"/>
        <w:spacing w:after="0" w:line="288" w:lineRule="auto"/>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u w:val="single" w:color="auto"/>
          <w:color w:val="auto"/>
        </w:rPr>
        <w:t>Allocation of Escrow and Contingent Consideration</w:t>
      </w:r>
      <w:r>
        <w:rPr>
          <w:rFonts w:ascii="Arial" w:cs="Arial" w:eastAsia="Arial" w:hAnsi="Arial"/>
          <w:sz w:val="19"/>
          <w:szCs w:val="19"/>
          <w:color w:val="auto"/>
        </w:rPr>
        <w:t xml:space="preserve">. In the event of a Deemed Liquidation Event pursuant to </w:t>
      </w:r>
      <w:r>
        <w:rPr>
          <w:rFonts w:ascii="Arial" w:cs="Arial" w:eastAsia="Arial" w:hAnsi="Arial"/>
          <w:sz w:val="19"/>
          <w:szCs w:val="19"/>
          <w:u w:val="single" w:color="auto"/>
          <w:color w:val="auto"/>
        </w:rPr>
        <w:t>Subsection 2.3.1(a)(i)</w:t>
      </w:r>
      <w:r>
        <w:rPr>
          <w:rFonts w:ascii="Arial" w:cs="Arial" w:eastAsia="Arial" w:hAnsi="Arial"/>
          <w:sz w:val="19"/>
          <w:szCs w:val="19"/>
          <w:color w:val="auto"/>
        </w:rPr>
        <w:t>, if any portion of the consideration payable to the stockholders of the Corporation is payable only upon satisfaction of contingencies (the “</w:t>
      </w:r>
      <w:r>
        <w:rPr>
          <w:rFonts w:ascii="Arial" w:cs="Arial" w:eastAsia="Arial" w:hAnsi="Arial"/>
          <w:sz w:val="19"/>
          <w:szCs w:val="19"/>
          <w:b w:val="1"/>
          <w:bCs w:val="1"/>
          <w:color w:val="auto"/>
        </w:rPr>
        <w:t>Additional Consideration</w:t>
      </w:r>
      <w:r>
        <w:rPr>
          <w:rFonts w:ascii="Arial" w:cs="Arial" w:eastAsia="Arial" w:hAnsi="Arial"/>
          <w:sz w:val="19"/>
          <w:szCs w:val="19"/>
          <w:color w:val="auto"/>
        </w:rPr>
        <w:t>”), the Merger Agreement shall provide that</w:t>
      </w:r>
    </w:p>
    <w:p>
      <w:pPr>
        <w:spacing w:after="0" w:line="1" w:lineRule="exact"/>
        <w:rPr>
          <w:sz w:val="20"/>
          <w:szCs w:val="20"/>
          <w:color w:val="auto"/>
        </w:rPr>
      </w:pPr>
    </w:p>
    <w:p>
      <w:pPr>
        <w:ind w:right="180" w:firstLine="8"/>
        <w:spacing w:after="0" w:line="288" w:lineRule="auto"/>
        <w:tabs>
          <w:tab w:leader="none" w:pos="29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portion of such consideration that is not Additional Consideration (such portion, the “</w:t>
      </w:r>
      <w:r>
        <w:rPr>
          <w:rFonts w:ascii="Arial" w:cs="Arial" w:eastAsia="Arial" w:hAnsi="Arial"/>
          <w:sz w:val="19"/>
          <w:szCs w:val="19"/>
          <w:b w:val="1"/>
          <w:bCs w:val="1"/>
          <w:color w:val="auto"/>
        </w:rPr>
        <w:t>Initial Consideration</w:t>
      </w:r>
      <w:r>
        <w:rPr>
          <w:rFonts w:ascii="Arial" w:cs="Arial" w:eastAsia="Arial" w:hAnsi="Arial"/>
          <w:sz w:val="19"/>
          <w:szCs w:val="19"/>
          <w:color w:val="auto"/>
        </w:rPr>
        <w:t xml:space="preserve">”) shall be allocated among the holders of capital stock of the Corporation in accordance with </w:t>
      </w:r>
      <w:r>
        <w:rPr>
          <w:rFonts w:ascii="Arial" w:cs="Arial" w:eastAsia="Arial" w:hAnsi="Arial"/>
          <w:sz w:val="19"/>
          <w:szCs w:val="19"/>
          <w:u w:val="single" w:color="auto"/>
          <w:color w:val="auto"/>
        </w:rPr>
        <w:t>Subsections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9"/>
          <w:szCs w:val="19"/>
          <w:u w:val="single" w:color="auto"/>
          <w:color w:val="auto"/>
        </w:rPr>
        <w:t>Subsections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after taking into account the previous payment of the Initial Consideration as part of the same transaction. For the purposes of this </w:t>
      </w:r>
      <w:r>
        <w:rPr>
          <w:rFonts w:ascii="Arial" w:cs="Arial" w:eastAsia="Arial" w:hAnsi="Arial"/>
          <w:sz w:val="19"/>
          <w:szCs w:val="19"/>
          <w:u w:val="single" w:color="auto"/>
          <w:color w:val="auto"/>
        </w:rPr>
        <w:t>Subsection 2.3.4</w:t>
      </w:r>
      <w:r>
        <w:rPr>
          <w:rFonts w:ascii="Arial" w:cs="Arial" w:eastAsia="Arial" w:hAnsi="Arial"/>
          <w:sz w:val="19"/>
          <w:szCs w:val="19"/>
          <w:color w:val="auto"/>
        </w:rPr>
        <w:t>, consideration placed into escrow or retained as holdback to be available for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3" w:lineRule="exact"/>
        <w:rPr>
          <w:rFonts w:ascii="Arial" w:cs="Arial" w:eastAsia="Arial" w:hAnsi="Arial"/>
          <w:sz w:val="19"/>
          <w:szCs w:val="19"/>
          <w:color w:val="auto"/>
        </w:rPr>
      </w:pPr>
    </w:p>
    <w:p>
      <w:pPr>
        <w:ind w:left="5580" w:hanging="136"/>
        <w:spacing w:after="0"/>
        <w:tabs>
          <w:tab w:leader="none" w:pos="55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160"/>
          </w:cols>
          <w:pgMar w:left="320" w:top="1440" w:right="419" w:bottom="1440" w:gutter="0" w:footer="0" w:header="0"/>
        </w:sectPr>
      </w:pPr>
    </w:p>
    <w:bookmarkStart w:id="216" w:name="page217"/>
    <w:bookmarkEnd w:id="216"/>
    <w:p>
      <w:pPr>
        <w:spacing w:after="0" w:line="204"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satisfaction of indemnification or similar obligations in connection with such Deemed Liquidation Event shall be deemed to be Additional Consideration.</w:t>
      </w:r>
    </w:p>
    <w:p>
      <w:pPr>
        <w:spacing w:after="0" w:line="121" w:lineRule="exact"/>
        <w:rPr>
          <w:sz w:val="20"/>
          <w:szCs w:val="20"/>
          <w:color w:val="auto"/>
        </w:rPr>
      </w:pPr>
    </w:p>
    <w:p>
      <w:pPr>
        <w:ind w:left="1960" w:hanging="656"/>
        <w:spacing w:after="0"/>
        <w:tabs>
          <w:tab w:leader="none" w:pos="196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w:t>
      </w:r>
    </w:p>
    <w:p>
      <w:pPr>
        <w:spacing w:after="0" w:line="166" w:lineRule="exact"/>
        <w:rPr>
          <w:sz w:val="20"/>
          <w:szCs w:val="20"/>
          <w:color w:val="auto"/>
        </w:rPr>
      </w:pPr>
    </w:p>
    <w:p>
      <w:pPr>
        <w:ind w:firstLine="1944"/>
        <w:spacing w:after="0" w:line="24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General</w:t>
      </w:r>
      <w:r>
        <w:rPr>
          <w:rFonts w:ascii="Arial" w:cs="Arial" w:eastAsia="Arial" w:hAnsi="Arial"/>
          <w:sz w:val="22"/>
          <w:szCs w:val="22"/>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as a single class. Except as provided by law or by the other provisions of the Certificate of Incorporation, holders of Preferred Stock shall vote together with the holders of Common Stock as a single class.</w:t>
      </w:r>
    </w:p>
    <w:p>
      <w:pPr>
        <w:spacing w:after="0" w:line="140" w:lineRule="exact"/>
        <w:rPr>
          <w:sz w:val="20"/>
          <w:szCs w:val="20"/>
          <w:color w:val="auto"/>
        </w:rPr>
      </w:pPr>
    </w:p>
    <w:p>
      <w:pPr>
        <w:ind w:right="80" w:firstLine="1944"/>
        <w:spacing w:after="0" w:line="284"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Election of Directors</w:t>
      </w:r>
      <w:r>
        <w:rPr>
          <w:rFonts w:ascii="Arial" w:cs="Arial" w:eastAsia="Arial" w:hAnsi="Arial"/>
          <w:sz w:val="19"/>
          <w:szCs w:val="19"/>
          <w:color w:val="auto"/>
        </w:rPr>
        <w:t>. The holders of record of the shares of Preferred Stock, exclusively and as a separate class, shall be entitled to elect one director of the Corporation (the “</w:t>
      </w:r>
      <w:r>
        <w:rPr>
          <w:rFonts w:ascii="Arial" w:cs="Arial" w:eastAsia="Arial" w:hAnsi="Arial"/>
          <w:sz w:val="19"/>
          <w:szCs w:val="19"/>
          <w:b w:val="1"/>
          <w:bCs w:val="1"/>
          <w:color w:val="auto"/>
        </w:rPr>
        <w:t>Preferred Director</w:t>
      </w:r>
      <w:r>
        <w:rPr>
          <w:rFonts w:ascii="Arial" w:cs="Arial" w:eastAsia="Arial" w:hAnsi="Arial"/>
          <w:sz w:val="19"/>
          <w:szCs w:val="19"/>
          <w:color w:val="auto"/>
        </w:rPr>
        <w:t>”). The holders of record of the shares of Preferred Stock and Common Stock, exclusively and as a single class, shall be entitled to elect one director of the Corporation (the “</w:t>
      </w:r>
      <w:r>
        <w:rPr>
          <w:rFonts w:ascii="Arial" w:cs="Arial" w:eastAsia="Arial" w:hAnsi="Arial"/>
          <w:sz w:val="19"/>
          <w:szCs w:val="19"/>
          <w:b w:val="1"/>
          <w:bCs w:val="1"/>
          <w:color w:val="auto"/>
        </w:rPr>
        <w:t>Mutual Director</w:t>
      </w:r>
      <w:r>
        <w:rPr>
          <w:rFonts w:ascii="Arial" w:cs="Arial" w:eastAsia="Arial" w:hAnsi="Arial"/>
          <w:sz w:val="19"/>
          <w:szCs w:val="19"/>
          <w:color w:val="auto"/>
        </w:rPr>
        <w:t xml:space="preserve">”). The holders of record of the shares of Common Stock, exclusively and as a separate class, shall be entitled to elect three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9"/>
          <w:szCs w:val="19"/>
          <w:u w:val="single" w:color="auto"/>
          <w:color w:val="auto"/>
        </w:rPr>
        <w:t>Subsection 3.2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04" w:lineRule="exact"/>
        <w:rPr>
          <w:sz w:val="20"/>
          <w:szCs w:val="20"/>
          <w:color w:val="auto"/>
        </w:rPr>
      </w:pPr>
    </w:p>
    <w:p>
      <w:pPr>
        <w:ind w:right="60" w:firstLine="1944"/>
        <w:spacing w:after="0" w:line="261"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Preferred Stock Protective Provisions</w:t>
      </w:r>
      <w:r>
        <w:rPr>
          <w:rFonts w:ascii="Arial" w:cs="Arial" w:eastAsia="Arial" w:hAnsi="Arial"/>
          <w:sz w:val="21"/>
          <w:szCs w:val="21"/>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and of no force or effect.</w:t>
      </w:r>
    </w:p>
    <w:p>
      <w:pPr>
        <w:spacing w:after="0" w:line="125" w:lineRule="exact"/>
        <w:rPr>
          <w:sz w:val="20"/>
          <w:szCs w:val="20"/>
          <w:color w:val="auto"/>
        </w:rPr>
      </w:pPr>
    </w:p>
    <w:p>
      <w:pPr>
        <w:ind w:right="40" w:firstLine="2592"/>
        <w:spacing w:after="0" w:line="263" w:lineRule="auto"/>
        <w:rPr>
          <w:sz w:val="20"/>
          <w:szCs w:val="20"/>
          <w:color w:val="auto"/>
        </w:rPr>
      </w:pPr>
      <w:r>
        <w:rPr>
          <w:rFonts w:ascii="Arial" w:cs="Arial" w:eastAsia="Arial" w:hAnsi="Arial"/>
          <w:sz w:val="22"/>
          <w:szCs w:val="22"/>
          <w:color w:val="auto"/>
        </w:rPr>
        <w:t>3.3.1 liquidate, dissolve or wind-up the business and affairs of the Corporation, effect any merger or consolidation or any other Deemed Liquidation Event, or consent to any of the foregoing;</w:t>
      </w:r>
    </w:p>
    <w:p>
      <w:pPr>
        <w:spacing w:after="0" w:line="121" w:lineRule="exact"/>
        <w:rPr>
          <w:sz w:val="20"/>
          <w:szCs w:val="20"/>
          <w:color w:val="auto"/>
        </w:rPr>
      </w:pPr>
    </w:p>
    <w:p>
      <w:pPr>
        <w:ind w:right="80" w:firstLine="2592"/>
        <w:spacing w:after="0" w:line="287" w:lineRule="auto"/>
        <w:rPr>
          <w:sz w:val="20"/>
          <w:szCs w:val="20"/>
          <w:color w:val="auto"/>
        </w:rPr>
      </w:pPr>
      <w:r>
        <w:rPr>
          <w:rFonts w:ascii="Arial" w:cs="Arial" w:eastAsia="Arial" w:hAnsi="Arial"/>
          <w:sz w:val="21"/>
          <w:szCs w:val="21"/>
          <w:color w:val="auto"/>
        </w:rPr>
        <w:t>3.3.2 amend, alter, repeal or waive any provision of the Certificate of Incorporation or Bylaws of the Corporation in a manner that adversely affects the powers, preferences or rights of the Preferred Stock;</w:t>
      </w:r>
    </w:p>
    <w:p>
      <w:pPr>
        <w:spacing w:after="0" w:line="97" w:lineRule="exact"/>
        <w:rPr>
          <w:sz w:val="20"/>
          <w:szCs w:val="20"/>
          <w:color w:val="auto"/>
        </w:rPr>
      </w:pPr>
    </w:p>
    <w:p>
      <w:pPr>
        <w:jc w:val="both"/>
        <w:ind w:right="120" w:firstLine="2592"/>
        <w:spacing w:after="0" w:line="253" w:lineRule="auto"/>
        <w:rPr>
          <w:sz w:val="20"/>
          <w:szCs w:val="20"/>
          <w:color w:val="auto"/>
        </w:rPr>
      </w:pPr>
      <w:r>
        <w:rPr>
          <w:rFonts w:ascii="Arial" w:cs="Arial" w:eastAsia="Arial" w:hAnsi="Arial"/>
          <w:sz w:val="22"/>
          <w:szCs w:val="22"/>
          <w:color w:val="auto"/>
        </w:rPr>
        <w:t>3.3.3 create, or authorize the creation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31" w:lineRule="exact"/>
        <w:rPr>
          <w:sz w:val="20"/>
          <w:szCs w:val="20"/>
          <w:color w:val="auto"/>
        </w:rPr>
      </w:pPr>
    </w:p>
    <w:p>
      <w:pPr>
        <w:ind w:right="20" w:firstLine="2592"/>
        <w:spacing w:after="0" w:line="246" w:lineRule="auto"/>
        <w:rPr>
          <w:sz w:val="20"/>
          <w:szCs w:val="20"/>
          <w:color w:val="auto"/>
        </w:rPr>
      </w:pPr>
      <w:r>
        <w:rPr>
          <w:rFonts w:ascii="Arial" w:cs="Arial" w:eastAsia="Arial" w:hAnsi="Arial"/>
          <w:sz w:val="22"/>
          <w:szCs w:val="22"/>
          <w:color w:val="auto"/>
        </w:rPr>
        <w:t>3.3.4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40" w:lineRule="exact"/>
        <w:rPr>
          <w:sz w:val="20"/>
          <w:szCs w:val="20"/>
          <w:color w:val="auto"/>
        </w:rPr>
      </w:pPr>
    </w:p>
    <w:p>
      <w:pPr>
        <w:ind w:firstLine="2592"/>
        <w:spacing w:after="0" w:line="290" w:lineRule="auto"/>
        <w:rPr>
          <w:sz w:val="20"/>
          <w:szCs w:val="20"/>
          <w:color w:val="auto"/>
        </w:rPr>
      </w:pPr>
      <w:r>
        <w:rPr>
          <w:rFonts w:ascii="Arial" w:cs="Arial" w:eastAsia="Arial" w:hAnsi="Arial"/>
          <w:sz w:val="19"/>
          <w:szCs w:val="19"/>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current or former employees, officers, directors, consultants or other persons who perform or performed services for the Corporation or any subsidiary pursuant to agreements approved by the Board of Directors pursuant to which the Corporation has the option to repurchase shares of stock upon the occurrence of specified events, including but not limited to the cessation of such employment or service, at the lower of the original purchase price or the then-current fair market value thereof;</w:t>
      </w:r>
    </w:p>
    <w:p>
      <w:pPr>
        <w:spacing w:after="0" w:line="102" w:lineRule="exact"/>
        <w:rPr>
          <w:sz w:val="20"/>
          <w:szCs w:val="20"/>
          <w:color w:val="auto"/>
        </w:rPr>
      </w:pPr>
    </w:p>
    <w:p>
      <w:pPr>
        <w:ind w:right="20" w:firstLine="2592"/>
        <w:spacing w:after="0" w:line="263" w:lineRule="auto"/>
        <w:rPr>
          <w:sz w:val="20"/>
          <w:szCs w:val="20"/>
          <w:color w:val="auto"/>
        </w:rPr>
      </w:pPr>
      <w:r>
        <w:rPr>
          <w:rFonts w:ascii="Arial" w:cs="Arial" w:eastAsia="Arial" w:hAnsi="Arial"/>
          <w:sz w:val="22"/>
          <w:szCs w:val="22"/>
          <w:color w:val="auto"/>
        </w:rPr>
        <w:t>3.3.6 permit any direct or indirect subsidiary to issue shares of its capital stock, or sell, transfer or otherwise dispose of any capital stock of any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204"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subsidiary of the Corporation, or permit any direct or indirect subsidiary to sell, lease, transfer, exclusively license (in all fields or substantially all fields such that the Corporation is unable to continue operations in its ordinary course of business) or otherwise dispose (in a single transaction or series of related transactions) of all or substantially all of the assets of such subsidiary;</w:t>
      </w:r>
    </w:p>
    <w:p>
      <w:pPr>
        <w:spacing w:after="0" w:line="79"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color w:val="auto"/>
        </w:rPr>
        <w:t>increase or decrease the authorized number of directors constituting the Board of Directors;</w:t>
      </w:r>
    </w:p>
    <w:p>
      <w:pPr>
        <w:spacing w:after="0" w:line="166"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3.3.8</w:t>
      </w:r>
      <w:r>
        <w:rPr>
          <w:sz w:val="20"/>
          <w:szCs w:val="20"/>
          <w:color w:val="auto"/>
        </w:rPr>
        <w:tab/>
      </w:r>
      <w:r>
        <w:rPr>
          <w:rFonts w:ascii="Arial" w:cs="Arial" w:eastAsia="Arial" w:hAnsi="Arial"/>
          <w:sz w:val="19"/>
          <w:szCs w:val="19"/>
          <w:color w:val="auto"/>
        </w:rPr>
        <w:t>increase or decrease the authorized number of shares of Common Stock or Preferred Stock;</w:t>
      </w:r>
    </w:p>
    <w:p>
      <w:pPr>
        <w:spacing w:after="0" w:line="166" w:lineRule="exact"/>
        <w:rPr>
          <w:sz w:val="20"/>
          <w:szCs w:val="20"/>
          <w:color w:val="auto"/>
        </w:rPr>
      </w:pPr>
    </w:p>
    <w:p>
      <w:pPr>
        <w:ind w:firstLine="2592"/>
        <w:spacing w:after="0" w:line="292" w:lineRule="auto"/>
        <w:rPr>
          <w:sz w:val="20"/>
          <w:szCs w:val="20"/>
          <w:color w:val="auto"/>
        </w:rPr>
      </w:pPr>
      <w:r>
        <w:rPr>
          <w:rFonts w:ascii="Arial" w:cs="Arial" w:eastAsia="Arial" w:hAnsi="Arial"/>
          <w:sz w:val="19"/>
          <w:szCs w:val="19"/>
          <w:color w:val="auto"/>
        </w:rPr>
        <w:t>3.3.9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$10,000,000 other than equipment leases or trade payables incurred in the ordinary course;</w:t>
      </w:r>
    </w:p>
    <w:p>
      <w:pPr>
        <w:spacing w:after="0" w:line="97" w:lineRule="exact"/>
        <w:rPr>
          <w:sz w:val="20"/>
          <w:szCs w:val="20"/>
          <w:color w:val="auto"/>
        </w:rPr>
      </w:pPr>
    </w:p>
    <w:p>
      <w:pPr>
        <w:ind w:right="20" w:firstLine="2592"/>
        <w:spacing w:after="0" w:line="248" w:lineRule="auto"/>
        <w:rPr>
          <w:sz w:val="20"/>
          <w:szCs w:val="20"/>
          <w:color w:val="auto"/>
        </w:rPr>
      </w:pPr>
      <w:r>
        <w:rPr>
          <w:rFonts w:ascii="Arial" w:cs="Arial" w:eastAsia="Arial" w:hAnsi="Arial"/>
          <w:sz w:val="22"/>
          <w:szCs w:val="22"/>
          <w:color w:val="auto"/>
        </w:rPr>
        <w:t>3.3.10 authorize or enter into any transaction between the Corporation and any related party, other than routine compensation of the Corporation’s employees or other service providers that has received the prior approval of the Board of Directors, where routine compensation for purposes hereof shall mean a change in salary, bonus or employment benefits of less than or equal to 10% that is made as part of a general review as compared to former salary, bonus or employment benefits; or</w:t>
      </w:r>
    </w:p>
    <w:p>
      <w:pPr>
        <w:spacing w:after="0" w:line="138" w:lineRule="exact"/>
        <w:rPr>
          <w:sz w:val="20"/>
          <w:szCs w:val="20"/>
          <w:color w:val="auto"/>
        </w:rPr>
      </w:pPr>
    </w:p>
    <w:p>
      <w:pPr>
        <w:ind w:firstLine="2592"/>
        <w:spacing w:after="0" w:line="250" w:lineRule="auto"/>
        <w:rPr>
          <w:sz w:val="20"/>
          <w:szCs w:val="20"/>
          <w:color w:val="auto"/>
        </w:rPr>
      </w:pPr>
      <w:r>
        <w:rPr>
          <w:rFonts w:ascii="Arial" w:cs="Arial" w:eastAsia="Arial" w:hAnsi="Arial"/>
          <w:sz w:val="22"/>
          <w:szCs w:val="22"/>
          <w:color w:val="auto"/>
        </w:rPr>
        <w:t>3.3.11 create any new stock or option plan or increase the number of shares authorized for issuance under any existing stock or option plan in excess of an annual increase in the number of authorized shares of up to 3% of the fully diluted capitalization of the Corporation that is approved by the Board of Directors and is measured as of the date of such approval.</w:t>
      </w:r>
    </w:p>
    <w:p>
      <w:pPr>
        <w:spacing w:after="0" w:line="134" w:lineRule="exact"/>
        <w:rPr>
          <w:sz w:val="20"/>
          <w:szCs w:val="20"/>
          <w:color w:val="auto"/>
        </w:rPr>
      </w:pPr>
    </w:p>
    <w:p>
      <w:pPr>
        <w:ind w:right="40" w:firstLine="1944"/>
        <w:spacing w:after="0" w:line="259"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Series A Preferred Stock Protective Provision</w:t>
      </w:r>
      <w:r>
        <w:rPr>
          <w:rFonts w:ascii="Arial" w:cs="Arial" w:eastAsia="Arial" w:hAnsi="Arial"/>
          <w:sz w:val="21"/>
          <w:szCs w:val="21"/>
          <w:color w:val="auto"/>
        </w:rPr>
        <w:t>. At any time when any shares of Series A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A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A Preferred Stock with respect to rights, preferences, powers, privileges) without (in addition to any other vote required by law or the Certificate of Incorporation) the written consent or affirmative vote of the holders of at least a majority of the then outstanding shares of Series A Preferred Stock, given in writing or by vote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4"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a meeting, consenting or voting (as the case may be) separately as a class, and any such act or transaction entered into without such consent or vote shall be null and void ab initio, and of no force or effect.</w:t>
      </w:r>
    </w:p>
    <w:p>
      <w:pPr>
        <w:spacing w:after="0" w:line="121" w:lineRule="exact"/>
        <w:rPr>
          <w:sz w:val="20"/>
          <w:szCs w:val="20"/>
          <w:color w:val="auto"/>
        </w:rPr>
      </w:pPr>
    </w:p>
    <w:p>
      <w:pPr>
        <w:ind w:right="20" w:firstLine="1944"/>
        <w:spacing w:after="0" w:line="288"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Series B Preferred Stock Protective Provision</w:t>
      </w:r>
      <w:r>
        <w:rPr>
          <w:rFonts w:ascii="Arial" w:cs="Arial" w:eastAsia="Arial" w:hAnsi="Arial"/>
          <w:sz w:val="19"/>
          <w:szCs w:val="19"/>
          <w:color w:val="auto"/>
        </w:rPr>
        <w:t>. At any time when any shares of Series B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B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B Preferred Stock with respect to rights, preferences, powers, privileges) without (in addition to any other vote required by law or the Certificate of Incorporation) the written consent or affirmative vote of the holders of at least a majority of the then outstanding shares of Series B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5" w:lineRule="exact"/>
        <w:rPr>
          <w:sz w:val="20"/>
          <w:szCs w:val="20"/>
          <w:color w:val="auto"/>
        </w:rPr>
      </w:pPr>
    </w:p>
    <w:p>
      <w:pPr>
        <w:ind w:right="20" w:firstLine="1944"/>
        <w:spacing w:after="0" w:line="288"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Series C Preferred Stock Protective Provision</w:t>
      </w:r>
      <w:r>
        <w:rPr>
          <w:rFonts w:ascii="Arial" w:cs="Arial" w:eastAsia="Arial" w:hAnsi="Arial"/>
          <w:sz w:val="19"/>
          <w:szCs w:val="19"/>
          <w:color w:val="auto"/>
        </w:rPr>
        <w:t>. At any time when any shares of Series C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C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C Preferred Stock with respect to rights, preferences, powers, privileges) without (in addition to any other vote required by law or the Certificate of Incorporation) the written consent or affirmative vote of the holders of at least a majority of the then outstanding shares of Series C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5" w:lineRule="exact"/>
        <w:rPr>
          <w:sz w:val="20"/>
          <w:szCs w:val="20"/>
          <w:color w:val="auto"/>
        </w:rPr>
      </w:pPr>
    </w:p>
    <w:p>
      <w:pPr>
        <w:ind w:firstLine="1944"/>
        <w:spacing w:after="0" w:line="28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Series D Preferred Stock Protective Provision</w:t>
      </w:r>
      <w:r>
        <w:rPr>
          <w:rFonts w:ascii="Arial" w:cs="Arial" w:eastAsia="Arial" w:hAnsi="Arial"/>
          <w:sz w:val="19"/>
          <w:szCs w:val="19"/>
          <w:color w:val="auto"/>
        </w:rPr>
        <w:t>. At any time when any shares of Series D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 Preferred Stock, given in writing or by vote at a meeting, consenting or voting (as the case may be) separately as a class, and any such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20" w:top="1440" w:right="379" w:bottom="1440" w:gutter="0" w:footer="0" w:header="0"/>
        </w:sectPr>
      </w:pPr>
    </w:p>
    <w:bookmarkStart w:id="220" w:name="page221"/>
    <w:bookmarkEnd w:id="220"/>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transaction entered into without such consent or vote shall be null and void ab initio, and of no force or effect.</w:t>
      </w:r>
    </w:p>
    <w:p>
      <w:pPr>
        <w:spacing w:after="0" w:line="166" w:lineRule="exact"/>
        <w:rPr>
          <w:sz w:val="20"/>
          <w:szCs w:val="20"/>
          <w:color w:val="auto"/>
        </w:rPr>
      </w:pPr>
    </w:p>
    <w:p>
      <w:pPr>
        <w:ind w:right="60" w:firstLine="1944"/>
        <w:spacing w:after="0" w:line="288"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Series D-1 Preferred Stock Protective Provision</w:t>
      </w:r>
      <w:r>
        <w:rPr>
          <w:rFonts w:ascii="Arial" w:cs="Arial" w:eastAsia="Arial" w:hAnsi="Arial"/>
          <w:sz w:val="19"/>
          <w:szCs w:val="19"/>
          <w:color w:val="auto"/>
        </w:rPr>
        <w:t>. At any time when any shares of Series D-1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D-1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D-1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D-1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5" w:lineRule="exact"/>
        <w:rPr>
          <w:sz w:val="20"/>
          <w:szCs w:val="20"/>
          <w:color w:val="auto"/>
        </w:rPr>
      </w:pPr>
    </w:p>
    <w:p>
      <w:pPr>
        <w:ind w:left="1960" w:hanging="656"/>
        <w:spacing w:after="0"/>
        <w:tabs>
          <w:tab w:leader="none" w:pos="196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Optional Conversion</w:t>
      </w:r>
      <w:r>
        <w:rPr>
          <w:rFonts w:ascii="Arial" w:cs="Arial" w:eastAsia="Arial" w:hAnsi="Arial"/>
          <w:sz w:val="22"/>
          <w:szCs w:val="22"/>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holders of the Preferred Stock shall have conversion rights as follows (the “</w:t>
      </w:r>
      <w:r>
        <w:rPr>
          <w:rFonts w:ascii="Arial" w:cs="Arial" w:eastAsia="Arial" w:hAnsi="Arial"/>
          <w:sz w:val="22"/>
          <w:szCs w:val="22"/>
          <w:b w:val="1"/>
          <w:bCs w:val="1"/>
          <w:color w:val="auto"/>
        </w:rPr>
        <w:t>Conversion Rights</w:t>
      </w:r>
      <w:r>
        <w:rPr>
          <w:rFonts w:ascii="Arial" w:cs="Arial" w:eastAsia="Arial" w:hAnsi="Arial"/>
          <w:sz w:val="22"/>
          <w:szCs w:val="22"/>
          <w:color w:val="auto"/>
        </w:rPr>
        <w:t>”):</w:t>
      </w:r>
    </w:p>
    <w:p>
      <w:pPr>
        <w:spacing w:after="0" w:line="17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Right to Convert</w:t>
      </w:r>
      <w:r>
        <w:rPr>
          <w:rFonts w:ascii="Arial" w:cs="Arial" w:eastAsia="Arial" w:hAnsi="Arial"/>
          <w:sz w:val="19"/>
          <w:szCs w:val="19"/>
          <w:color w:val="auto"/>
        </w:rPr>
        <w:t>.</w:t>
      </w:r>
    </w:p>
    <w:p>
      <w:pPr>
        <w:spacing w:after="0" w:line="166" w:lineRule="exact"/>
        <w:rPr>
          <w:sz w:val="20"/>
          <w:szCs w:val="20"/>
          <w:color w:val="auto"/>
        </w:rPr>
      </w:pPr>
    </w:p>
    <w:p>
      <w:pPr>
        <w:ind w:firstLine="2592"/>
        <w:spacing w:after="0" w:line="285"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Conversion Ratio</w:t>
      </w:r>
      <w:r>
        <w:rPr>
          <w:rFonts w:ascii="Arial" w:cs="Arial" w:eastAsia="Arial" w:hAnsi="Arial"/>
          <w:sz w:val="19"/>
          <w:szCs w:val="19"/>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(i) in the case of the Series A Preferred Stock by dividing the Series A Original Issue Price by the Series A Conversion Price (as defined below) in effect at the time of conversion (the “</w:t>
      </w:r>
      <w:r>
        <w:rPr>
          <w:rFonts w:ascii="Arial" w:cs="Arial" w:eastAsia="Arial" w:hAnsi="Arial"/>
          <w:sz w:val="19"/>
          <w:szCs w:val="19"/>
          <w:b w:val="1"/>
          <w:bCs w:val="1"/>
          <w:color w:val="auto"/>
        </w:rPr>
        <w:t>Series A Conversion Rate</w:t>
      </w:r>
      <w:r>
        <w:rPr>
          <w:rFonts w:ascii="Arial" w:cs="Arial" w:eastAsia="Arial" w:hAnsi="Arial"/>
          <w:sz w:val="19"/>
          <w:szCs w:val="19"/>
          <w:color w:val="auto"/>
        </w:rPr>
        <w:t>”), (ii) in the case of the Series B Preferred Stock by dividing the Series B Original Issue Price by the Series B Conversion Price (as defined below) in effect at the time of conversion (the “</w:t>
      </w:r>
      <w:r>
        <w:rPr>
          <w:rFonts w:ascii="Arial" w:cs="Arial" w:eastAsia="Arial" w:hAnsi="Arial"/>
          <w:sz w:val="19"/>
          <w:szCs w:val="19"/>
          <w:b w:val="1"/>
          <w:bCs w:val="1"/>
          <w:color w:val="auto"/>
        </w:rPr>
        <w:t>Series B</w:t>
      </w:r>
      <w:r>
        <w:rPr>
          <w:rFonts w:ascii="Arial" w:cs="Arial" w:eastAsia="Arial" w:hAnsi="Arial"/>
          <w:sz w:val="19"/>
          <w:szCs w:val="19"/>
          <w:color w:val="auto"/>
        </w:rPr>
        <w:t xml:space="preserve"> </w:t>
      </w:r>
      <w:r>
        <w:rPr>
          <w:rFonts w:ascii="Arial" w:cs="Arial" w:eastAsia="Arial" w:hAnsi="Arial"/>
          <w:sz w:val="19"/>
          <w:szCs w:val="19"/>
          <w:b w:val="1"/>
          <w:bCs w:val="1"/>
          <w:color w:val="auto"/>
        </w:rPr>
        <w:t>Conversion Rate</w:t>
      </w:r>
      <w:r>
        <w:rPr>
          <w:rFonts w:ascii="Arial" w:cs="Arial" w:eastAsia="Arial" w:hAnsi="Arial"/>
          <w:sz w:val="19"/>
          <w:szCs w:val="19"/>
          <w:color w:val="auto"/>
        </w:rPr>
        <w:t>”), (iii) in the case of the Series C Preferred Stock by dividing the Series C Original Issue Price by the Series C</w:t>
      </w:r>
      <w:r>
        <w:rPr>
          <w:rFonts w:ascii="Arial" w:cs="Arial" w:eastAsia="Arial" w:hAnsi="Arial"/>
          <w:sz w:val="19"/>
          <w:szCs w:val="19"/>
          <w:b w:val="1"/>
          <w:bCs w:val="1"/>
          <w:color w:val="auto"/>
        </w:rPr>
        <w:t xml:space="preserve"> </w:t>
      </w:r>
      <w:r>
        <w:rPr>
          <w:rFonts w:ascii="Arial" w:cs="Arial" w:eastAsia="Arial" w:hAnsi="Arial"/>
          <w:sz w:val="19"/>
          <w:szCs w:val="19"/>
          <w:color w:val="auto"/>
        </w:rPr>
        <w:t>Conversion Price (as defined below) in effect at the time of conversion (the “</w:t>
      </w:r>
      <w:r>
        <w:rPr>
          <w:rFonts w:ascii="Arial" w:cs="Arial" w:eastAsia="Arial" w:hAnsi="Arial"/>
          <w:sz w:val="19"/>
          <w:szCs w:val="19"/>
          <w:b w:val="1"/>
          <w:bCs w:val="1"/>
          <w:color w:val="auto"/>
        </w:rPr>
        <w:t>Series C Conversion Rate</w:t>
      </w:r>
      <w:r>
        <w:rPr>
          <w:rFonts w:ascii="Arial" w:cs="Arial" w:eastAsia="Arial" w:hAnsi="Arial"/>
          <w:sz w:val="19"/>
          <w:szCs w:val="19"/>
          <w:color w:val="auto"/>
        </w:rPr>
        <w:t>”), (iv) in the case of the Series D Preferred Stock by dividing the Series D Original Issue Price by the Series D Conversion Price (as defined below) in effect at the time of conversion (the “</w:t>
      </w:r>
      <w:r>
        <w:rPr>
          <w:rFonts w:ascii="Arial" w:cs="Arial" w:eastAsia="Arial" w:hAnsi="Arial"/>
          <w:sz w:val="19"/>
          <w:szCs w:val="19"/>
          <w:b w:val="1"/>
          <w:bCs w:val="1"/>
          <w:color w:val="auto"/>
        </w:rPr>
        <w:t>Series D Conversion Rate</w:t>
      </w:r>
      <w:r>
        <w:rPr>
          <w:rFonts w:ascii="Arial" w:cs="Arial" w:eastAsia="Arial" w:hAnsi="Arial"/>
          <w:sz w:val="19"/>
          <w:szCs w:val="19"/>
          <w:color w:val="auto"/>
        </w:rPr>
        <w:t>”) or (v) in the case of the Series D-1 Preferred Stock by dividing the Series D-1 Original Issue Price by the Series D-1 Conversion Price (as defined below) in effect at the time of conversion (the “</w:t>
      </w:r>
      <w:r>
        <w:rPr>
          <w:rFonts w:ascii="Arial" w:cs="Arial" w:eastAsia="Arial" w:hAnsi="Arial"/>
          <w:sz w:val="19"/>
          <w:szCs w:val="19"/>
          <w:b w:val="1"/>
          <w:bCs w:val="1"/>
          <w:color w:val="auto"/>
        </w:rPr>
        <w:t>Series D-1 Conversion Rate</w:t>
      </w:r>
      <w:r>
        <w:rPr>
          <w:rFonts w:ascii="Arial" w:cs="Arial" w:eastAsia="Arial" w:hAnsi="Arial"/>
          <w:sz w:val="19"/>
          <w:szCs w:val="19"/>
          <w:color w:val="auto"/>
        </w:rPr>
        <w:t>”). The “</w:t>
      </w:r>
      <w:r>
        <w:rPr>
          <w:rFonts w:ascii="Arial" w:cs="Arial" w:eastAsia="Arial" w:hAnsi="Arial"/>
          <w:sz w:val="19"/>
          <w:szCs w:val="19"/>
          <w:b w:val="1"/>
          <w:bCs w:val="1"/>
          <w:color w:val="auto"/>
        </w:rPr>
        <w:t>Series A Conversion Price</w:t>
      </w:r>
      <w:r>
        <w:rPr>
          <w:rFonts w:ascii="Arial" w:cs="Arial" w:eastAsia="Arial" w:hAnsi="Arial"/>
          <w:sz w:val="19"/>
          <w:szCs w:val="19"/>
          <w:color w:val="auto"/>
        </w:rPr>
        <w:t>” shall initially be equal to $0.9081. Such initial Series A Conversion Price and the Series A Conversion Rate shall be subject to adjustment as provided below. The “</w:t>
      </w:r>
      <w:r>
        <w:rPr>
          <w:rFonts w:ascii="Arial" w:cs="Arial" w:eastAsia="Arial" w:hAnsi="Arial"/>
          <w:sz w:val="19"/>
          <w:szCs w:val="19"/>
          <w:b w:val="1"/>
          <w:bCs w:val="1"/>
          <w:color w:val="auto"/>
        </w:rPr>
        <w:t>Series B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Price</w:t>
      </w:r>
      <w:r>
        <w:rPr>
          <w:rFonts w:ascii="Arial" w:cs="Arial" w:eastAsia="Arial" w:hAnsi="Arial"/>
          <w:sz w:val="19"/>
          <w:szCs w:val="19"/>
          <w:color w:val="auto"/>
        </w:rPr>
        <w:t>” shall initially be equal to $1.7730. Such initial Series B Conversion Price and the Series B Conversion Rate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adjustment as provided below. The “</w:t>
      </w:r>
      <w:r>
        <w:rPr>
          <w:rFonts w:ascii="Arial" w:cs="Arial" w:eastAsia="Arial" w:hAnsi="Arial"/>
          <w:sz w:val="19"/>
          <w:szCs w:val="19"/>
          <w:b w:val="1"/>
          <w:bCs w:val="1"/>
          <w:color w:val="auto"/>
        </w:rPr>
        <w:t>Series C Conversion Price</w:t>
      </w:r>
      <w:r>
        <w:rPr>
          <w:rFonts w:ascii="Arial" w:cs="Arial" w:eastAsia="Arial" w:hAnsi="Arial"/>
          <w:sz w:val="19"/>
          <w:szCs w:val="19"/>
          <w:color w:val="auto"/>
        </w:rPr>
        <w:t>” shall initially be equal to $2.50. Such initial Series C Conversion Price and the Series C Conversion Rate shall be subject to adjustment as provided below. The “</w:t>
      </w:r>
      <w:r>
        <w:rPr>
          <w:rFonts w:ascii="Arial" w:cs="Arial" w:eastAsia="Arial" w:hAnsi="Arial"/>
          <w:sz w:val="19"/>
          <w:szCs w:val="19"/>
          <w:b w:val="1"/>
          <w:bCs w:val="1"/>
          <w:color w:val="auto"/>
        </w:rPr>
        <w:t>Series D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Price</w:t>
      </w:r>
      <w:r>
        <w:rPr>
          <w:rFonts w:ascii="Arial" w:cs="Arial" w:eastAsia="Arial" w:hAnsi="Arial"/>
          <w:sz w:val="19"/>
          <w:szCs w:val="19"/>
          <w:color w:val="auto"/>
        </w:rPr>
        <w:t>” shall initially be equal to $3.25.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initial Series D Conversion Price and the Series D Conversion Rate shall be subject to adjustment as provided below. The</w:t>
      </w:r>
    </w:p>
    <w:p>
      <w:pPr>
        <w:spacing w:after="0" w:line="56"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D-1 Conversion Price</w:t>
      </w:r>
      <w:r>
        <w:rPr>
          <w:rFonts w:ascii="Arial" w:cs="Arial" w:eastAsia="Arial" w:hAnsi="Arial"/>
          <w:sz w:val="22"/>
          <w:szCs w:val="22"/>
          <w:color w:val="auto"/>
        </w:rPr>
        <w:t>” shall initially be equal to $3.75. Such initial Series D-1 Conversion Price and the Series D-1 Conversion Rate shall be subject to adjustment as provided below.</w:t>
      </w:r>
    </w:p>
    <w:p>
      <w:pPr>
        <w:spacing w:after="0" w:line="138" w:lineRule="exact"/>
        <w:rPr>
          <w:sz w:val="20"/>
          <w:szCs w:val="20"/>
          <w:color w:val="auto"/>
        </w:rPr>
      </w:pPr>
    </w:p>
    <w:p>
      <w:pPr>
        <w:jc w:val="both"/>
        <w:ind w:right="60" w:firstLine="2592"/>
        <w:spacing w:after="0" w:line="312"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Termination of Conversion Rights</w:t>
      </w:r>
      <w:r>
        <w:rPr>
          <w:rFonts w:ascii="Arial" w:cs="Arial" w:eastAsia="Arial" w:hAnsi="Arial"/>
          <w:sz w:val="19"/>
          <w:szCs w:val="19"/>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79" w:lineRule="exact"/>
        <w:rPr>
          <w:sz w:val="20"/>
          <w:szCs w:val="20"/>
          <w:color w:val="auto"/>
        </w:rPr>
      </w:pPr>
    </w:p>
    <w:p>
      <w:pPr>
        <w:ind w:right="40" w:firstLine="1944"/>
        <w:spacing w:after="0" w:line="29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Fractional Shares</w:t>
      </w:r>
      <w:r>
        <w:rPr>
          <w:rFonts w:ascii="Arial" w:cs="Arial" w:eastAsia="Arial" w:hAnsi="Arial"/>
          <w:sz w:val="19"/>
          <w:szCs w:val="19"/>
          <w:color w:val="auto"/>
        </w:rPr>
        <w:t>. No fractional shares of Class A Common Stock shall be issued upon conversion of the Preferred Stock. In lieu of any fractional shares to which the holder would otherwise be entitled, the Corporation shall pay cash equal to such fraction multiplied by the fair market value of a share of Class A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Class A Common Stock and the aggregate number of shares of Class A Common Stock issuable upon such conversion.</w:t>
      </w:r>
    </w:p>
    <w:p>
      <w:pPr>
        <w:spacing w:after="0" w:line="9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Mechanics of Conversion</w:t>
      </w:r>
      <w:r>
        <w:rPr>
          <w:rFonts w:ascii="Arial" w:cs="Arial" w:eastAsia="Arial" w:hAnsi="Arial"/>
          <w:sz w:val="19"/>
          <w:szCs w:val="19"/>
          <w:color w:val="auto"/>
        </w:rPr>
        <w:t>.</w:t>
      </w:r>
    </w:p>
    <w:p>
      <w:pPr>
        <w:spacing w:after="0" w:line="166" w:lineRule="exact"/>
        <w:rPr>
          <w:sz w:val="20"/>
          <w:szCs w:val="20"/>
          <w:color w:val="auto"/>
        </w:rPr>
      </w:pPr>
    </w:p>
    <w:p>
      <w:pPr>
        <w:ind w:firstLine="2592"/>
        <w:spacing w:after="0" w:line="282"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Notice of Conversion</w:t>
      </w:r>
      <w:r>
        <w:rPr>
          <w:rFonts w:ascii="Arial" w:cs="Arial" w:eastAsia="Arial" w:hAnsi="Arial"/>
          <w:sz w:val="19"/>
          <w:szCs w:val="19"/>
          <w:color w:val="auto"/>
        </w:rPr>
        <w:t>. In order for a holder of Preferred Stock to voluntarily convert shares of Preferred Stock into shares of Class A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Class A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9"/>
          <w:szCs w:val="19"/>
          <w:b w:val="1"/>
          <w:bCs w:val="1"/>
          <w:color w:val="auto"/>
        </w:rPr>
        <w:t>Conversion Time</w:t>
      </w:r>
      <w:r>
        <w:rPr>
          <w:rFonts w:ascii="Arial" w:cs="Arial" w:eastAsia="Arial" w:hAnsi="Arial"/>
          <w:sz w:val="19"/>
          <w:szCs w:val="19"/>
          <w:color w:val="auto"/>
        </w:rPr>
        <w:t>”), and the shares of Common Stock issuable upon conversion of the specified shares shall be deemed to be outstanding of record as of such date. The Corporation shall, as soon as practicable after the Conversion Time</w:t>
      </w:r>
    </w:p>
    <w:p>
      <w:pPr>
        <w:spacing w:after="0" w:line="14" w:lineRule="exact"/>
        <w:rPr>
          <w:sz w:val="20"/>
          <w:szCs w:val="20"/>
          <w:color w:val="auto"/>
        </w:rPr>
      </w:pPr>
    </w:p>
    <w:p>
      <w:pPr>
        <w:ind w:left="260" w:hanging="252"/>
        <w:spacing w:after="0"/>
        <w:tabs>
          <w:tab w:leader="none" w:pos="26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issue and deliver to such holder of Preferred Stock, or to his, her or its nominees, a certificate or certificates for the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8" w:lineRule="exact"/>
        <w:rPr>
          <w:rFonts w:ascii="Arial" w:cs="Arial" w:eastAsia="Arial" w:hAnsi="Arial"/>
          <w:sz w:val="21"/>
          <w:szCs w:val="21"/>
          <w:color w:val="auto"/>
        </w:rPr>
      </w:pPr>
    </w:p>
    <w:p>
      <w:pPr>
        <w:ind w:left="5520" w:hanging="130"/>
        <w:spacing w:after="0"/>
        <w:tabs>
          <w:tab w:leader="none" w:pos="552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160"/>
          </w:cols>
          <w:pgMar w:left="320" w:top="1440" w:right="419" w:bottom="1440" w:gutter="0" w:footer="0" w:header="0"/>
        </w:sectPr>
      </w:pPr>
    </w:p>
    <w:bookmarkStart w:id="222" w:name="page223"/>
    <w:bookmarkEnd w:id="222"/>
    <w:p>
      <w:pPr>
        <w:spacing w:after="0" w:line="204"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 xml:space="preserve">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 (ii) pay in cash such amount as provided in </w:t>
      </w:r>
      <w:r>
        <w:rPr>
          <w:rFonts w:ascii="Arial" w:cs="Arial" w:eastAsia="Arial" w:hAnsi="Arial"/>
          <w:sz w:val="22"/>
          <w:szCs w:val="22"/>
          <w:u w:val="single" w:color="auto"/>
          <w:color w:val="auto"/>
        </w:rPr>
        <w:t>Subsection 4.2</w:t>
      </w:r>
      <w:r>
        <w:rPr>
          <w:rFonts w:ascii="Arial" w:cs="Arial" w:eastAsia="Arial" w:hAnsi="Arial"/>
          <w:sz w:val="22"/>
          <w:szCs w:val="22"/>
          <w:color w:val="auto"/>
        </w:rPr>
        <w:t xml:space="preserve"> in lieu of any fraction of a share of Class A Common Stock otherwise issuable upon such conversion and (iii) pay all declared but unpaid dividends on the shares of Preferred Stock converted.</w:t>
      </w:r>
    </w:p>
    <w:p>
      <w:pPr>
        <w:spacing w:after="0" w:line="138" w:lineRule="exact"/>
        <w:rPr>
          <w:sz w:val="20"/>
          <w:szCs w:val="20"/>
          <w:color w:val="auto"/>
        </w:rPr>
      </w:pPr>
    </w:p>
    <w:p>
      <w:pPr>
        <w:ind w:firstLine="2592"/>
        <w:spacing w:after="0" w:line="286" w:lineRule="auto"/>
        <w:rPr>
          <w:sz w:val="20"/>
          <w:szCs w:val="20"/>
          <w:color w:val="auto"/>
        </w:rPr>
      </w:pPr>
      <w:r>
        <w:rPr>
          <w:rFonts w:ascii="Arial" w:cs="Arial" w:eastAsia="Arial" w:hAnsi="Arial"/>
          <w:sz w:val="19"/>
          <w:szCs w:val="19"/>
          <w:color w:val="auto"/>
        </w:rPr>
        <w:t xml:space="preserve">4.3.2 </w:t>
      </w:r>
      <w:r>
        <w:rPr>
          <w:rFonts w:ascii="Arial" w:cs="Arial" w:eastAsia="Arial" w:hAnsi="Arial"/>
          <w:sz w:val="19"/>
          <w:szCs w:val="19"/>
          <w:u w:val="single" w:color="auto"/>
          <w:color w:val="auto"/>
        </w:rPr>
        <w:t>Reservation of Shares</w:t>
      </w:r>
      <w:r>
        <w:rPr>
          <w:rFonts w:ascii="Arial" w:cs="Arial" w:eastAsia="Arial" w:hAnsi="Arial"/>
          <w:sz w:val="19"/>
          <w:szCs w:val="19"/>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Class A Common Stock as shall from time to time be sufficient to effect the conversion of all outstanding Preferred Stock; and if at any time the number of authorized but unissued shares of Class A Common Stock shall not be sufficient to effect the conversion of all then outstanding shares of the Preferred Stock, the Corporation shall 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Series B Conversion Price, Series C Conversion Price, Series D Conversion Price or Series D-1 Conversion Price below the then par value of the shares of Class A Common Stock issuable upon conversion of the Preferred Stock, the Corporation will take any corporate action which may, in the opinion of its counsel, be necessary in order that the Corporation may validly and legally issue fully paid and non-assessable shares of Class A Common Stock at such adjusted Series A Conversion Price, Series B Conversion Price, Series C Conversion Price, Series D Conversion Price or Series D-1 Conversion Price.</w:t>
      </w:r>
    </w:p>
    <w:p>
      <w:pPr>
        <w:spacing w:after="0" w:line="108" w:lineRule="exact"/>
        <w:rPr>
          <w:sz w:val="20"/>
          <w:szCs w:val="20"/>
          <w:color w:val="auto"/>
        </w:rPr>
      </w:pPr>
    </w:p>
    <w:p>
      <w:pPr>
        <w:ind w:right="80" w:firstLine="2592"/>
        <w:spacing w:after="0" w:line="259" w:lineRule="auto"/>
        <w:rPr>
          <w:sz w:val="20"/>
          <w:szCs w:val="20"/>
          <w:color w:val="auto"/>
        </w:rPr>
      </w:pPr>
      <w:r>
        <w:rPr>
          <w:rFonts w:ascii="Arial" w:cs="Arial" w:eastAsia="Arial" w:hAnsi="Arial"/>
          <w:sz w:val="21"/>
          <w:szCs w:val="21"/>
          <w:color w:val="auto"/>
        </w:rPr>
        <w:t xml:space="preserve">4.3.3 </w:t>
      </w:r>
      <w:r>
        <w:rPr>
          <w:rFonts w:ascii="Arial" w:cs="Arial" w:eastAsia="Arial" w:hAnsi="Arial"/>
          <w:sz w:val="21"/>
          <w:szCs w:val="21"/>
          <w:u w:val="single" w:color="auto"/>
          <w:color w:val="auto"/>
        </w:rPr>
        <w:t>Effect of Conversion</w:t>
      </w:r>
      <w:r>
        <w:rPr>
          <w:rFonts w:ascii="Arial" w:cs="Arial" w:eastAsia="Arial" w:hAnsi="Arial"/>
          <w:sz w:val="21"/>
          <w:szCs w:val="21"/>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A Common Stock in exchange therefor, to receive payment in lieu of any fraction of a share otherwise issuable upon such conversion as provided in </w:t>
      </w:r>
      <w:r>
        <w:rPr>
          <w:rFonts w:ascii="Arial" w:cs="Arial" w:eastAsia="Arial" w:hAnsi="Arial"/>
          <w:sz w:val="21"/>
          <w:szCs w:val="21"/>
          <w:u w:val="single" w:color="auto"/>
          <w:color w:val="auto"/>
        </w:rPr>
        <w:t>Subsection 4.2</w:t>
      </w:r>
      <w:r>
        <w:rPr>
          <w:rFonts w:ascii="Arial" w:cs="Arial" w:eastAsia="Arial" w:hAnsi="Arial"/>
          <w:sz w:val="21"/>
          <w:szCs w:val="21"/>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9" w:lineRule="exact"/>
        <w:rPr>
          <w:sz w:val="20"/>
          <w:szCs w:val="20"/>
          <w:color w:val="auto"/>
        </w:rPr>
      </w:pPr>
    </w:p>
    <w:p>
      <w:pPr>
        <w:ind w:right="260" w:firstLine="2592"/>
        <w:spacing w:after="0" w:line="297" w:lineRule="auto"/>
        <w:rPr>
          <w:sz w:val="20"/>
          <w:szCs w:val="20"/>
          <w:color w:val="auto"/>
        </w:rPr>
      </w:pPr>
      <w:r>
        <w:rPr>
          <w:rFonts w:ascii="Arial" w:cs="Arial" w:eastAsia="Arial" w:hAnsi="Arial"/>
          <w:sz w:val="19"/>
          <w:szCs w:val="19"/>
          <w:color w:val="auto"/>
        </w:rPr>
        <w:t xml:space="preserve">4.3.4 </w:t>
      </w:r>
      <w:r>
        <w:rPr>
          <w:rFonts w:ascii="Arial" w:cs="Arial" w:eastAsia="Arial" w:hAnsi="Arial"/>
          <w:sz w:val="19"/>
          <w:szCs w:val="19"/>
          <w:u w:val="single" w:color="auto"/>
          <w:color w:val="auto"/>
        </w:rPr>
        <w:t>No Further Adjustment</w:t>
      </w:r>
      <w:r>
        <w:rPr>
          <w:rFonts w:ascii="Arial" w:cs="Arial" w:eastAsia="Arial" w:hAnsi="Arial"/>
          <w:sz w:val="19"/>
          <w:szCs w:val="19"/>
          <w:color w:val="auto"/>
        </w:rPr>
        <w:t>. Upon any such conversion, no adjustment to the Series A Conversion Price, Series B Conversion Price, Series C Conversion Price, Series D Conversion Price or Series D-1 Conversion Price, as applicable to such series of Preferred Stock, shall be made for any declared but unpaid dividends on the Series A Preferred Stock, Series B Preferred Stock, Series C Preferred Stock, Series D Preferred Stock or Series D-1 Preferred Stock, as applicable, surrendered for conversion or on the Class A Common Stock delivered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4" w:lineRule="exact"/>
        <w:rPr>
          <w:sz w:val="20"/>
          <w:szCs w:val="20"/>
          <w:color w:val="auto"/>
        </w:rPr>
      </w:pPr>
    </w:p>
    <w:p>
      <w:pPr>
        <w:ind w:firstLine="2592"/>
        <w:spacing w:after="0" w:line="260" w:lineRule="auto"/>
        <w:rPr>
          <w:sz w:val="20"/>
          <w:szCs w:val="20"/>
          <w:color w:val="auto"/>
        </w:rPr>
      </w:pPr>
      <w:r>
        <w:rPr>
          <w:rFonts w:ascii="Arial" w:cs="Arial" w:eastAsia="Arial" w:hAnsi="Arial"/>
          <w:sz w:val="21"/>
          <w:szCs w:val="21"/>
          <w:color w:val="auto"/>
        </w:rPr>
        <w:t xml:space="preserve">4.3.5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The Corporation shall pay any and all issue and other similar taxes that may be payable in respect of any issuance or delivery of shares of Class A Common Stock upon conversion of shares of Preferred Stock pursuant to this </w:t>
      </w:r>
      <w:r>
        <w:rPr>
          <w:rFonts w:ascii="Arial" w:cs="Arial" w:eastAsia="Arial" w:hAnsi="Arial"/>
          <w:sz w:val="21"/>
          <w:szCs w:val="21"/>
          <w:u w:val="single" w:color="auto"/>
          <w:color w:val="auto"/>
        </w:rPr>
        <w:t>Section 4</w:t>
      </w:r>
      <w:r>
        <w:rPr>
          <w:rFonts w:ascii="Arial" w:cs="Arial" w:eastAsia="Arial" w:hAnsi="Arial"/>
          <w:sz w:val="21"/>
          <w:szCs w:val="21"/>
          <w:color w:val="auto"/>
        </w:rPr>
        <w:t>. The Corporation shall not, however, be required to pay any tax which may be payable in respect of any transfer involved in the issuance and delivery of shares of Class A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2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Adjustments to Conversion Prices for Diluting Issues</w:t>
      </w:r>
      <w:r>
        <w:rPr>
          <w:rFonts w:ascii="Arial" w:cs="Arial" w:eastAsia="Arial" w:hAnsi="Arial"/>
          <w:sz w:val="19"/>
          <w:szCs w:val="19"/>
          <w:color w:val="auto"/>
        </w:rPr>
        <w:t>.</w:t>
      </w:r>
    </w:p>
    <w:p>
      <w:pPr>
        <w:spacing w:after="0" w:line="166"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19"/>
          <w:szCs w:val="19"/>
          <w:u w:val="single" w:color="auto"/>
          <w:color w:val="auto"/>
        </w:rPr>
        <w:t>Special Definitions</w:t>
      </w:r>
      <w:r>
        <w:rPr>
          <w:rFonts w:ascii="Arial" w:cs="Arial" w:eastAsia="Arial" w:hAnsi="Arial"/>
          <w:sz w:val="19"/>
          <w:szCs w:val="19"/>
          <w:color w:val="auto"/>
        </w:rPr>
        <w:t>. For purposes of this Article Fourth, the following definitions shall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142" w:lineRule="exact"/>
        <w:rPr>
          <w:sz w:val="20"/>
          <w:szCs w:val="20"/>
          <w:color w:val="auto"/>
        </w:rPr>
      </w:pPr>
    </w:p>
    <w:p>
      <w:pPr>
        <w:ind w:right="680" w:firstLine="3248"/>
        <w:spacing w:after="0" w:line="269" w:lineRule="auto"/>
        <w:tabs>
          <w:tab w:leader="none" w:pos="388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shall mean rights, options or warrants to subscribe for, purchase or otherwise acquire Common Stock or Convertible Securities.</w:t>
      </w:r>
    </w:p>
    <w:p>
      <w:pPr>
        <w:spacing w:after="0" w:line="107" w:lineRule="exact"/>
        <w:rPr>
          <w:rFonts w:ascii="Arial" w:cs="Arial" w:eastAsia="Arial" w:hAnsi="Arial"/>
          <w:sz w:val="22"/>
          <w:szCs w:val="22"/>
          <w:color w:val="auto"/>
        </w:rPr>
      </w:pPr>
    </w:p>
    <w:p>
      <w:pPr>
        <w:ind w:left="3900" w:hanging="652"/>
        <w:spacing w:after="0"/>
        <w:tabs>
          <w:tab w:leader="none" w:pos="39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D-1 Original Issue Date</w:t>
      </w:r>
      <w:r>
        <w:rPr>
          <w:rFonts w:ascii="Arial" w:cs="Arial" w:eastAsia="Arial" w:hAnsi="Arial"/>
          <w:sz w:val="19"/>
          <w:szCs w:val="19"/>
          <w:color w:val="auto"/>
        </w:rPr>
        <w:t>” shall mean the date on which the first share of</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Series D-1 Preferred Stock was issued.</w:t>
      </w:r>
    </w:p>
    <w:p>
      <w:pPr>
        <w:spacing w:after="0" w:line="141" w:lineRule="exact"/>
        <w:rPr>
          <w:rFonts w:ascii="Arial" w:cs="Arial" w:eastAsia="Arial" w:hAnsi="Arial"/>
          <w:sz w:val="19"/>
          <w:szCs w:val="19"/>
          <w:color w:val="auto"/>
        </w:rPr>
      </w:pPr>
    </w:p>
    <w:p>
      <w:pPr>
        <w:ind w:left="3900" w:hanging="652"/>
        <w:spacing w:after="0"/>
        <w:tabs>
          <w:tab w:leader="none" w:pos="39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Convertible Securities</w:t>
      </w:r>
      <w:r>
        <w:rPr>
          <w:rFonts w:ascii="Arial" w:cs="Arial" w:eastAsia="Arial" w:hAnsi="Arial"/>
          <w:sz w:val="19"/>
          <w:szCs w:val="19"/>
          <w:color w:val="auto"/>
        </w:rPr>
        <w:t>” shall mean any evidences of indebtedness, shares or other</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 directly or indirectly convertible into or exchangeable for Common Stock, but excluding Options.</w:t>
      </w:r>
    </w:p>
    <w:p>
      <w:pPr>
        <w:spacing w:after="0" w:line="141" w:lineRule="exact"/>
        <w:rPr>
          <w:rFonts w:ascii="Arial" w:cs="Arial" w:eastAsia="Arial" w:hAnsi="Arial"/>
          <w:sz w:val="19"/>
          <w:szCs w:val="19"/>
          <w:color w:val="auto"/>
        </w:rPr>
      </w:pPr>
    </w:p>
    <w:p>
      <w:pPr>
        <w:ind w:right="100" w:firstLine="3248"/>
        <w:spacing w:after="0" w:line="304" w:lineRule="auto"/>
        <w:tabs>
          <w:tab w:leader="none" w:pos="388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Shares of Common Stock</w:t>
      </w:r>
      <w:r>
        <w:rPr>
          <w:rFonts w:ascii="Arial" w:cs="Arial" w:eastAsia="Arial" w:hAnsi="Arial"/>
          <w:sz w:val="19"/>
          <w:szCs w:val="19"/>
          <w:color w:val="auto"/>
        </w:rPr>
        <w:t xml:space="preserve">” shall mean all shares of Common Stock issued (or, pursuant to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below, deemed to be issued) by the Corporation after the Series D-1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9"/>
          <w:szCs w:val="19"/>
          <w:b w:val="1"/>
          <w:bCs w:val="1"/>
          <w:color w:val="auto"/>
        </w:rPr>
        <w:t>Exempted Securities</w:t>
      </w:r>
      <w:r>
        <w:rPr>
          <w:rFonts w:ascii="Arial" w:cs="Arial" w:eastAsia="Arial" w:hAnsi="Arial"/>
          <w:sz w:val="19"/>
          <w:szCs w:val="19"/>
          <w:color w:val="auto"/>
        </w:rPr>
        <w:t>”):</w:t>
      </w:r>
    </w:p>
    <w:p>
      <w:pPr>
        <w:spacing w:after="0" w:line="87" w:lineRule="exact"/>
        <w:rPr>
          <w:rFonts w:ascii="Arial" w:cs="Arial" w:eastAsia="Arial" w:hAnsi="Arial"/>
          <w:sz w:val="19"/>
          <w:szCs w:val="19"/>
          <w:color w:val="auto"/>
        </w:rPr>
      </w:pPr>
    </w:p>
    <w:p>
      <w:pPr>
        <w:ind w:left="4540" w:right="520" w:hanging="644"/>
        <w:spacing w:after="0" w:line="263" w:lineRule="auto"/>
        <w:tabs>
          <w:tab w:leader="none" w:pos="4528" w:val="left"/>
        </w:tabs>
        <w:numPr>
          <w:ilvl w:val="1"/>
          <w:numId w:val="164"/>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as a dividend or distribution on Preferred Stock;</w:t>
      </w:r>
    </w:p>
    <w:p>
      <w:pPr>
        <w:spacing w:after="0" w:line="120" w:lineRule="exact"/>
        <w:rPr>
          <w:rFonts w:ascii="Arial" w:cs="Arial" w:eastAsia="Arial" w:hAnsi="Arial"/>
          <w:sz w:val="22"/>
          <w:szCs w:val="22"/>
          <w:color w:val="auto"/>
        </w:rPr>
      </w:pPr>
    </w:p>
    <w:p>
      <w:pPr>
        <w:ind w:left="4540" w:right="740" w:hanging="644"/>
        <w:spacing w:after="0" w:line="263" w:lineRule="auto"/>
        <w:tabs>
          <w:tab w:leader="none" w:pos="453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shares of Class A Common Stock issued upon conversion of Class B Common Stock;</w:t>
      </w:r>
    </w:p>
    <w:p>
      <w:pPr>
        <w:spacing w:after="0" w:line="120" w:lineRule="exact"/>
        <w:rPr>
          <w:rFonts w:ascii="Arial" w:cs="Arial" w:eastAsia="Arial" w:hAnsi="Arial"/>
          <w:sz w:val="22"/>
          <w:szCs w:val="22"/>
          <w:color w:val="auto"/>
        </w:rPr>
      </w:pPr>
    </w:p>
    <w:p>
      <w:pPr>
        <w:jc w:val="both"/>
        <w:ind w:left="4540" w:right="20" w:hanging="644"/>
        <w:spacing w:after="0" w:line="271" w:lineRule="auto"/>
        <w:tabs>
          <w:tab w:leader="none" w:pos="4540" w:val="left"/>
        </w:tabs>
        <w:numPr>
          <w:ilvl w:val="1"/>
          <w:numId w:val="164"/>
        </w:numPr>
        <w:rPr>
          <w:rFonts w:ascii="Arial" w:cs="Arial" w:eastAsia="Arial" w:hAnsi="Arial"/>
          <w:sz w:val="21"/>
          <w:szCs w:val="21"/>
          <w:color w:val="auto"/>
        </w:rPr>
      </w:pPr>
      <w:r>
        <w:rPr>
          <w:rFonts w:ascii="Arial" w:cs="Arial" w:eastAsia="Arial" w:hAnsi="Arial"/>
          <w:sz w:val="21"/>
          <w:szCs w:val="21"/>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21"/>
          <w:szCs w:val="21"/>
          <w:u w:val="single" w:color="auto"/>
          <w:color w:val="auto"/>
        </w:rPr>
        <w:t>Subsection 4.5</w:t>
      </w:r>
      <w:r>
        <w:rPr>
          <w:rFonts w:ascii="Arial" w:cs="Arial" w:eastAsia="Arial" w:hAnsi="Arial"/>
          <w:sz w:val="21"/>
          <w:szCs w:val="21"/>
          <w:color w:val="auto"/>
        </w:rPr>
        <w:t xml:space="preserve">, </w:t>
      </w:r>
      <w:r>
        <w:rPr>
          <w:rFonts w:ascii="Arial" w:cs="Arial" w:eastAsia="Arial" w:hAnsi="Arial"/>
          <w:sz w:val="21"/>
          <w:szCs w:val="21"/>
          <w:u w:val="single" w:color="auto"/>
          <w:color w:val="auto"/>
        </w:rPr>
        <w:t>4.6</w:t>
      </w:r>
      <w:r>
        <w:rPr>
          <w:rFonts w:ascii="Arial" w:cs="Arial" w:eastAsia="Arial" w:hAnsi="Arial"/>
          <w:sz w:val="21"/>
          <w:szCs w:val="21"/>
          <w:color w:val="auto"/>
        </w:rPr>
        <w:t xml:space="preserve">, </w:t>
      </w:r>
      <w:r>
        <w:rPr>
          <w:rFonts w:ascii="Arial" w:cs="Arial" w:eastAsia="Arial" w:hAnsi="Arial"/>
          <w:sz w:val="21"/>
          <w:szCs w:val="21"/>
          <w:u w:val="single" w:color="auto"/>
          <w:color w:val="auto"/>
        </w:rPr>
        <w:t>4.7</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4.8</w:t>
      </w:r>
      <w:r>
        <w:rPr>
          <w:rFonts w:ascii="Arial" w:cs="Arial" w:eastAsia="Arial" w:hAnsi="Arial"/>
          <w:sz w:val="21"/>
          <w:szCs w:val="21"/>
          <w:color w:val="auto"/>
        </w:rPr>
        <w:t>;</w:t>
      </w:r>
    </w:p>
    <w:p>
      <w:pPr>
        <w:spacing w:after="0" w:line="113" w:lineRule="exact"/>
        <w:rPr>
          <w:rFonts w:ascii="Arial" w:cs="Arial" w:eastAsia="Arial" w:hAnsi="Arial"/>
          <w:sz w:val="21"/>
          <w:szCs w:val="21"/>
          <w:color w:val="auto"/>
        </w:rPr>
      </w:pPr>
    </w:p>
    <w:p>
      <w:pPr>
        <w:ind w:left="4540" w:right="180" w:hanging="644"/>
        <w:spacing w:after="0" w:line="287" w:lineRule="auto"/>
        <w:tabs>
          <w:tab w:leader="none" w:pos="4528" w:val="left"/>
        </w:tabs>
        <w:numPr>
          <w:ilvl w:val="1"/>
          <w:numId w:val="164"/>
        </w:numPr>
        <w:rPr>
          <w:rFonts w:ascii="Arial" w:cs="Arial" w:eastAsia="Arial" w:hAnsi="Arial"/>
          <w:sz w:val="21"/>
          <w:szCs w:val="21"/>
          <w:color w:val="auto"/>
        </w:rPr>
      </w:pPr>
      <w:r>
        <w:rPr>
          <w:rFonts w:ascii="Arial" w:cs="Arial" w:eastAsia="Arial" w:hAnsi="Arial"/>
          <w:sz w:val="21"/>
          <w:szCs w:val="21"/>
          <w:color w:val="auto"/>
        </w:rPr>
        <w:t>shares of Common Stock or Options issued to employees or directors of, or consultants or advisors to, the Corporation or any of its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36" w:lineRule="exact"/>
        <w:rPr>
          <w:rFonts w:ascii="Arial" w:cs="Arial" w:eastAsia="Arial" w:hAnsi="Arial"/>
          <w:sz w:val="21"/>
          <w:szCs w:val="21"/>
          <w:color w:val="auto"/>
        </w:rPr>
      </w:pPr>
    </w:p>
    <w:p>
      <w:pPr>
        <w:ind w:left="5520" w:hanging="130"/>
        <w:spacing w:after="0"/>
        <w:tabs>
          <w:tab w:leader="none" w:pos="552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204" w:lineRule="exact"/>
        <w:rPr>
          <w:sz w:val="20"/>
          <w:szCs w:val="20"/>
          <w:color w:val="auto"/>
        </w:rPr>
      </w:pPr>
    </w:p>
    <w:p>
      <w:pPr>
        <w:ind w:left="3420" w:right="260"/>
        <w:spacing w:after="0" w:line="270" w:lineRule="auto"/>
        <w:rPr>
          <w:sz w:val="20"/>
          <w:szCs w:val="20"/>
          <w:color w:val="auto"/>
        </w:rPr>
      </w:pPr>
      <w:r>
        <w:rPr>
          <w:rFonts w:ascii="Arial" w:cs="Arial" w:eastAsia="Arial" w:hAnsi="Arial"/>
          <w:sz w:val="22"/>
          <w:szCs w:val="22"/>
          <w:color w:val="auto"/>
        </w:rPr>
        <w:t>subsidiaries pursuant to a plan, agreement or arrangement approved by the Board of Directors of the Corporation;</w:t>
      </w:r>
      <w:r>
        <w:rPr>
          <w:rFonts w:ascii="Arial" w:cs="Arial" w:eastAsia="Arial" w:hAnsi="Arial"/>
          <w:sz w:val="28"/>
          <w:szCs w:val="28"/>
          <w:color w:val="auto"/>
          <w:vertAlign w:val="superscript"/>
        </w:rPr>
        <w:t>,</w:t>
      </w:r>
    </w:p>
    <w:p>
      <w:pPr>
        <w:spacing w:after="0" w:line="28" w:lineRule="exact"/>
        <w:rPr>
          <w:sz w:val="20"/>
          <w:szCs w:val="20"/>
          <w:color w:val="auto"/>
        </w:rPr>
      </w:pPr>
    </w:p>
    <w:p>
      <w:pPr>
        <w:ind w:left="3420" w:hanging="644"/>
        <w:spacing w:after="0" w:line="302" w:lineRule="auto"/>
        <w:tabs>
          <w:tab w:leader="none" w:pos="341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shares of Common Stock or Convertible Securities actually issued upon the exercise of Options or shares of Common Stock actually issued upon the conversion or exchange of Convertible Securities, in each case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issuance is pursuant to the terms of such Option or Convertible Security;</w:t>
      </w:r>
    </w:p>
    <w:p>
      <w:pPr>
        <w:spacing w:after="0" w:line="88" w:lineRule="exact"/>
        <w:rPr>
          <w:rFonts w:ascii="Arial" w:cs="Arial" w:eastAsia="Arial" w:hAnsi="Arial"/>
          <w:sz w:val="19"/>
          <w:szCs w:val="19"/>
          <w:color w:val="auto"/>
        </w:rPr>
      </w:pPr>
    </w:p>
    <w:p>
      <w:pPr>
        <w:ind w:left="3420" w:hanging="644"/>
        <w:spacing w:after="0" w:line="297" w:lineRule="auto"/>
        <w:tabs>
          <w:tab w:leader="none" w:pos="340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that do not exceed 7.5% of the Corporation issued and outstanding share capital;</w:t>
      </w:r>
    </w:p>
    <w:p>
      <w:pPr>
        <w:spacing w:after="0" w:line="92" w:lineRule="exact"/>
        <w:rPr>
          <w:rFonts w:ascii="Arial" w:cs="Arial" w:eastAsia="Arial" w:hAnsi="Arial"/>
          <w:sz w:val="19"/>
          <w:szCs w:val="19"/>
          <w:color w:val="auto"/>
        </w:rPr>
      </w:pPr>
    </w:p>
    <w:p>
      <w:pPr>
        <w:ind w:left="3420" w:right="100" w:hanging="644"/>
        <w:spacing w:after="0" w:line="248" w:lineRule="auto"/>
        <w:tabs>
          <w:tab w:leader="none" w:pos="341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to suppliers or third party service providers in connection with the provision of goods or services pursuant to transactions approved by the Board of Directors of the Corporation that do not exceed 7.5% of the Corporation issued and outstanding share capital; or</w:t>
      </w:r>
    </w:p>
    <w:p>
      <w:pPr>
        <w:spacing w:after="0" w:line="137" w:lineRule="exact"/>
        <w:rPr>
          <w:rFonts w:ascii="Arial" w:cs="Arial" w:eastAsia="Arial" w:hAnsi="Arial"/>
          <w:sz w:val="22"/>
          <w:szCs w:val="22"/>
          <w:color w:val="auto"/>
        </w:rPr>
      </w:pPr>
    </w:p>
    <w:p>
      <w:pPr>
        <w:ind w:left="3420" w:right="80" w:hanging="644"/>
        <w:spacing w:after="0" w:line="263" w:lineRule="auto"/>
        <w:tabs>
          <w:tab w:leader="none" w:pos="342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issuances are approved by the Board of Directors of the Corporation;</w:t>
      </w:r>
    </w:p>
    <w:p>
      <w:pPr>
        <w:spacing w:after="0" w:line="121" w:lineRule="exact"/>
        <w:rPr>
          <w:rFonts w:ascii="Arial" w:cs="Arial" w:eastAsia="Arial" w:hAnsi="Arial"/>
          <w:sz w:val="21"/>
          <w:szCs w:val="21"/>
          <w:color w:val="auto"/>
        </w:rPr>
      </w:pPr>
    </w:p>
    <w:p>
      <w:pPr>
        <w:ind w:left="3420" w:right="580" w:hanging="644"/>
        <w:spacing w:after="0" w:line="253" w:lineRule="auto"/>
        <w:tabs>
          <w:tab w:leader="none" w:pos="340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shares of Common Stock, Options or Convertible Securities issued in connection with sponsored research, collaboration, technology license, development, OEM,</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0" w:lineRule="exact"/>
        <w:rPr>
          <w:rFonts w:ascii="Arial" w:cs="Arial" w:eastAsia="Arial" w:hAnsi="Arial"/>
          <w:sz w:val="22"/>
          <w:szCs w:val="22"/>
          <w:color w:val="auto"/>
        </w:rPr>
      </w:pPr>
    </w:p>
    <w:p>
      <w:pPr>
        <w:ind w:left="4400" w:hanging="130"/>
        <w:spacing w:after="0"/>
        <w:tabs>
          <w:tab w:leader="none" w:pos="440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204" w:lineRule="exact"/>
        <w:rPr>
          <w:sz w:val="20"/>
          <w:szCs w:val="20"/>
          <w:color w:val="auto"/>
        </w:rPr>
      </w:pPr>
    </w:p>
    <w:p>
      <w:pPr>
        <w:ind w:left="4540" w:right="100"/>
        <w:spacing w:after="0" w:line="271" w:lineRule="auto"/>
        <w:rPr>
          <w:sz w:val="20"/>
          <w:szCs w:val="20"/>
          <w:color w:val="auto"/>
        </w:rPr>
      </w:pPr>
      <w:r>
        <w:rPr>
          <w:rFonts w:ascii="Arial" w:cs="Arial" w:eastAsia="Arial" w:hAnsi="Arial"/>
          <w:sz w:val="21"/>
          <w:szCs w:val="21"/>
          <w:color w:val="auto"/>
        </w:rPr>
        <w:t>marketing or other similar agreements or strategic partnerships approved by the Board of Directors of the Corporation that do not exceed 7.5% of the Corporation issued and outstanding share capital;</w:t>
      </w:r>
    </w:p>
    <w:p>
      <w:pPr>
        <w:spacing w:after="0" w:line="113" w:lineRule="exact"/>
        <w:rPr>
          <w:sz w:val="20"/>
          <w:szCs w:val="20"/>
          <w:color w:val="auto"/>
        </w:rPr>
      </w:pPr>
    </w:p>
    <w:p>
      <w:pPr>
        <w:ind w:left="4540" w:hanging="644"/>
        <w:spacing w:after="0" w:line="259" w:lineRule="auto"/>
        <w:tabs>
          <w:tab w:leader="none" w:pos="4535" w:val="left"/>
        </w:tabs>
        <w:numPr>
          <w:ilvl w:val="0"/>
          <w:numId w:val="166"/>
        </w:numPr>
        <w:rPr>
          <w:rFonts w:ascii="Arial" w:cs="Arial" w:eastAsia="Arial" w:hAnsi="Arial"/>
          <w:sz w:val="21"/>
          <w:szCs w:val="21"/>
          <w:color w:val="auto"/>
        </w:rPr>
      </w:pPr>
      <w:r>
        <w:rPr>
          <w:rFonts w:ascii="Arial" w:cs="Arial" w:eastAsia="Arial" w:hAnsi="Arial"/>
          <w:sz w:val="21"/>
          <w:szCs w:val="21"/>
          <w:color w:val="auto"/>
        </w:rPr>
        <w:t>shares of Common Stock, Options or Convertible Securities issued in a firm-commitment underwritten public offering pursuant to an effective registration statement under the Securities Act of 1933, as amended, resulting in at least $50,000,000 of gross proceeds to the Corporation and the listing of shares of the Corporation’s capital stock on a securities exchange registered with the U.S. Securities and Exchange Commission as a national securities exchange pursuant to Section 6(a) of the Exchange Act (a “</w:t>
      </w:r>
      <w:r>
        <w:rPr>
          <w:rFonts w:ascii="Arial" w:cs="Arial" w:eastAsia="Arial" w:hAnsi="Arial"/>
          <w:sz w:val="21"/>
          <w:szCs w:val="21"/>
          <w:b w:val="1"/>
          <w:bCs w:val="1"/>
          <w:color w:val="auto"/>
        </w:rPr>
        <w:t>Qualified Public Offering</w:t>
      </w:r>
      <w:r>
        <w:rPr>
          <w:rFonts w:ascii="Arial" w:cs="Arial" w:eastAsia="Arial" w:hAnsi="Arial"/>
          <w:sz w:val="21"/>
          <w:szCs w:val="21"/>
          <w:color w:val="auto"/>
        </w:rPr>
        <w:t>”); or</w:t>
      </w:r>
    </w:p>
    <w:p>
      <w:pPr>
        <w:spacing w:after="0" w:line="129" w:lineRule="exact"/>
        <w:rPr>
          <w:rFonts w:ascii="Arial" w:cs="Arial" w:eastAsia="Arial" w:hAnsi="Arial"/>
          <w:sz w:val="21"/>
          <w:szCs w:val="21"/>
          <w:color w:val="auto"/>
        </w:rPr>
      </w:pPr>
    </w:p>
    <w:p>
      <w:pPr>
        <w:ind w:left="4540" w:right="140" w:hanging="644"/>
        <w:spacing w:after="0" w:line="265" w:lineRule="auto"/>
        <w:tabs>
          <w:tab w:leader="none" w:pos="4528" w:val="left"/>
        </w:tabs>
        <w:numPr>
          <w:ilvl w:val="0"/>
          <w:numId w:val="166"/>
        </w:numPr>
        <w:rPr>
          <w:rFonts w:ascii="Arial" w:cs="Arial" w:eastAsia="Arial" w:hAnsi="Arial"/>
          <w:sz w:val="21"/>
          <w:szCs w:val="21"/>
          <w:color w:val="auto"/>
        </w:rPr>
      </w:pPr>
      <w:r>
        <w:rPr>
          <w:rFonts w:ascii="Arial" w:cs="Arial" w:eastAsia="Arial" w:hAnsi="Arial"/>
          <w:sz w:val="21"/>
          <w:szCs w:val="21"/>
          <w:color w:val="auto"/>
        </w:rPr>
        <w:t>shares of Common Stock, Options or Convertible Securities issued with the unanimous approval of the Board of Directors and the Board of Directors specifically provides that such shares of Common Stock, Options or Convertible Securities shall be Exempted Securities.</w:t>
      </w:r>
    </w:p>
    <w:p>
      <w:pPr>
        <w:spacing w:after="0" w:line="121" w:lineRule="exact"/>
        <w:rPr>
          <w:sz w:val="20"/>
          <w:szCs w:val="20"/>
          <w:color w:val="auto"/>
        </w:rPr>
      </w:pPr>
    </w:p>
    <w:p>
      <w:pPr>
        <w:ind w:firstLine="2592"/>
        <w:spacing w:after="0" w:line="286" w:lineRule="auto"/>
        <w:rPr>
          <w:sz w:val="20"/>
          <w:szCs w:val="20"/>
          <w:color w:val="auto"/>
        </w:rPr>
      </w:pPr>
      <w:r>
        <w:rPr>
          <w:rFonts w:ascii="Arial" w:cs="Arial" w:eastAsia="Arial" w:hAnsi="Arial"/>
          <w:sz w:val="19"/>
          <w:szCs w:val="19"/>
          <w:color w:val="auto"/>
        </w:rPr>
        <w:t xml:space="preserve">4.4.2 </w:t>
      </w:r>
      <w:r>
        <w:rPr>
          <w:rFonts w:ascii="Arial" w:cs="Arial" w:eastAsia="Arial" w:hAnsi="Arial"/>
          <w:sz w:val="19"/>
          <w:szCs w:val="19"/>
          <w:u w:val="single" w:color="auto"/>
          <w:color w:val="auto"/>
        </w:rPr>
        <w:t>No Adjustment of Conversion Prices</w:t>
      </w:r>
      <w:r>
        <w:rPr>
          <w:rFonts w:ascii="Arial" w:cs="Arial" w:eastAsia="Arial" w:hAnsi="Arial"/>
          <w:sz w:val="19"/>
          <w:szCs w:val="19"/>
          <w:color w:val="auto"/>
        </w:rPr>
        <w:t>. No adjustment in the Series A Conversion Price shall be made as the result of the issuance or deemed issuance of Additional Shares of Common Stock if the Corporation receives written notice from the holders of at least a majority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a majority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at least a majority of the then outstanding shares of Series C Preferred Stock agreeing that no such adjustment shall be made as the result of the issuance or deemed issuance of such Additional Shares of Common Stock. No adjustment in the Series D Conversion Price shall be made as the result of the issuance or deemed issuance of Additional Shares of Common Stock if the Corporation receives written notice from the holders of at least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40" w:right="379" w:bottom="1440" w:gutter="0" w:footer="0" w:header="0"/>
        </w:sectPr>
      </w:pPr>
    </w:p>
    <w:bookmarkStart w:id="226" w:name="page227"/>
    <w:bookmarkEnd w:id="226"/>
    <w:p>
      <w:pPr>
        <w:spacing w:after="0" w:line="204" w:lineRule="exact"/>
        <w:rPr>
          <w:sz w:val="20"/>
          <w:szCs w:val="20"/>
          <w:color w:val="auto"/>
        </w:rPr>
      </w:pPr>
    </w:p>
    <w:p>
      <w:pPr>
        <w:ind w:right="200"/>
        <w:spacing w:after="0" w:line="247" w:lineRule="auto"/>
        <w:rPr>
          <w:sz w:val="20"/>
          <w:szCs w:val="20"/>
          <w:color w:val="auto"/>
        </w:rPr>
      </w:pPr>
      <w:r>
        <w:rPr>
          <w:rFonts w:ascii="Arial" w:cs="Arial" w:eastAsia="Arial" w:hAnsi="Arial"/>
          <w:sz w:val="22"/>
          <w:szCs w:val="22"/>
          <w:color w:val="auto"/>
        </w:rPr>
        <w:t>majority of the then outstanding shares of Series D Preferred Stock agreeing that no such adjustment shall be made as the result of the issuance or deemed issuance of such Additional Shares of Common Stock. No adjustment in the Series D-1 Conversion Price shall be made as the result of the issuance or deemed issuance of Additional Shares of Common Stock if the Corporation receives written notice from the holders of at least a majority of the then outstanding shares of Series D-1 Preferred Stock agreeing that no such adjustment shall be made as the result of the issuance or deemed issuance of such Additional Shares of Common Stock.</w:t>
      </w:r>
    </w:p>
    <w:p>
      <w:pPr>
        <w:spacing w:after="0" w:line="139"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4.4.3</w:t>
      </w:r>
      <w:r>
        <w:rPr>
          <w:sz w:val="20"/>
          <w:szCs w:val="20"/>
          <w:color w:val="auto"/>
        </w:rPr>
        <w:tab/>
      </w:r>
      <w:r>
        <w:rPr>
          <w:rFonts w:ascii="Arial" w:cs="Arial" w:eastAsia="Arial" w:hAnsi="Arial"/>
          <w:sz w:val="19"/>
          <w:szCs w:val="19"/>
          <w:u w:val="single" w:color="auto"/>
          <w:color w:val="auto"/>
        </w:rPr>
        <w:t>Deemed Issue of Additional Shares of Common Stock</w:t>
      </w:r>
      <w:r>
        <w:rPr>
          <w:rFonts w:ascii="Arial" w:cs="Arial" w:eastAsia="Arial" w:hAnsi="Arial"/>
          <w:sz w:val="19"/>
          <w:szCs w:val="19"/>
          <w:color w:val="auto"/>
        </w:rPr>
        <w:t>.</w:t>
      </w:r>
    </w:p>
    <w:p>
      <w:pPr>
        <w:spacing w:after="0" w:line="166" w:lineRule="exact"/>
        <w:rPr>
          <w:sz w:val="20"/>
          <w:szCs w:val="20"/>
          <w:color w:val="auto"/>
        </w:rPr>
      </w:pPr>
    </w:p>
    <w:p>
      <w:pPr>
        <w:ind w:left="3900" w:hanging="652"/>
        <w:spacing w:after="0"/>
        <w:tabs>
          <w:tab w:leader="none" w:pos="390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If the Corporation at any time or from time to time after the Series D-1 Original</w:t>
      </w:r>
    </w:p>
    <w:p>
      <w:pPr>
        <w:spacing w:after="0" w:line="32" w:lineRule="exact"/>
        <w:rPr>
          <w:rFonts w:ascii="Arial" w:cs="Arial" w:eastAsia="Arial" w:hAnsi="Arial"/>
          <w:sz w:val="21"/>
          <w:szCs w:val="21"/>
          <w:color w:val="auto"/>
        </w:rPr>
      </w:pPr>
    </w:p>
    <w:p>
      <w:pPr>
        <w:ind w:right="60"/>
        <w:spacing w:after="0" w:line="287" w:lineRule="auto"/>
        <w:rPr>
          <w:rFonts w:ascii="Arial" w:cs="Arial" w:eastAsia="Arial" w:hAnsi="Arial"/>
          <w:sz w:val="21"/>
          <w:szCs w:val="21"/>
          <w:color w:val="auto"/>
        </w:rPr>
      </w:pPr>
      <w:r>
        <w:rPr>
          <w:rFonts w:ascii="Arial" w:cs="Arial" w:eastAsia="Arial" w:hAnsi="Arial"/>
          <w:sz w:val="19"/>
          <w:szCs w:val="19"/>
          <w:color w:val="auto"/>
        </w:rPr>
        <w:t>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05" w:lineRule="exact"/>
        <w:rPr>
          <w:rFonts w:ascii="Arial" w:cs="Arial" w:eastAsia="Arial" w:hAnsi="Arial"/>
          <w:sz w:val="21"/>
          <w:szCs w:val="21"/>
          <w:color w:val="auto"/>
        </w:rPr>
      </w:pPr>
    </w:p>
    <w:p>
      <w:pPr>
        <w:ind w:firstLine="3248"/>
        <w:spacing w:after="0" w:line="285" w:lineRule="auto"/>
        <w:tabs>
          <w:tab w:leader="none" w:pos="388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If the terms of any Option or Convertible Security, the issuance of which resulted in an adjustment to the Series A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A Conversion Price computed upon the original issue of such Option or Convertible Security (or upon the occurrence of a record date with respect thereto) shall be readjusted to such Series A Conversion Price as would have obtained had such revised terms been in effect upon the original date of issuance of such Option or Convertible Security. Notwithstanding the foregoing, no readjustment pursuant to this clause (b) shall have the effect of increasing the Series A Conversion Price to an amount which exceeds the lower of (i) the Series A Conversion Price in effect immediately prior to the original adjustment made as a result of the issuance of such Option or Convertible Security or (ii) the Series A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B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are revised as a result of an amendment to such terms or any other adjustment pursuant to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5520" w:hanging="130"/>
        <w:spacing w:after="0"/>
        <w:tabs>
          <w:tab w:leader="none" w:pos="55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w:t>
      </w:r>
    </w:p>
    <w:p>
      <w:pPr>
        <w:spacing w:after="0" w:line="1" w:lineRule="exact"/>
        <w:rPr>
          <w:sz w:val="20"/>
          <w:szCs w:val="20"/>
          <w:color w:val="auto"/>
        </w:rPr>
      </w:pPr>
    </w:p>
    <w:p>
      <w:pPr>
        <w:ind w:firstLine="8"/>
        <w:spacing w:after="0" w:line="283" w:lineRule="auto"/>
        <w:tabs>
          <w:tab w:leader="none" w:pos="30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any increase or decrease in the consideration payable to the Corporation upon such exercise, conversion and/or exchange, then, effective upon such increase or decrease becoming effective, the Series B Conversion Price computed upon the original issue of such Option or Convertible Security (or upon the occurrence of a record date with respect thereto) shall be readjusted to such Series B Conversion Price as would have obtained had such revised terms been in effect upon the original date of issuance of such Option or Convertible Security. Notwithstanding the foregoing, no readjustment pursuant to this clause (b) shall have the effect of increasing the Series B Conversion Price to an amount which exceeds the lower of (i) the Series B Conversion Price in effect immediately prior to the original adjustment made as a result of the issuance of such Option or Convertible Security or (ii) the Series B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C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C Conversion Price computed upon the original issue of such Option or Convertible Security (or upon the occurrence of a record date with respect thereto) shall be readjusted to such Series C Conversion Price as would have obtained had such revised terms been in effect upon the original date of issuance of such Option or Convertible Security. Notwithstanding the foregoing, no readjustment pursuant to this clause (b) shall have the effect of increasing the Series C Conversion Price to an amount which exceeds the lower of (i) the Series C Conversion Price in effect immediately prior to the original adjustment made as a result of the issuance of such Option or Convertible Security or (ii) the Series C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9" w:lineRule="exact"/>
        <w:rPr>
          <w:rFonts w:ascii="Arial" w:cs="Arial" w:eastAsia="Arial" w:hAnsi="Arial"/>
          <w:sz w:val="19"/>
          <w:szCs w:val="19"/>
          <w:color w:val="auto"/>
        </w:rPr>
      </w:pPr>
    </w:p>
    <w:p>
      <w:pPr>
        <w:ind w:left="5520" w:hanging="130"/>
        <w:spacing w:after="0"/>
        <w:tabs>
          <w:tab w:leader="none" w:pos="552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200"/>
          </w:cols>
          <w:pgMar w:left="320" w:top="1440" w:right="379" w:bottom="1440" w:gutter="0" w:footer="0" w:header="0"/>
        </w:sectPr>
      </w:pPr>
    </w:p>
    <w:bookmarkStart w:id="228" w:name="page229"/>
    <w:bookmarkEnd w:id="228"/>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 xml:space="preserve">such exercise, conversion and/or exchange, then, effective upon such increase or decrease becoming effective, the Series D Conversion Price computed upon the original issue of such Option or Convertible Security (or upon the occurrence of a record date with respect thereto) shall be readjusted to such Series D Conversion Price as would have obtained had such revised terms been in effect upon the original date of issuance of such Option or Convertible Security. Notwithstanding the foregoing, no readjustment pursuant to this clause (b) shall have the effect of increasing the Series D Conversion Price to an amount which exceeds the lower of (i) the Series D Conversion Price in effect immediately prior to the original adjustment made as a result of the issuance of such Option or Convertible Security or (ii) the Series D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D-1 Conversion Price pursuant to the terms of </w:t>
      </w:r>
      <w:r>
        <w:rPr>
          <w:rFonts w:ascii="Arial" w:cs="Arial" w:eastAsia="Arial" w:hAnsi="Arial"/>
          <w:sz w:val="19"/>
          <w:szCs w:val="19"/>
          <w:u w:val="single" w:color="auto"/>
          <w:color w:val="auto"/>
        </w:rPr>
        <w:t>Subsection 4.4.4</w:t>
      </w:r>
      <w:r>
        <w:rPr>
          <w:rFonts w:ascii="Arial" w:cs="Arial" w:eastAsia="Arial" w:hAnsi="Arial"/>
          <w:sz w:val="19"/>
          <w:szCs w:val="19"/>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D-1 Conversion Price computed upon the original issue of such Option or Convertible Security (or upon the occurrence of a record date with respect thereto) shall be readjusted to such Series D-1 Conversion Price as would have obtained had such revised terms been in effect upon the original date of issuance of such Option or Convertible Security. Notwithstanding the foregoing, no readjustment pursuant to this clause (b) shall have the effect of increasing the Series D-1 Conversion Price to an amount which exceeds the lower of (i) the Series D-1 Conversion Price in effect immediately prior to the original adjustment made as a result of the issuance of such Option or Convertible Security or (ii) the Series D-1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13" w:lineRule="exact"/>
        <w:rPr>
          <w:sz w:val="20"/>
          <w:szCs w:val="20"/>
          <w:color w:val="auto"/>
        </w:rPr>
      </w:pPr>
    </w:p>
    <w:p>
      <w:pPr>
        <w:ind w:left="3900" w:hanging="652"/>
        <w:spacing w:after="0"/>
        <w:tabs>
          <w:tab w:leader="none" w:pos="39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If the terms of any Option or Convertible Security (excluding Options or</w:t>
      </w:r>
    </w:p>
    <w:p>
      <w:pPr>
        <w:spacing w:after="0" w:line="21" w:lineRule="exact"/>
        <w:rPr>
          <w:rFonts w:ascii="Arial" w:cs="Arial" w:eastAsia="Arial" w:hAnsi="Arial"/>
          <w:sz w:val="22"/>
          <w:szCs w:val="22"/>
          <w:color w:val="auto"/>
        </w:rPr>
      </w:pPr>
    </w:p>
    <w:p>
      <w:pPr>
        <w:spacing w:after="0" w:line="257" w:lineRule="auto"/>
        <w:rPr>
          <w:rFonts w:ascii="Arial" w:cs="Arial" w:eastAsia="Arial" w:hAnsi="Arial"/>
          <w:sz w:val="22"/>
          <w:szCs w:val="22"/>
          <w:color w:val="auto"/>
        </w:rPr>
      </w:pPr>
      <w:r>
        <w:rPr>
          <w:rFonts w:ascii="Arial" w:cs="Arial" w:eastAsia="Arial" w:hAnsi="Arial"/>
          <w:sz w:val="21"/>
          <w:szCs w:val="21"/>
          <w:color w:val="auto"/>
        </w:rPr>
        <w:t xml:space="preserve">Convertible Securities which are themselves Exempted Securities), the issuance of which did not result in an adjustment to the Series A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an adjustment to the Series B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an adjustment to the Series C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an adjustment to the Series D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or an adjustment to the Series D-1 Conversion Price pursuant to the terms of </w:t>
      </w:r>
      <w:r>
        <w:rPr>
          <w:rFonts w:ascii="Arial" w:cs="Arial" w:eastAsia="Arial" w:hAnsi="Arial"/>
          <w:sz w:val="21"/>
          <w:szCs w:val="21"/>
          <w:u w:val="single" w:color="auto"/>
          <w:color w:val="auto"/>
        </w:rPr>
        <w:t>Subsection 4.4.4</w:t>
      </w:r>
      <w:r>
        <w:rPr>
          <w:rFonts w:ascii="Arial" w:cs="Arial" w:eastAsia="Arial" w:hAnsi="Arial"/>
          <w:sz w:val="21"/>
          <w:szCs w:val="21"/>
          <w:color w:val="auto"/>
        </w:rPr>
        <w:t xml:space="preserve"> (either because the consideration per share (determined pursuant to </w:t>
      </w:r>
      <w:r>
        <w:rPr>
          <w:rFonts w:ascii="Arial" w:cs="Arial" w:eastAsia="Arial" w:hAnsi="Arial"/>
          <w:sz w:val="21"/>
          <w:szCs w:val="21"/>
          <w:u w:val="single" w:color="auto"/>
          <w:color w:val="auto"/>
        </w:rPr>
        <w:t>Subsection 4.4.5</w:t>
      </w:r>
      <w:r>
        <w:rPr>
          <w:rFonts w:ascii="Arial" w:cs="Arial" w:eastAsia="Arial" w:hAnsi="Arial"/>
          <w:sz w:val="21"/>
          <w:szCs w:val="21"/>
          <w:color w:val="auto"/>
        </w:rPr>
        <w:t>) of the Additional Shares of Common Stock subject thereto was equal to or greater than the Series A Conversion Price, Series B Conversion Price, Series C Conversion Price, Series D Conversion Price or Series D-1 Conversion Price, as applicable, then in effect,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6" w:lineRule="exact"/>
        <w:rPr>
          <w:rFonts w:ascii="Arial" w:cs="Arial" w:eastAsia="Arial" w:hAnsi="Arial"/>
          <w:sz w:val="22"/>
          <w:szCs w:val="22"/>
          <w:color w:val="auto"/>
        </w:rPr>
      </w:pPr>
    </w:p>
    <w:p>
      <w:pPr>
        <w:ind w:left="5520" w:hanging="130"/>
        <w:spacing w:after="0"/>
        <w:tabs>
          <w:tab w:leader="none" w:pos="552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204" w:lineRule="exact"/>
        <w:rPr>
          <w:sz w:val="20"/>
          <w:szCs w:val="20"/>
          <w:color w:val="auto"/>
        </w:rPr>
      </w:pPr>
    </w:p>
    <w:p>
      <w:pPr>
        <w:ind w:right="120"/>
        <w:spacing w:after="0" w:line="290" w:lineRule="auto"/>
        <w:rPr>
          <w:sz w:val="20"/>
          <w:szCs w:val="20"/>
          <w:color w:val="auto"/>
        </w:rPr>
      </w:pPr>
      <w:r>
        <w:rPr>
          <w:rFonts w:ascii="Arial" w:cs="Arial" w:eastAsia="Arial" w:hAnsi="Arial"/>
          <w:sz w:val="19"/>
          <w:szCs w:val="19"/>
          <w:color w:val="auto"/>
        </w:rPr>
        <w:t xml:space="preserve">because such Option or Convertible Security was issued before the Series D-1 Original Issue Date), are revised after the Series D-1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9"/>
          <w:szCs w:val="19"/>
          <w:u w:val="single" w:color="auto"/>
          <w:color w:val="auto"/>
        </w:rPr>
        <w:t>Subsection 4.4.3(a))</w:t>
      </w:r>
      <w:r>
        <w:rPr>
          <w:rFonts w:ascii="Arial" w:cs="Arial" w:eastAsia="Arial" w:hAnsi="Arial"/>
          <w:sz w:val="19"/>
          <w:szCs w:val="19"/>
          <w:color w:val="auto"/>
        </w:rPr>
        <w:t xml:space="preserve"> shall be deemed to have been issued effective upon such increase or decrease becoming effective.</w:t>
      </w:r>
    </w:p>
    <w:p>
      <w:pPr>
        <w:spacing w:after="0" w:line="102" w:lineRule="exact"/>
        <w:rPr>
          <w:sz w:val="20"/>
          <w:szCs w:val="20"/>
          <w:color w:val="auto"/>
        </w:rPr>
      </w:pPr>
    </w:p>
    <w:p>
      <w:pPr>
        <w:ind w:left="3900" w:hanging="652"/>
        <w:spacing w:after="0"/>
        <w:tabs>
          <w:tab w:leader="none" w:pos="39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Upon the expiration or termination of any unexercised Option or unconverted or</w:t>
      </w:r>
    </w:p>
    <w:p>
      <w:pPr>
        <w:spacing w:after="0" w:line="55" w:lineRule="exact"/>
        <w:rPr>
          <w:rFonts w:ascii="Arial" w:cs="Arial" w:eastAsia="Arial" w:hAnsi="Arial"/>
          <w:sz w:val="19"/>
          <w:szCs w:val="19"/>
          <w:color w:val="auto"/>
        </w:rPr>
      </w:pPr>
    </w:p>
    <w:p>
      <w:pPr>
        <w:ind w:right="160"/>
        <w:spacing w:after="0" w:line="244" w:lineRule="auto"/>
        <w:rPr>
          <w:rFonts w:ascii="Arial" w:cs="Arial" w:eastAsia="Arial" w:hAnsi="Arial"/>
          <w:sz w:val="19"/>
          <w:szCs w:val="19"/>
          <w:color w:val="auto"/>
        </w:rPr>
      </w:pPr>
      <w:r>
        <w:rPr>
          <w:rFonts w:ascii="Arial" w:cs="Arial" w:eastAsia="Arial" w:hAnsi="Arial"/>
          <w:sz w:val="22"/>
          <w:szCs w:val="22"/>
          <w:color w:val="auto"/>
        </w:rPr>
        <w:t xml:space="preserve">unexchanged Convertible Security (or portion thereof) which resulted (either upon its original issuance or upon a revision of its terms) in an adjustment to the Series A Conversion Price, Series B Conversion Price, Series C Conversion Price, Series D Conversion Price or Series D-1 Conversion Price pursuant to the terms of </w:t>
      </w:r>
      <w:r>
        <w:rPr>
          <w:rFonts w:ascii="Arial" w:cs="Arial" w:eastAsia="Arial" w:hAnsi="Arial"/>
          <w:sz w:val="22"/>
          <w:szCs w:val="22"/>
          <w:u w:val="single" w:color="auto"/>
          <w:color w:val="auto"/>
        </w:rPr>
        <w:t>Subsection 4.4.4</w:t>
      </w:r>
      <w:r>
        <w:rPr>
          <w:rFonts w:ascii="Arial" w:cs="Arial" w:eastAsia="Arial" w:hAnsi="Arial"/>
          <w:sz w:val="22"/>
          <w:szCs w:val="22"/>
          <w:color w:val="auto"/>
        </w:rPr>
        <w:t>, then such conversion price shall be readjusted to such Series A Conversion Price, Series B Conversion Price, Series C Conversion Price, Series D Conversion Price or Series D-1 Conversion Price as would have obtained had such Option or Convertible Security (or portion thereof) never been issued.</w:t>
      </w:r>
    </w:p>
    <w:p>
      <w:pPr>
        <w:spacing w:after="0" w:line="139" w:lineRule="exact"/>
        <w:rPr>
          <w:rFonts w:ascii="Arial" w:cs="Arial" w:eastAsia="Arial" w:hAnsi="Arial"/>
          <w:sz w:val="19"/>
          <w:szCs w:val="19"/>
          <w:color w:val="auto"/>
        </w:rPr>
      </w:pPr>
    </w:p>
    <w:p>
      <w:pPr>
        <w:ind w:left="3900" w:hanging="652"/>
        <w:spacing w:after="0"/>
        <w:tabs>
          <w:tab w:leader="none" w:pos="39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number of shares of Common Stock issuable upon the exercise, conversion</w:t>
      </w:r>
    </w:p>
    <w:p>
      <w:pPr>
        <w:spacing w:after="0" w:line="55" w:lineRule="exact"/>
        <w:rPr>
          <w:rFonts w:ascii="Arial" w:cs="Arial" w:eastAsia="Arial" w:hAnsi="Arial"/>
          <w:sz w:val="19"/>
          <w:szCs w:val="19"/>
          <w:color w:val="auto"/>
        </w:rPr>
      </w:pPr>
    </w:p>
    <w:p>
      <w:pPr>
        <w:ind w:right="60"/>
        <w:spacing w:after="0" w:line="284" w:lineRule="auto"/>
        <w:rPr>
          <w:rFonts w:ascii="Arial" w:cs="Arial" w:eastAsia="Arial" w:hAnsi="Arial"/>
          <w:sz w:val="19"/>
          <w:szCs w:val="19"/>
          <w:color w:val="auto"/>
        </w:rPr>
      </w:pPr>
      <w:r>
        <w:rPr>
          <w:rFonts w:ascii="Arial" w:cs="Arial" w:eastAsia="Arial" w:hAnsi="Arial"/>
          <w:sz w:val="19"/>
          <w:szCs w:val="19"/>
          <w:color w:val="auto"/>
        </w:rPr>
        <w:t xml:space="preserve">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Series A Conversion Price, Series B Conversion Price, Series C Conversion Price, Series D Conversion Price or Series D-1 Conversion Price provided for in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Series A Conversion Price, Series B Conversion Price, Series C Conversion Price, Series D Conversion Price or Series D-1 Conversion Price that would result under the terms of this </w:t>
      </w:r>
      <w:r>
        <w:rPr>
          <w:rFonts w:ascii="Arial" w:cs="Arial" w:eastAsia="Arial" w:hAnsi="Arial"/>
          <w:sz w:val="19"/>
          <w:szCs w:val="19"/>
          <w:u w:val="single" w:color="auto"/>
          <w:color w:val="auto"/>
        </w:rPr>
        <w:t>Subsection 4.4.3</w:t>
      </w:r>
      <w:r>
        <w:rPr>
          <w:rFonts w:ascii="Arial" w:cs="Arial" w:eastAsia="Arial" w:hAnsi="Arial"/>
          <w:sz w:val="19"/>
          <w:szCs w:val="19"/>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Series A Conversion Price, Series B Conversion Price, Series C Conversion Price, Series D Conversion Price or Series D-1 Conversion Price that such issuance or amendment took place at the time such calculation can first be made.</w:t>
      </w:r>
    </w:p>
    <w:p>
      <w:pPr>
        <w:spacing w:after="0" w:line="113" w:lineRule="exact"/>
        <w:rPr>
          <w:sz w:val="20"/>
          <w:szCs w:val="20"/>
          <w:color w:val="auto"/>
        </w:rPr>
      </w:pPr>
    </w:p>
    <w:p>
      <w:pPr>
        <w:ind w:firstLine="2592"/>
        <w:spacing w:after="0" w:line="263" w:lineRule="auto"/>
        <w:rPr>
          <w:sz w:val="20"/>
          <w:szCs w:val="20"/>
          <w:color w:val="auto"/>
        </w:rPr>
      </w:pPr>
      <w:r>
        <w:rPr>
          <w:rFonts w:ascii="Arial" w:cs="Arial" w:eastAsia="Arial" w:hAnsi="Arial"/>
          <w:sz w:val="22"/>
          <w:szCs w:val="22"/>
          <w:color w:val="auto"/>
        </w:rPr>
        <w:t xml:space="preserve">4.4.4 </w:t>
      </w:r>
      <w:r>
        <w:rPr>
          <w:rFonts w:ascii="Arial" w:cs="Arial" w:eastAsia="Arial" w:hAnsi="Arial"/>
          <w:sz w:val="22"/>
          <w:szCs w:val="22"/>
          <w:u w:val="single" w:color="auto"/>
          <w:color w:val="auto"/>
        </w:rPr>
        <w:t>Adjustment of Conversion Prices Upon Issuance of Additional Shares of Common Stock</w:t>
      </w:r>
      <w:r>
        <w:rPr>
          <w:rFonts w:ascii="Arial" w:cs="Arial" w:eastAsia="Arial" w:hAnsi="Arial"/>
          <w:sz w:val="22"/>
          <w:szCs w:val="22"/>
          <w:color w:val="auto"/>
        </w:rPr>
        <w:t>. In the event the Corporation shall at any time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204"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color w:val="auto"/>
        </w:rPr>
        <w:t xml:space="preserve">Series D-1 Original Issue Date issue Additional Shares of Common Stock (including Additional Shares of Common Stock deemed to be issued pursuant to </w:t>
      </w:r>
      <w:r>
        <w:rPr>
          <w:rFonts w:ascii="Arial" w:cs="Arial" w:eastAsia="Arial" w:hAnsi="Arial"/>
          <w:sz w:val="19"/>
          <w:szCs w:val="19"/>
          <w:u w:val="single" w:color="auto"/>
          <w:color w:val="auto"/>
        </w:rPr>
        <w:t>Subsection 4.4.3</w:t>
      </w:r>
      <w:r>
        <w:rPr>
          <w:rFonts w:ascii="Arial" w:cs="Arial" w:eastAsia="Arial" w:hAnsi="Arial"/>
          <w:sz w:val="19"/>
          <w:szCs w:val="19"/>
          <w:color w:val="auto"/>
        </w:rPr>
        <w:t>), without consideration or for a consideration per share less than the Series A Conversion Price, Series B Conversion Price, Series C Conversion Price, Series D Conversion Price or Series D-1 Conversion Price in effect immediately prior to such issue, then the Series A Conversion Price, Series B Conversion Price, Series C Conversion Price, Series D Conversion Price or Series D-1 Conversion Price, as applicable, shall be reduced, concurrently with such issue, to a price (calculated to the nearest one-hundredth of a cent) determined in accordance with the following formula:</w:t>
      </w:r>
    </w:p>
    <w:p>
      <w:pPr>
        <w:spacing w:after="0" w:line="95"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CP</w:t>
      </w:r>
      <w:r>
        <w:rPr>
          <w:rFonts w:ascii="Arial" w:cs="Arial" w:eastAsia="Arial" w:hAnsi="Arial"/>
          <w:sz w:val="14"/>
          <w:szCs w:val="14"/>
          <w:color w:val="auto"/>
        </w:rPr>
        <w:t>2</w:t>
      </w:r>
      <w:r>
        <w:rPr>
          <w:rFonts w:ascii="Arial" w:cs="Arial" w:eastAsia="Arial" w:hAnsi="Arial"/>
          <w:sz w:val="22"/>
          <w:szCs w:val="22"/>
          <w:color w:val="auto"/>
        </w:rPr>
        <w:t xml:space="preserve"> = CP</w:t>
      </w:r>
      <w:r>
        <w:rPr>
          <w:rFonts w:ascii="Arial" w:cs="Arial" w:eastAsia="Arial" w:hAnsi="Arial"/>
          <w:sz w:val="14"/>
          <w:szCs w:val="14"/>
          <w:color w:val="auto"/>
        </w:rPr>
        <w:t>1</w:t>
      </w:r>
      <w:r>
        <w:rPr>
          <w:rFonts w:ascii="Arial" w:cs="Arial" w:eastAsia="Arial" w:hAnsi="Arial"/>
          <w:sz w:val="22"/>
          <w:szCs w:val="22"/>
          <w:color w:val="auto"/>
        </w:rPr>
        <w:t>* (A + B) ÷ (A + 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foregoing formula, the following definitions shall apply:</w:t>
      </w:r>
    </w:p>
    <w:p>
      <w:pPr>
        <w:spacing w:after="0" w:line="166" w:lineRule="exact"/>
        <w:rPr>
          <w:sz w:val="20"/>
          <w:szCs w:val="20"/>
          <w:color w:val="auto"/>
        </w:rPr>
      </w:pPr>
    </w:p>
    <w:p>
      <w:pPr>
        <w:ind w:left="3900" w:hanging="652"/>
        <w:spacing w:after="0"/>
        <w:tabs>
          <w:tab w:leader="none" w:pos="39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“CP</w:t>
      </w:r>
      <w:r>
        <w:rPr>
          <w:rFonts w:ascii="Arial" w:cs="Arial" w:eastAsia="Arial" w:hAnsi="Arial"/>
          <w:sz w:val="13"/>
          <w:szCs w:val="13"/>
          <w:color w:val="auto"/>
        </w:rPr>
        <w:t>2</w:t>
      </w:r>
      <w:r>
        <w:rPr>
          <w:rFonts w:ascii="Arial" w:cs="Arial" w:eastAsia="Arial" w:hAnsi="Arial"/>
          <w:sz w:val="19"/>
          <w:szCs w:val="19"/>
          <w:color w:val="auto"/>
        </w:rPr>
        <w:t>” shall mean the Series A Conversion Price, Series B Conversion Price, Series</w:t>
      </w:r>
    </w:p>
    <w:p>
      <w:pPr>
        <w:spacing w:after="0" w:line="55" w:lineRule="exact"/>
        <w:rPr>
          <w:rFonts w:ascii="Arial" w:cs="Arial" w:eastAsia="Arial" w:hAnsi="Arial"/>
          <w:sz w:val="19"/>
          <w:szCs w:val="19"/>
          <w:color w:val="auto"/>
        </w:rPr>
      </w:pPr>
    </w:p>
    <w:p>
      <w:pPr>
        <w:ind w:right="280"/>
        <w:spacing w:after="0" w:line="246" w:lineRule="auto"/>
        <w:rPr>
          <w:rFonts w:ascii="Arial" w:cs="Arial" w:eastAsia="Arial" w:hAnsi="Arial"/>
          <w:sz w:val="19"/>
          <w:szCs w:val="19"/>
          <w:color w:val="auto"/>
        </w:rPr>
      </w:pPr>
      <w:r>
        <w:rPr>
          <w:rFonts w:ascii="Arial" w:cs="Arial" w:eastAsia="Arial" w:hAnsi="Arial"/>
          <w:sz w:val="22"/>
          <w:szCs w:val="22"/>
          <w:color w:val="auto"/>
        </w:rPr>
        <w:t>C Conversion Price, Series D Conversion Price or Series D-1 Conversion Price, as applicable, in effect immediately after such issue of Additional Shares of Common Stock</w:t>
      </w:r>
    </w:p>
    <w:p>
      <w:pPr>
        <w:spacing w:after="0" w:line="138" w:lineRule="exact"/>
        <w:rPr>
          <w:rFonts w:ascii="Arial" w:cs="Arial" w:eastAsia="Arial" w:hAnsi="Arial"/>
          <w:sz w:val="19"/>
          <w:szCs w:val="19"/>
          <w:color w:val="auto"/>
        </w:rPr>
      </w:pPr>
    </w:p>
    <w:p>
      <w:pPr>
        <w:ind w:right="20" w:firstLine="3248"/>
        <w:spacing w:after="0" w:line="253" w:lineRule="auto"/>
        <w:tabs>
          <w:tab w:leader="none" w:pos="388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“CP</w:t>
      </w:r>
      <w:r>
        <w:rPr>
          <w:rFonts w:ascii="Arial" w:cs="Arial" w:eastAsia="Arial" w:hAnsi="Arial"/>
          <w:sz w:val="14"/>
          <w:szCs w:val="14"/>
          <w:color w:val="auto"/>
        </w:rPr>
        <w:t>1</w:t>
      </w:r>
      <w:r>
        <w:rPr>
          <w:rFonts w:ascii="Arial" w:cs="Arial" w:eastAsia="Arial" w:hAnsi="Arial"/>
          <w:sz w:val="22"/>
          <w:szCs w:val="22"/>
          <w:color w:val="auto"/>
        </w:rPr>
        <w:t>” shall mean the Series A Conversion Price, Series B Conversion Price, Series C Conversion Price, Series D Conversion Price or Series D-1 Conversion Price, as applicable, in effect immediately prior to such issue of Additional Shares of Common Stock;</w:t>
      </w:r>
    </w:p>
    <w:p>
      <w:pPr>
        <w:spacing w:after="0" w:line="131" w:lineRule="exact"/>
        <w:rPr>
          <w:rFonts w:ascii="Arial" w:cs="Arial" w:eastAsia="Arial" w:hAnsi="Arial"/>
          <w:sz w:val="22"/>
          <w:szCs w:val="22"/>
          <w:color w:val="auto"/>
        </w:rPr>
      </w:pPr>
    </w:p>
    <w:p>
      <w:pPr>
        <w:ind w:left="3900" w:hanging="652"/>
        <w:spacing w:after="0"/>
        <w:tabs>
          <w:tab w:leader="none" w:pos="39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“A” shall mean the number of shares of Common Stock outstanding immediately</w:t>
      </w:r>
    </w:p>
    <w:p>
      <w:pPr>
        <w:spacing w:after="0" w:line="55" w:lineRule="exact"/>
        <w:rPr>
          <w:rFonts w:ascii="Arial" w:cs="Arial" w:eastAsia="Arial" w:hAnsi="Arial"/>
          <w:sz w:val="19"/>
          <w:szCs w:val="19"/>
          <w:color w:val="auto"/>
        </w:rPr>
      </w:pPr>
    </w:p>
    <w:p>
      <w:pPr>
        <w:ind w:right="20"/>
        <w:spacing w:after="0" w:line="244" w:lineRule="auto"/>
        <w:rPr>
          <w:rFonts w:ascii="Arial" w:cs="Arial" w:eastAsia="Arial" w:hAnsi="Arial"/>
          <w:sz w:val="19"/>
          <w:szCs w:val="19"/>
          <w:color w:val="auto"/>
        </w:rPr>
      </w:pPr>
      <w:r>
        <w:rPr>
          <w:rFonts w:ascii="Arial" w:cs="Arial" w:eastAsia="Arial" w:hAnsi="Arial"/>
          <w:sz w:val="22"/>
          <w:szCs w:val="22"/>
          <w:color w:val="auto"/>
        </w:rPr>
        <w:t>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41" w:lineRule="exact"/>
        <w:rPr>
          <w:rFonts w:ascii="Arial" w:cs="Arial" w:eastAsia="Arial" w:hAnsi="Arial"/>
          <w:sz w:val="19"/>
          <w:szCs w:val="19"/>
          <w:color w:val="auto"/>
        </w:rPr>
      </w:pPr>
    </w:p>
    <w:p>
      <w:pPr>
        <w:ind w:left="3900" w:hanging="652"/>
        <w:spacing w:after="0"/>
        <w:tabs>
          <w:tab w:leader="none" w:pos="39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“B” shall mean the number of shares of Common Stock that would have been issued</w:t>
      </w:r>
    </w:p>
    <w:p>
      <w:pPr>
        <w:spacing w:after="0" w:line="55" w:lineRule="exact"/>
        <w:rPr>
          <w:rFonts w:ascii="Arial" w:cs="Arial" w:eastAsia="Arial" w:hAnsi="Arial"/>
          <w:sz w:val="19"/>
          <w:szCs w:val="19"/>
          <w:color w:val="auto"/>
        </w:rPr>
      </w:pPr>
    </w:p>
    <w:p>
      <w:pPr>
        <w:ind w:right="660"/>
        <w:spacing w:after="0" w:line="246" w:lineRule="auto"/>
        <w:rPr>
          <w:rFonts w:ascii="Arial" w:cs="Arial" w:eastAsia="Arial" w:hAnsi="Arial"/>
          <w:sz w:val="19"/>
          <w:szCs w:val="19"/>
          <w:color w:val="auto"/>
        </w:rPr>
      </w:pPr>
      <w:r>
        <w:rPr>
          <w:rFonts w:ascii="Arial" w:cs="Arial" w:eastAsia="Arial" w:hAnsi="Arial"/>
          <w:sz w:val="22"/>
          <w:szCs w:val="22"/>
          <w:color w:val="auto"/>
        </w:rPr>
        <w:t>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22"/>
          <w:szCs w:val="22"/>
          <w:color w:val="auto"/>
        </w:rPr>
        <w:t xml:space="preserve"> (determined by dividing the aggregate consideration received by the Corporation in respect of such issue by CP</w:t>
      </w:r>
      <w:r>
        <w:rPr>
          <w:rFonts w:ascii="Arial" w:cs="Arial" w:eastAsia="Arial" w:hAnsi="Arial"/>
          <w:sz w:val="14"/>
          <w:szCs w:val="14"/>
          <w:color w:val="auto"/>
        </w:rPr>
        <w:t>1</w:t>
      </w:r>
      <w:r>
        <w:rPr>
          <w:rFonts w:ascii="Arial" w:cs="Arial" w:eastAsia="Arial" w:hAnsi="Arial"/>
          <w:sz w:val="22"/>
          <w:szCs w:val="22"/>
          <w:color w:val="auto"/>
        </w:rPr>
        <w:t>); and</w:t>
      </w:r>
    </w:p>
    <w:p>
      <w:pPr>
        <w:spacing w:after="0" w:line="138" w:lineRule="exact"/>
        <w:rPr>
          <w:rFonts w:ascii="Arial" w:cs="Arial" w:eastAsia="Arial" w:hAnsi="Arial"/>
          <w:sz w:val="19"/>
          <w:szCs w:val="19"/>
          <w:color w:val="auto"/>
        </w:rPr>
      </w:pPr>
    </w:p>
    <w:p>
      <w:pPr>
        <w:ind w:left="3900" w:hanging="652"/>
        <w:spacing w:after="0"/>
        <w:tabs>
          <w:tab w:leader="none" w:pos="39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“C” shall mean the number of such Additional Shares of Common Stock issued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transaction.</w:t>
      </w:r>
    </w:p>
    <w:p>
      <w:pPr>
        <w:spacing w:after="0" w:line="148" w:lineRule="exact"/>
        <w:rPr>
          <w:sz w:val="20"/>
          <w:szCs w:val="20"/>
          <w:color w:val="auto"/>
        </w:rPr>
      </w:pPr>
    </w:p>
    <w:p>
      <w:pPr>
        <w:ind w:right="460" w:firstLine="2592"/>
        <w:spacing w:after="0" w:line="343" w:lineRule="auto"/>
        <w:rPr>
          <w:sz w:val="20"/>
          <w:szCs w:val="20"/>
          <w:color w:val="auto"/>
        </w:rPr>
      </w:pPr>
      <w:r>
        <w:rPr>
          <w:rFonts w:ascii="Arial" w:cs="Arial" w:eastAsia="Arial" w:hAnsi="Arial"/>
          <w:sz w:val="19"/>
          <w:szCs w:val="19"/>
          <w:color w:val="auto"/>
        </w:rPr>
        <w:t xml:space="preserve">4.4.5 </w:t>
      </w:r>
      <w:r>
        <w:rPr>
          <w:rFonts w:ascii="Arial" w:cs="Arial" w:eastAsia="Arial" w:hAnsi="Arial"/>
          <w:sz w:val="19"/>
          <w:szCs w:val="19"/>
          <w:u w:val="single" w:color="auto"/>
          <w:color w:val="auto"/>
        </w:rPr>
        <w:t>Determination of Consideration</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Subsection 4.4</w:t>
      </w:r>
      <w:r>
        <w:rPr>
          <w:rFonts w:ascii="Arial" w:cs="Arial" w:eastAsia="Arial" w:hAnsi="Arial"/>
          <w:sz w:val="19"/>
          <w:szCs w:val="19"/>
          <w:color w:val="auto"/>
        </w:rPr>
        <w:t>, the consideration received by the Corporation for the issue of any Additional Shares of Common Stock shall be computed as follows:</w:t>
      </w:r>
    </w:p>
    <w:p>
      <w:pPr>
        <w:spacing w:after="0" w:line="50" w:lineRule="exact"/>
        <w:rPr>
          <w:sz w:val="20"/>
          <w:szCs w:val="20"/>
          <w:color w:val="auto"/>
        </w:rPr>
      </w:pPr>
    </w:p>
    <w:p>
      <w:pPr>
        <w:ind w:left="3900" w:hanging="652"/>
        <w:spacing w:after="0"/>
        <w:tabs>
          <w:tab w:leader="none" w:pos="390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Cash and Property</w:t>
      </w:r>
      <w:r>
        <w:rPr>
          <w:rFonts w:ascii="Arial" w:cs="Arial" w:eastAsia="Arial" w:hAnsi="Arial"/>
          <w:sz w:val="22"/>
          <w:szCs w:val="22"/>
          <w:color w:val="auto"/>
        </w:rPr>
        <w:t>: Such consideration shall:</w:t>
      </w:r>
    </w:p>
    <w:p>
      <w:pPr>
        <w:spacing w:after="0" w:line="165" w:lineRule="exact"/>
        <w:rPr>
          <w:rFonts w:ascii="Arial" w:cs="Arial" w:eastAsia="Arial" w:hAnsi="Arial"/>
          <w:sz w:val="22"/>
          <w:szCs w:val="22"/>
          <w:color w:val="auto"/>
        </w:rPr>
      </w:pPr>
    </w:p>
    <w:p>
      <w:pPr>
        <w:ind w:left="4540" w:right="240" w:hanging="644"/>
        <w:spacing w:after="0" w:line="263" w:lineRule="auto"/>
        <w:tabs>
          <w:tab w:leader="none" w:pos="4528" w:val="left"/>
        </w:tabs>
        <w:numPr>
          <w:ilvl w:val="1"/>
          <w:numId w:val="172"/>
        </w:numPr>
        <w:rPr>
          <w:rFonts w:ascii="Arial" w:cs="Arial" w:eastAsia="Arial" w:hAnsi="Arial"/>
          <w:sz w:val="22"/>
          <w:szCs w:val="22"/>
          <w:color w:val="auto"/>
        </w:rPr>
      </w:pPr>
      <w:r>
        <w:rPr>
          <w:rFonts w:ascii="Arial" w:cs="Arial" w:eastAsia="Arial" w:hAnsi="Arial"/>
          <w:sz w:val="22"/>
          <w:szCs w:val="22"/>
          <w:color w:val="auto"/>
        </w:rPr>
        <w:t>insofar as it consists of cash, be computed at the aggregate amount of cash received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0" w:lineRule="exact"/>
        <w:rPr>
          <w:rFonts w:ascii="Arial" w:cs="Arial" w:eastAsia="Arial" w:hAnsi="Arial"/>
          <w:sz w:val="22"/>
          <w:szCs w:val="22"/>
          <w:color w:val="auto"/>
        </w:rPr>
      </w:pPr>
    </w:p>
    <w:p>
      <w:pPr>
        <w:ind w:left="5520" w:hanging="130"/>
        <w:spacing w:after="0"/>
        <w:tabs>
          <w:tab w:leader="none" w:pos="5520" w:val="left"/>
        </w:tabs>
        <w:numPr>
          <w:ilvl w:val="2"/>
          <w:numId w:val="172"/>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00"/>
          </w:cols>
          <w:pgMar w:left="320" w:top="1440" w:right="379" w:bottom="1440" w:gutter="0" w:footer="0" w:header="0"/>
        </w:sectPr>
      </w:pPr>
    </w:p>
    <w:bookmarkStart w:id="231" w:name="page232"/>
    <w:bookmarkEnd w:id="231"/>
    <w:p>
      <w:pPr>
        <w:spacing w:after="0" w:line="20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the Corporation, excluding amounts paid or payable for accrued interest;</w:t>
      </w:r>
    </w:p>
    <w:p>
      <w:pPr>
        <w:spacing w:after="0" w:line="200" w:lineRule="exact"/>
        <w:rPr>
          <w:sz w:val="20"/>
          <w:szCs w:val="20"/>
          <w:color w:val="auto"/>
        </w:rPr>
      </w:pPr>
    </w:p>
    <w:p>
      <w:pPr>
        <w:ind w:left="4540" w:right="40" w:hanging="644"/>
        <w:spacing w:after="0" w:line="271" w:lineRule="auto"/>
        <w:tabs>
          <w:tab w:leader="none" w:pos="4534" w:val="left"/>
        </w:tabs>
        <w:numPr>
          <w:ilvl w:val="1"/>
          <w:numId w:val="173"/>
        </w:numPr>
        <w:rPr>
          <w:rFonts w:ascii="Arial" w:cs="Arial" w:eastAsia="Arial" w:hAnsi="Arial"/>
          <w:sz w:val="21"/>
          <w:szCs w:val="21"/>
          <w:color w:val="auto"/>
        </w:rPr>
      </w:pPr>
      <w:r>
        <w:rPr>
          <w:rFonts w:ascii="Arial" w:cs="Arial" w:eastAsia="Arial" w:hAnsi="Arial"/>
          <w:sz w:val="21"/>
          <w:szCs w:val="21"/>
          <w:color w:val="auto"/>
        </w:rPr>
        <w:t>insofar as it consists of property other than cash, be computed at the fair market value thereof at the time of such issue, as determined in good faith by the Board of Directors of the Corporation; and</w:t>
      </w:r>
    </w:p>
    <w:p>
      <w:pPr>
        <w:spacing w:after="0" w:line="113" w:lineRule="exact"/>
        <w:rPr>
          <w:rFonts w:ascii="Arial" w:cs="Arial" w:eastAsia="Arial" w:hAnsi="Arial"/>
          <w:sz w:val="21"/>
          <w:szCs w:val="21"/>
          <w:color w:val="auto"/>
        </w:rPr>
      </w:pPr>
    </w:p>
    <w:p>
      <w:pPr>
        <w:ind w:left="4540" w:right="100" w:hanging="644"/>
        <w:spacing w:after="0" w:line="297" w:lineRule="auto"/>
        <w:tabs>
          <w:tab w:leader="none" w:pos="45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92" w:lineRule="exact"/>
        <w:rPr>
          <w:rFonts w:ascii="Arial" w:cs="Arial" w:eastAsia="Arial" w:hAnsi="Arial"/>
          <w:sz w:val="19"/>
          <w:szCs w:val="19"/>
          <w:color w:val="auto"/>
        </w:rPr>
      </w:pPr>
    </w:p>
    <w:p>
      <w:pPr>
        <w:ind w:left="3900" w:hanging="652"/>
        <w:spacing w:after="0"/>
        <w:tabs>
          <w:tab w:leader="none" w:pos="390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Options and Convertible Securities</w:t>
      </w:r>
      <w:r>
        <w:rPr>
          <w:rFonts w:ascii="Arial" w:cs="Arial" w:eastAsia="Arial" w:hAnsi="Arial"/>
          <w:sz w:val="19"/>
          <w:szCs w:val="19"/>
          <w:color w:val="auto"/>
        </w:rPr>
        <w:t>. The consideration per share received by the</w:t>
      </w:r>
    </w:p>
    <w:p>
      <w:pPr>
        <w:spacing w:after="0" w:line="55" w:lineRule="exact"/>
        <w:rPr>
          <w:rFonts w:ascii="Arial" w:cs="Arial" w:eastAsia="Arial" w:hAnsi="Arial"/>
          <w:sz w:val="19"/>
          <w:szCs w:val="19"/>
          <w:color w:val="auto"/>
        </w:rPr>
      </w:pPr>
    </w:p>
    <w:p>
      <w:pPr>
        <w:ind w:right="680"/>
        <w:spacing w:after="0" w:line="246" w:lineRule="auto"/>
        <w:rPr>
          <w:rFonts w:ascii="Arial" w:cs="Arial" w:eastAsia="Arial" w:hAnsi="Arial"/>
          <w:sz w:val="19"/>
          <w:szCs w:val="19"/>
          <w:color w:val="auto"/>
        </w:rPr>
      </w:pPr>
      <w:r>
        <w:rPr>
          <w:rFonts w:ascii="Arial" w:cs="Arial" w:eastAsia="Arial" w:hAnsi="Arial"/>
          <w:sz w:val="22"/>
          <w:szCs w:val="22"/>
          <w:color w:val="auto"/>
        </w:rPr>
        <w:t xml:space="preserve">Corporation for Additional Shares of Common Stock deemed to have been issued pursuant to </w:t>
      </w:r>
      <w:r>
        <w:rPr>
          <w:rFonts w:ascii="Arial" w:cs="Arial" w:eastAsia="Arial" w:hAnsi="Arial"/>
          <w:sz w:val="22"/>
          <w:szCs w:val="22"/>
          <w:u w:val="single" w:color="auto"/>
          <w:color w:val="auto"/>
        </w:rPr>
        <w:t>Subsection 4.4.3</w:t>
      </w:r>
      <w:r>
        <w:rPr>
          <w:rFonts w:ascii="Arial" w:cs="Arial" w:eastAsia="Arial" w:hAnsi="Arial"/>
          <w:sz w:val="22"/>
          <w:szCs w:val="22"/>
          <w:color w:val="auto"/>
        </w:rPr>
        <w:t>, relating to Options and Convertible Securities, shall be determined by dividing:</w:t>
      </w:r>
    </w:p>
    <w:p>
      <w:pPr>
        <w:spacing w:after="0" w:line="138" w:lineRule="exact"/>
        <w:rPr>
          <w:rFonts w:ascii="Arial" w:cs="Arial" w:eastAsia="Arial" w:hAnsi="Arial"/>
          <w:sz w:val="19"/>
          <w:szCs w:val="19"/>
          <w:color w:val="auto"/>
        </w:rPr>
      </w:pPr>
    </w:p>
    <w:p>
      <w:pPr>
        <w:ind w:left="4540" w:hanging="644"/>
        <w:spacing w:after="0" w:line="289" w:lineRule="auto"/>
        <w:tabs>
          <w:tab w:leader="none" w:pos="4528"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02" w:lineRule="exact"/>
        <w:rPr>
          <w:rFonts w:ascii="Arial" w:cs="Arial" w:eastAsia="Arial" w:hAnsi="Arial"/>
          <w:sz w:val="19"/>
          <w:szCs w:val="19"/>
          <w:color w:val="auto"/>
        </w:rPr>
      </w:pPr>
    </w:p>
    <w:p>
      <w:pPr>
        <w:ind w:left="4540" w:right="600" w:hanging="644"/>
        <w:spacing w:after="0" w:line="265" w:lineRule="auto"/>
        <w:tabs>
          <w:tab w:leader="none" w:pos="4534" w:val="left"/>
        </w:tabs>
        <w:numPr>
          <w:ilvl w:val="1"/>
          <w:numId w:val="174"/>
        </w:numPr>
        <w:rPr>
          <w:rFonts w:ascii="Arial" w:cs="Arial" w:eastAsia="Arial" w:hAnsi="Arial"/>
          <w:sz w:val="21"/>
          <w:szCs w:val="21"/>
          <w:color w:val="auto"/>
        </w:rPr>
      </w:pPr>
      <w:r>
        <w:rPr>
          <w:rFonts w:ascii="Arial" w:cs="Arial" w:eastAsia="Arial" w:hAnsi="Arial"/>
          <w:sz w:val="21"/>
          <w:szCs w:val="21"/>
          <w:color w:val="auto"/>
        </w:rPr>
        <w:t>the maximum number of shares of Common Stock (as set forth in the instruments relating thereto, without regard to any provision contained therein for a subsequent adjustment of such number) issuable upon the exercise of such Options or the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60" w:lineRule="exact"/>
        <w:rPr>
          <w:rFonts w:ascii="Arial" w:cs="Arial" w:eastAsia="Arial" w:hAnsi="Arial"/>
          <w:sz w:val="21"/>
          <w:szCs w:val="21"/>
          <w:color w:val="auto"/>
        </w:rPr>
      </w:pPr>
    </w:p>
    <w:p>
      <w:pPr>
        <w:ind w:left="5520" w:hanging="130"/>
        <w:spacing w:after="0"/>
        <w:tabs>
          <w:tab w:leader="none" w:pos="552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4" w:lineRule="exact"/>
        <w:rPr>
          <w:sz w:val="20"/>
          <w:szCs w:val="20"/>
          <w:color w:val="auto"/>
        </w:rPr>
      </w:pPr>
    </w:p>
    <w:p>
      <w:pPr>
        <w:ind w:left="4540" w:right="220"/>
        <w:spacing w:after="0" w:line="250" w:lineRule="auto"/>
        <w:rPr>
          <w:sz w:val="20"/>
          <w:szCs w:val="20"/>
          <w:color w:val="auto"/>
        </w:rPr>
      </w:pPr>
      <w:r>
        <w:rPr>
          <w:rFonts w:ascii="Arial" w:cs="Arial" w:eastAsia="Arial" w:hAnsi="Arial"/>
          <w:sz w:val="22"/>
          <w:szCs w:val="22"/>
          <w:color w:val="auto"/>
        </w:rPr>
        <w:t>conversion or exchange of such Convertible Securities, or in the case of Options for Convertible Securities, the exercise of such Options for Convertible Securities and the conversion or exchange of such Convertible Securities.</w:t>
      </w:r>
    </w:p>
    <w:p>
      <w:pPr>
        <w:spacing w:after="0" w:line="134" w:lineRule="exact"/>
        <w:rPr>
          <w:sz w:val="20"/>
          <w:szCs w:val="20"/>
          <w:color w:val="auto"/>
        </w:rPr>
      </w:pPr>
    </w:p>
    <w:p>
      <w:pPr>
        <w:ind w:firstLine="2592"/>
        <w:spacing w:after="0" w:line="246" w:lineRule="auto"/>
        <w:rPr>
          <w:sz w:val="20"/>
          <w:szCs w:val="20"/>
          <w:color w:val="auto"/>
        </w:rPr>
      </w:pPr>
      <w:r>
        <w:rPr>
          <w:rFonts w:ascii="Arial" w:cs="Arial" w:eastAsia="Arial" w:hAnsi="Arial"/>
          <w:sz w:val="22"/>
          <w:szCs w:val="22"/>
          <w:color w:val="auto"/>
        </w:rPr>
        <w:t xml:space="preserve">4.4.6 </w:t>
      </w:r>
      <w:r>
        <w:rPr>
          <w:rFonts w:ascii="Arial" w:cs="Arial" w:eastAsia="Arial" w:hAnsi="Arial"/>
          <w:sz w:val="22"/>
          <w:szCs w:val="22"/>
          <w:u w:val="single" w:color="auto"/>
          <w:color w:val="auto"/>
        </w:rPr>
        <w:t>Multiple Closing Dates</w:t>
      </w:r>
      <w:r>
        <w:rPr>
          <w:rFonts w:ascii="Arial" w:cs="Arial" w:eastAsia="Arial" w:hAnsi="Arial"/>
          <w:sz w:val="22"/>
          <w:szCs w:val="22"/>
          <w:color w:val="auto"/>
        </w:rPr>
        <w:t xml:space="preserve">. In the event the Corporation shall issue on more than one date Additional Shares of Common Stock that are a part of one transaction or a series of related transactions and that would result in an adjustment to the Series A Conversion Price, Series B Conversion Price, Series C Conversion Price, Series D Conversion Price or Series D-1 Conversion Price pursuant to the terms of </w:t>
      </w:r>
      <w:r>
        <w:rPr>
          <w:rFonts w:ascii="Arial" w:cs="Arial" w:eastAsia="Arial" w:hAnsi="Arial"/>
          <w:sz w:val="22"/>
          <w:szCs w:val="22"/>
          <w:u w:val="single" w:color="auto"/>
          <w:color w:val="auto"/>
        </w:rPr>
        <w:t>Subsection 4.4.4</w:t>
      </w:r>
      <w:r>
        <w:rPr>
          <w:rFonts w:ascii="Arial" w:cs="Arial" w:eastAsia="Arial" w:hAnsi="Arial"/>
          <w:sz w:val="22"/>
          <w:szCs w:val="22"/>
          <w:color w:val="auto"/>
        </w:rPr>
        <w:t>, then, upon the final such issuance, the Series A Conversion Price, Series B Conversion Price, Series C Conversion Price, Series D Conversion Price or Series D-1 Conversion Price, as applicable, shall be readjusted to give effect to all such issuances as if they occurred on the date of the first such issuance (and without giving effect to any additional adjustments as a result of any such subsequent issuances within such period).</w:t>
      </w:r>
    </w:p>
    <w:p>
      <w:pPr>
        <w:spacing w:after="0" w:line="140" w:lineRule="exact"/>
        <w:rPr>
          <w:sz w:val="20"/>
          <w:szCs w:val="20"/>
          <w:color w:val="auto"/>
        </w:rPr>
      </w:pPr>
    </w:p>
    <w:p>
      <w:pPr>
        <w:ind w:right="40" w:firstLine="1944"/>
        <w:spacing w:after="0" w:line="286"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Adjustment for Stock Splits and Combinations</w:t>
      </w:r>
      <w:r>
        <w:rPr>
          <w:rFonts w:ascii="Arial" w:cs="Arial" w:eastAsia="Arial" w:hAnsi="Arial"/>
          <w:sz w:val="19"/>
          <w:szCs w:val="19"/>
          <w:color w:val="auto"/>
        </w:rPr>
        <w:t xml:space="preserve">. If the Corporation shall at any time or from time to time after the Series D-1 Original Issue Date effect a subdivision of the outstanding Common Stock, the Series A Conversion Price, the Series B Conversion Price, the Series C Conversion Price, the Series D Conversion Price and the Series D-1 Conversion Price in effect immediately before that subdivision shall be proportionately decreased so that the number of shares of Class A Common Stock issuable on conversion of each share of such series of Preferred Stock shall be increased in proportion to such increase in the aggregate number of shares of Common Stock outstanding. If the Corporation shall at any time or from time to time after the Series D-1 Original Issue Date combine the outstanding shares of Common Stock, the Series A Conversion Price, the Series B Conversion Price, the Series C Conversion Price, the Series D Conversion Price and the Series D-1 Conversion Price in effect immediately before the combination shall be proportionately increased so that the number of shares of Class A Common Stock issuable on conversion of each share of such series of Preferred Stock shall be decreased in proportion to such decrease in the aggregate number of shares of Common Stock outstanding. Any adjustment under this subsection shall become effective at the close of business on the date the subdivision or combination becomes effective. In no event shall the conversion of shares of Class B Common Stock into shares of Class A Common Stock in accordance with Article Fourth, Section A, Subsection 4 be considered a subdivision or combination of the outstanding shares of Common Stock for purposes of this </w:t>
      </w:r>
      <w:r>
        <w:rPr>
          <w:rFonts w:ascii="Arial" w:cs="Arial" w:eastAsia="Arial" w:hAnsi="Arial"/>
          <w:sz w:val="19"/>
          <w:szCs w:val="19"/>
          <w:u w:val="single" w:color="auto"/>
          <w:color w:val="auto"/>
        </w:rPr>
        <w:t>Subsection 4.5</w:t>
      </w:r>
      <w:r>
        <w:rPr>
          <w:rFonts w:ascii="Arial" w:cs="Arial" w:eastAsia="Arial" w:hAnsi="Arial"/>
          <w:sz w:val="19"/>
          <w:szCs w:val="19"/>
          <w:color w:val="auto"/>
        </w:rPr>
        <w:t>.</w:t>
      </w:r>
    </w:p>
    <w:p>
      <w:pPr>
        <w:spacing w:after="0" w:line="364" w:lineRule="exact"/>
        <w:rPr>
          <w:sz w:val="20"/>
          <w:szCs w:val="20"/>
          <w:color w:val="auto"/>
        </w:rPr>
      </w:pPr>
    </w:p>
    <w:p>
      <w:pPr>
        <w:ind w:right="100" w:firstLine="1944"/>
        <w:spacing w:after="0" w:line="261"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Adjustment for Certain Dividends and Distributions</w:t>
      </w:r>
      <w:r>
        <w:rPr>
          <w:rFonts w:ascii="Arial" w:cs="Arial" w:eastAsia="Arial" w:hAnsi="Arial"/>
          <w:sz w:val="21"/>
          <w:szCs w:val="21"/>
          <w:color w:val="auto"/>
        </w:rPr>
        <w:t>. In the event the Corporation at any time or from time to time after the Series D-1 Original Issue Date shall make or issue, or fix a record date for the determination of holders of Common Stock entitled to receive, a dividend or other distribution payable on the Common Stock in additional shares of Common Stock, then and in each such event the Series A Conversion Price, Series B Conversion Price, Series C Conversion Price, Series D Conversion Price and Series D-1 Conversion Price in effect immediately before such event shall be decreased as of the time of such issuance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event such a record date shall have been fixed, as of the close of business on such record date, by multiplying the Series A Conversion Price, Series B Conversion Price, Series C Conversion Price, Series D Conversion Price and Series D-1 Conversion Price then in effect by a fraction:</w:t>
      </w:r>
    </w:p>
    <w:p>
      <w:pPr>
        <w:spacing w:after="0" w:line="131" w:lineRule="exact"/>
        <w:rPr>
          <w:sz w:val="20"/>
          <w:szCs w:val="20"/>
          <w:color w:val="auto"/>
        </w:rPr>
      </w:pPr>
    </w:p>
    <w:p>
      <w:pPr>
        <w:ind w:right="280" w:firstLine="2600"/>
        <w:spacing w:after="0" w:line="343" w:lineRule="auto"/>
        <w:tabs>
          <w:tab w:leader="none" w:pos="323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numerator of which shall be the total number of shares of Common Stock issued and outstanding immediately prior to the time of such issuance or the close of business on such record date, and</w:t>
      </w:r>
    </w:p>
    <w:p>
      <w:pPr>
        <w:spacing w:after="0" w:line="50" w:lineRule="exact"/>
        <w:rPr>
          <w:rFonts w:ascii="Arial" w:cs="Arial" w:eastAsia="Arial" w:hAnsi="Arial"/>
          <w:sz w:val="19"/>
          <w:szCs w:val="19"/>
          <w:color w:val="auto"/>
        </w:rPr>
      </w:pPr>
    </w:p>
    <w:p>
      <w:pPr>
        <w:jc w:val="both"/>
        <w:ind w:firstLine="2600"/>
        <w:spacing w:after="0" w:line="253" w:lineRule="auto"/>
        <w:tabs>
          <w:tab w:leader="none" w:pos="323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Notwithstanding the foregoing (a) if such record date shall have been fixed and such dividend is not fully paid or if such distribution is not fully made on the date fixed therefor, the Series A Conversion Price, the Series B Conversion Price, the Series C Conversion Price, the Series D Conversion Price and the Series D-1 Conversion Price shall be recomputed accordingly as of the close of business on such record date and thereafter the Series A Conversion Price, the Series B Conversion Price, the Series C Conversion Price, the Series D Conversion Price and the Series D-1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Class A Common Stock as they would have received if all outstanding shares of Preferred Stock had been converted into Class A Common Stock on the date of such event.</w:t>
      </w:r>
    </w:p>
    <w:p>
      <w:pPr>
        <w:spacing w:after="0" w:line="103" w:lineRule="exact"/>
        <w:rPr>
          <w:sz w:val="20"/>
          <w:szCs w:val="20"/>
          <w:color w:val="auto"/>
        </w:rPr>
      </w:pPr>
    </w:p>
    <w:p>
      <w:pPr>
        <w:ind w:right="20" w:firstLine="1944"/>
        <w:spacing w:after="0" w:line="290"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Adjustments for Other Dividends and Distributions</w:t>
      </w:r>
      <w:r>
        <w:rPr>
          <w:rFonts w:ascii="Arial" w:cs="Arial" w:eastAsia="Arial" w:hAnsi="Arial"/>
          <w:sz w:val="19"/>
          <w:szCs w:val="19"/>
          <w:color w:val="auto"/>
        </w:rPr>
        <w:t xml:space="preserve">. In the event the Corporation at any time or from time to time after the Series D-1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Class A Common Stock on the date of such event.</w:t>
      </w:r>
    </w:p>
    <w:p>
      <w:pPr>
        <w:spacing w:after="0" w:line="102" w:lineRule="exact"/>
        <w:rPr>
          <w:sz w:val="20"/>
          <w:szCs w:val="20"/>
          <w:color w:val="auto"/>
        </w:rPr>
      </w:pPr>
    </w:p>
    <w:p>
      <w:pPr>
        <w:ind w:right="60" w:firstLine="1944"/>
        <w:spacing w:after="0" w:line="292"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Adjustment for Merger or Reorganization, etc</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9"/>
          <w:szCs w:val="19"/>
          <w:u w:val="single" w:color="auto"/>
          <w:color w:val="auto"/>
        </w:rPr>
        <w:t>Subsections 4.4</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4.7</w:t>
      </w:r>
      <w:r>
        <w:rPr>
          <w:rFonts w:ascii="Arial" w:cs="Arial" w:eastAsia="Arial" w:hAnsi="Arial"/>
          <w:sz w:val="19"/>
          <w:szCs w:val="19"/>
          <w:color w:val="auto"/>
        </w:rPr>
        <w:t>), then, following any such reorganization, recapitalization, reclassification, consolidation or merger, each share of Preferred Stock shall thereafter be convertible in lieu of the Class A Common Stock into which it was convertible prior to such event into the kind and amount of securities, cash or other property which a holder of the number of shares of Class A Common Stock of the Corporation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60"/>
          </w:cols>
          <w:pgMar w:left="320" w:top="1440" w:right="419" w:bottom="1440" w:gutter="0" w:footer="0" w:header="0"/>
        </w:sectPr>
      </w:pPr>
    </w:p>
    <w:bookmarkStart w:id="234" w:name="page235"/>
    <w:bookmarkEnd w:id="234"/>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the rights and interests thereafter of the holders of the Preferred Stock, to the end that the provisions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(including provisions with respect to changes in and other adjustments of the Series A Conversion Price, the Series B Conversion Price, the Series C Conversion Price, the Series D Conversion Price or the Series D-1 Conversion Price, as applicable)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9"/>
          <w:szCs w:val="19"/>
          <w:u w:val="single" w:color="auto"/>
          <w:color w:val="auto"/>
        </w:rPr>
        <w:t>Subsection 4.8</w:t>
      </w:r>
      <w:r>
        <w:rPr>
          <w:rFonts w:ascii="Arial" w:cs="Arial" w:eastAsia="Arial" w:hAnsi="Arial"/>
          <w:sz w:val="19"/>
          <w:szCs w:val="19"/>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9"/>
          <w:szCs w:val="19"/>
          <w:u w:val="single" w:color="auto"/>
          <w:color w:val="auto"/>
        </w:rPr>
        <w:t>Subsection 4.8</w:t>
      </w:r>
      <w:r>
        <w:rPr>
          <w:rFonts w:ascii="Arial" w:cs="Arial" w:eastAsia="Arial" w:hAnsi="Arial"/>
          <w:sz w:val="19"/>
          <w:szCs w:val="19"/>
          <w:color w:val="auto"/>
        </w:rPr>
        <w:t xml:space="preserve"> be deemed conclusive evidence of the fair value of the shares of Preferred Stock in any such appraisal proceeding.</w:t>
      </w:r>
    </w:p>
    <w:p>
      <w:pPr>
        <w:spacing w:after="0" w:line="109" w:lineRule="exact"/>
        <w:rPr>
          <w:sz w:val="20"/>
          <w:szCs w:val="20"/>
          <w:color w:val="auto"/>
        </w:rPr>
      </w:pPr>
    </w:p>
    <w:p>
      <w:pPr>
        <w:ind w:right="60" w:firstLine="1944"/>
        <w:spacing w:after="0" w:line="287"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Certificate as to Adjustments</w:t>
      </w:r>
      <w:r>
        <w:rPr>
          <w:rFonts w:ascii="Arial" w:cs="Arial" w:eastAsia="Arial" w:hAnsi="Arial"/>
          <w:sz w:val="19"/>
          <w:szCs w:val="19"/>
          <w:color w:val="auto"/>
        </w:rPr>
        <w:t xml:space="preserve">. Upon the occurrence of each adjustment or readjustment of the Series A Conversion Price, Series B Conversion Price, Series C Conversion Price, Series D Conversion Price or Series D-1 Conversion Price pursuant to this </w:t>
      </w:r>
      <w:r>
        <w:rPr>
          <w:rFonts w:ascii="Arial" w:cs="Arial" w:eastAsia="Arial" w:hAnsi="Arial"/>
          <w:sz w:val="19"/>
          <w:szCs w:val="19"/>
          <w:u w:val="single" w:color="auto"/>
          <w:color w:val="auto"/>
        </w:rPr>
        <w:t>Section 4</w:t>
      </w:r>
      <w:r>
        <w:rPr>
          <w:rFonts w:ascii="Arial" w:cs="Arial" w:eastAsia="Arial" w:hAnsi="Arial"/>
          <w:sz w:val="19"/>
          <w:szCs w:val="19"/>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Series A Conversion Price, Series B Conversion Price, Series C Conversion Price, Series D Conversion Price and Series D-1 Conversion Price then in effect, and (ii) the number of shares of Class A Common Stock and the amount, if any, of other securities, cash or property which then would be received upon the conversion of Preferred Stock.</w:t>
      </w:r>
    </w:p>
    <w:p>
      <w:pPr>
        <w:spacing w:after="0" w:line="36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u w:val="single" w:color="auto"/>
          <w:color w:val="auto"/>
        </w:rPr>
        <w:t>Notice of Record Date</w:t>
      </w:r>
      <w:r>
        <w:rPr>
          <w:rFonts w:ascii="Arial" w:cs="Arial" w:eastAsia="Arial" w:hAnsi="Arial"/>
          <w:sz w:val="19"/>
          <w:szCs w:val="19"/>
          <w:color w:val="auto"/>
        </w:rPr>
        <w:t>. In the event:</w:t>
      </w:r>
    </w:p>
    <w:p>
      <w:pPr>
        <w:spacing w:after="0" w:line="166" w:lineRule="exact"/>
        <w:rPr>
          <w:sz w:val="20"/>
          <w:szCs w:val="20"/>
          <w:color w:val="auto"/>
        </w:rPr>
      </w:pPr>
    </w:p>
    <w:p>
      <w:pPr>
        <w:jc w:val="both"/>
        <w:ind w:right="140" w:firstLine="3248"/>
        <w:spacing w:after="0" w:line="250" w:lineRule="auto"/>
        <w:tabs>
          <w:tab w:leader="none" w:pos="388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33" w:lineRule="exact"/>
        <w:rPr>
          <w:rFonts w:ascii="Arial" w:cs="Arial" w:eastAsia="Arial" w:hAnsi="Arial"/>
          <w:sz w:val="22"/>
          <w:szCs w:val="22"/>
          <w:color w:val="auto"/>
        </w:rPr>
      </w:pPr>
    </w:p>
    <w:p>
      <w:pPr>
        <w:ind w:right="40" w:firstLine="3248"/>
        <w:spacing w:after="0" w:line="263" w:lineRule="auto"/>
        <w:tabs>
          <w:tab w:leader="none" w:pos="388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of any capital reorganization of the Corporation, any reclassification of the Common Stock of the Corporation, or any Deemed Liquidation Event; or</w:t>
      </w:r>
    </w:p>
    <w:p>
      <w:pPr>
        <w:spacing w:after="0" w:line="120" w:lineRule="exact"/>
        <w:rPr>
          <w:rFonts w:ascii="Arial" w:cs="Arial" w:eastAsia="Arial" w:hAnsi="Arial"/>
          <w:sz w:val="22"/>
          <w:szCs w:val="22"/>
          <w:color w:val="auto"/>
        </w:rPr>
      </w:pPr>
    </w:p>
    <w:p>
      <w:pPr>
        <w:ind w:left="3900" w:hanging="652"/>
        <w:spacing w:after="0"/>
        <w:tabs>
          <w:tab w:leader="none" w:pos="39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of the voluntary or involuntary dissolution, liquidation or winding-up of the</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Corporation,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7" w:lineRule="exact"/>
        <w:rPr>
          <w:rFonts w:ascii="Arial" w:cs="Arial" w:eastAsia="Arial" w:hAnsi="Arial"/>
          <w:sz w:val="22"/>
          <w:szCs w:val="22"/>
          <w:color w:val="auto"/>
        </w:rPr>
      </w:pPr>
    </w:p>
    <w:p>
      <w:pPr>
        <w:ind w:left="5520" w:hanging="130"/>
        <w:spacing w:after="0"/>
        <w:tabs>
          <w:tab w:leader="none" w:pos="55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Class A Common Stock (or such other capital stock or securities at the time issuable upon the conversion of the Preferred Stock) shall be entitled to exchange their shares of Class A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Class A Common Stock. Such notice shall be sent at least ten (10) days prior to the record date or effective date for the event specified in such notice.</w:t>
      </w:r>
    </w:p>
    <w:p>
      <w:pPr>
        <w:spacing w:after="0" w:line="131" w:lineRule="exact"/>
        <w:rPr>
          <w:sz w:val="20"/>
          <w:szCs w:val="20"/>
          <w:color w:val="auto"/>
        </w:rPr>
      </w:pPr>
    </w:p>
    <w:p>
      <w:pPr>
        <w:ind w:left="1960" w:hanging="656"/>
        <w:spacing w:after="0"/>
        <w:tabs>
          <w:tab w:leader="none" w:pos="19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Mandatory Conversion</w:t>
      </w:r>
      <w:r>
        <w:rPr>
          <w:rFonts w:ascii="Arial" w:cs="Arial" w:eastAsia="Arial" w:hAnsi="Arial"/>
          <w:sz w:val="22"/>
          <w:szCs w:val="22"/>
          <w:color w:val="auto"/>
        </w:rPr>
        <w:t>.</w:t>
      </w:r>
    </w:p>
    <w:p>
      <w:pPr>
        <w:spacing w:after="0" w:line="166" w:lineRule="exact"/>
        <w:rPr>
          <w:sz w:val="20"/>
          <w:szCs w:val="20"/>
          <w:color w:val="auto"/>
        </w:rPr>
      </w:pPr>
    </w:p>
    <w:p>
      <w:pPr>
        <w:ind w:right="140" w:firstLine="1944"/>
        <w:spacing w:after="0" w:line="28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Trigger Events</w:t>
      </w:r>
      <w:r>
        <w:rPr>
          <w:rFonts w:ascii="Arial" w:cs="Arial" w:eastAsia="Arial" w:hAnsi="Arial"/>
          <w:sz w:val="19"/>
          <w:szCs w:val="19"/>
          <w:color w:val="auto"/>
        </w:rPr>
        <w:t>. Upon either (a) a Qualified Public Offering or (b) the date and time, or the occurrence of an event, specified by vote or written consent of the holders of at least a majority of the then outstanding shares of Preferred Stock voting as a single class on an as-converted basis (the time of such closing or the date and time specified or the time of the event specified in such vote or written consent is referred to herein as the “</w:t>
      </w:r>
      <w:r>
        <w:rPr>
          <w:rFonts w:ascii="Arial" w:cs="Arial" w:eastAsia="Arial" w:hAnsi="Arial"/>
          <w:sz w:val="19"/>
          <w:szCs w:val="19"/>
          <w:b w:val="1"/>
          <w:bCs w:val="1"/>
          <w:color w:val="auto"/>
        </w:rPr>
        <w:t>Mandatory Conversion Time</w:t>
      </w:r>
      <w:r>
        <w:rPr>
          <w:rFonts w:ascii="Arial" w:cs="Arial" w:eastAsia="Arial" w:hAnsi="Arial"/>
          <w:sz w:val="19"/>
          <w:szCs w:val="19"/>
          <w:color w:val="auto"/>
        </w:rPr>
        <w:t>”), then</w:t>
      </w:r>
    </w:p>
    <w:p>
      <w:pPr>
        <w:spacing w:after="0" w:line="3" w:lineRule="exact"/>
        <w:rPr>
          <w:sz w:val="20"/>
          <w:szCs w:val="20"/>
          <w:color w:val="auto"/>
        </w:rPr>
      </w:pPr>
    </w:p>
    <w:p>
      <w:pPr>
        <w:ind w:right="80" w:firstLine="8"/>
        <w:spacing w:after="0" w:line="245" w:lineRule="auto"/>
        <w:tabs>
          <w:tab w:leader="none" w:pos="25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all outstanding shares of Preferred Stock shall automatically be converted into shares of Class A Common Stock, at the then effective conversion rate as calculated pursuant to </w:t>
      </w:r>
      <w:r>
        <w:rPr>
          <w:rFonts w:ascii="Arial" w:cs="Arial" w:eastAsia="Arial" w:hAnsi="Arial"/>
          <w:sz w:val="22"/>
          <w:szCs w:val="22"/>
          <w:u w:val="single" w:color="auto"/>
          <w:color w:val="auto"/>
        </w:rPr>
        <w:t>Subsection 4.1.1</w:t>
      </w:r>
      <w:r>
        <w:rPr>
          <w:rFonts w:ascii="Arial" w:cs="Arial" w:eastAsia="Arial" w:hAnsi="Arial"/>
          <w:sz w:val="22"/>
          <w:szCs w:val="22"/>
          <w:color w:val="auto"/>
        </w:rPr>
        <w:t xml:space="preserve"> (the “</w:t>
      </w:r>
      <w:r>
        <w:rPr>
          <w:rFonts w:ascii="Arial" w:cs="Arial" w:eastAsia="Arial" w:hAnsi="Arial"/>
          <w:sz w:val="22"/>
          <w:szCs w:val="22"/>
          <w:b w:val="1"/>
          <w:bCs w:val="1"/>
          <w:color w:val="auto"/>
        </w:rPr>
        <w:t>Mandatory Conversion</w:t>
      </w:r>
      <w:r>
        <w:rPr>
          <w:rFonts w:ascii="Arial" w:cs="Arial" w:eastAsia="Arial" w:hAnsi="Arial"/>
          <w:sz w:val="22"/>
          <w:szCs w:val="22"/>
          <w:color w:val="auto"/>
        </w:rPr>
        <w:t>”) and (ii) such shares may not be reissued by the Corporation.</w:t>
      </w:r>
    </w:p>
    <w:p>
      <w:pPr>
        <w:spacing w:after="0" w:line="139" w:lineRule="exact"/>
        <w:rPr>
          <w:sz w:val="20"/>
          <w:szCs w:val="20"/>
          <w:color w:val="auto"/>
        </w:rPr>
      </w:pPr>
    </w:p>
    <w:p>
      <w:pPr>
        <w:ind w:firstLine="1944"/>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Procedural Requirements</w:t>
      </w:r>
      <w:r>
        <w:rPr>
          <w:rFonts w:ascii="Arial" w:cs="Arial" w:eastAsia="Arial" w:hAnsi="Arial"/>
          <w:sz w:val="19"/>
          <w:szCs w:val="19"/>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9"/>
          <w:szCs w:val="19"/>
          <w:u w:val="single" w:color="auto"/>
          <w:color w:val="auto"/>
        </w:rPr>
        <w:t>Subsection 5.1</w:t>
      </w:r>
      <w:r>
        <w:rPr>
          <w:rFonts w:ascii="Arial" w:cs="Arial" w:eastAsia="Arial" w:hAnsi="Arial"/>
          <w:sz w:val="19"/>
          <w:szCs w:val="19"/>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9"/>
          <w:szCs w:val="19"/>
          <w:u w:val="single" w:color="auto"/>
          <w:color w:val="auto"/>
        </w:rPr>
        <w:t>Subsection 5.2</w:t>
      </w:r>
      <w:r>
        <w:rPr>
          <w:rFonts w:ascii="Arial" w:cs="Arial" w:eastAsia="Arial" w:hAnsi="Arial"/>
          <w:sz w:val="19"/>
          <w:szCs w:val="19"/>
          <w:color w:val="auto"/>
        </w:rPr>
        <w:t>. As soon as practicable after the Mandatory Conversion Time and, if applicable, the surrender of any certificate or certificates (or lost certificate affidavit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 xml:space="preserve">agreement) for Preferred Stock, the Corporation shall (a) issue and deliver to such holder, or to his, her or its nominees, a certificate or certificates for the number of full shares of Class A Common Stock issuable on such conversion in accordance with the provisions hereof and (b) pay cash as provided in </w:t>
      </w:r>
      <w:r>
        <w:rPr>
          <w:rFonts w:ascii="Arial" w:cs="Arial" w:eastAsia="Arial" w:hAnsi="Arial"/>
          <w:sz w:val="21"/>
          <w:szCs w:val="21"/>
          <w:u w:val="single" w:color="auto"/>
          <w:color w:val="auto"/>
        </w:rPr>
        <w:t>Subsection 4.2</w:t>
      </w:r>
      <w:r>
        <w:rPr>
          <w:rFonts w:ascii="Arial" w:cs="Arial" w:eastAsia="Arial" w:hAnsi="Arial"/>
          <w:sz w:val="21"/>
          <w:szCs w:val="21"/>
          <w:color w:val="auto"/>
        </w:rPr>
        <w:t xml:space="preserve"> in lieu of any fraction of a share of Class A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6" w:lineRule="exact"/>
        <w:rPr>
          <w:sz w:val="20"/>
          <w:szCs w:val="20"/>
          <w:color w:val="auto"/>
        </w:rPr>
      </w:pPr>
    </w:p>
    <w:p>
      <w:pPr>
        <w:ind w:right="280" w:firstLine="1304"/>
        <w:spacing w:after="0" w:line="312" w:lineRule="auto"/>
        <w:tabs>
          <w:tab w:leader="none" w:pos="1944"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Acquired Shares</w:t>
      </w:r>
      <w:r>
        <w:rPr>
          <w:rFonts w:ascii="Arial" w:cs="Arial" w:eastAsia="Arial" w:hAnsi="Arial"/>
          <w:sz w:val="19"/>
          <w:szCs w:val="19"/>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w:t>
      </w:r>
    </w:p>
    <w:p>
      <w:pPr>
        <w:spacing w:after="0" w:line="79" w:lineRule="exact"/>
        <w:rPr>
          <w:rFonts w:ascii="Arial" w:cs="Arial" w:eastAsia="Arial" w:hAnsi="Arial"/>
          <w:sz w:val="19"/>
          <w:szCs w:val="19"/>
          <w:color w:val="auto"/>
        </w:rPr>
      </w:pPr>
    </w:p>
    <w:p>
      <w:pPr>
        <w:ind w:right="100" w:firstLine="1304"/>
        <w:spacing w:after="0" w:line="265" w:lineRule="auto"/>
        <w:tabs>
          <w:tab w:leader="none" w:pos="1944"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xml:space="preserve">. Except as otherwise provided in this Amended and Restated Certificate of Incorporation (including, without limitation, </w:t>
      </w:r>
      <w:r>
        <w:rPr>
          <w:rFonts w:ascii="Arial" w:cs="Arial" w:eastAsia="Arial" w:hAnsi="Arial"/>
          <w:sz w:val="21"/>
          <w:szCs w:val="21"/>
          <w:u w:val="single" w:color="auto"/>
          <w:color w:val="auto"/>
        </w:rPr>
        <w:t>Sections 3.4</w:t>
      </w:r>
      <w:r>
        <w:rPr>
          <w:rFonts w:ascii="Arial" w:cs="Arial" w:eastAsia="Arial" w:hAnsi="Arial"/>
          <w:sz w:val="21"/>
          <w:szCs w:val="21"/>
          <w:color w:val="auto"/>
        </w:rPr>
        <w:t xml:space="preserve">, </w:t>
      </w:r>
      <w:r>
        <w:rPr>
          <w:rFonts w:ascii="Arial" w:cs="Arial" w:eastAsia="Arial" w:hAnsi="Arial"/>
          <w:sz w:val="21"/>
          <w:szCs w:val="21"/>
          <w:u w:val="single" w:color="auto"/>
          <w:color w:val="auto"/>
        </w:rPr>
        <w:t>3.5</w:t>
      </w:r>
      <w:r>
        <w:rPr>
          <w:rFonts w:ascii="Arial" w:cs="Arial" w:eastAsia="Arial" w:hAnsi="Arial"/>
          <w:sz w:val="21"/>
          <w:szCs w:val="21"/>
          <w:color w:val="auto"/>
        </w:rPr>
        <w:t xml:space="preserve">, </w:t>
      </w:r>
      <w:r>
        <w:rPr>
          <w:rFonts w:ascii="Arial" w:cs="Arial" w:eastAsia="Arial" w:hAnsi="Arial"/>
          <w:sz w:val="21"/>
          <w:szCs w:val="21"/>
          <w:u w:val="single" w:color="auto"/>
          <w:color w:val="auto"/>
        </w:rPr>
        <w:t>3.6</w:t>
      </w:r>
      <w:r>
        <w:rPr>
          <w:rFonts w:ascii="Arial" w:cs="Arial" w:eastAsia="Arial" w:hAnsi="Arial"/>
          <w:sz w:val="21"/>
          <w:szCs w:val="21"/>
          <w:color w:val="auto"/>
        </w:rPr>
        <w:t xml:space="preserve">, </w:t>
      </w:r>
      <w:r>
        <w:rPr>
          <w:rFonts w:ascii="Arial" w:cs="Arial" w:eastAsia="Arial" w:hAnsi="Arial"/>
          <w:sz w:val="21"/>
          <w:szCs w:val="21"/>
          <w:u w:val="single" w:color="auto"/>
          <w:color w:val="auto"/>
        </w:rPr>
        <w:t>3.7</w:t>
      </w:r>
      <w:r>
        <w:rPr>
          <w:rFonts w:ascii="Arial" w:cs="Arial" w:eastAsia="Arial" w:hAnsi="Arial"/>
          <w:sz w:val="21"/>
          <w:szCs w:val="21"/>
          <w:color w:val="auto"/>
        </w:rPr>
        <w:t xml:space="preserve">, </w:t>
      </w:r>
      <w:r>
        <w:rPr>
          <w:rFonts w:ascii="Arial" w:cs="Arial" w:eastAsia="Arial" w:hAnsi="Arial"/>
          <w:sz w:val="21"/>
          <w:szCs w:val="21"/>
          <w:u w:val="single" w:color="auto"/>
          <w:color w:val="auto"/>
        </w:rPr>
        <w:t>3.8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4.4.2</w:t>
      </w:r>
      <w:r>
        <w:rPr>
          <w:rFonts w:ascii="Arial" w:cs="Arial" w:eastAsia="Arial" w:hAnsi="Arial"/>
          <w:sz w:val="21"/>
          <w:szCs w:val="21"/>
          <w:color w:val="auto"/>
        </w:rPr>
        <w:t>), any of the rights, powers, preferences and other terms of the Preferred Stock set forth herein may be waived on behalf of all holders of Preferred Stock by the affirmative written consent or vote of the holders of at least a majority of the shares of Preferred Stock then outstanding.</w:t>
      </w:r>
    </w:p>
    <w:p>
      <w:pPr>
        <w:spacing w:after="0" w:line="121" w:lineRule="exact"/>
        <w:rPr>
          <w:rFonts w:ascii="Arial" w:cs="Arial" w:eastAsia="Arial" w:hAnsi="Arial"/>
          <w:sz w:val="21"/>
          <w:szCs w:val="21"/>
          <w:color w:val="auto"/>
        </w:rPr>
      </w:pPr>
    </w:p>
    <w:p>
      <w:pPr>
        <w:jc w:val="both"/>
        <w:ind w:firstLine="1304"/>
        <w:spacing w:after="0" w:line="250" w:lineRule="auto"/>
        <w:tabs>
          <w:tab w:leader="none" w:pos="1944"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28" w:lineRule="exact"/>
        <w:rPr>
          <w:sz w:val="20"/>
          <w:szCs w:val="20"/>
          <w:color w:val="auto"/>
        </w:rPr>
      </w:pPr>
    </w:p>
    <w:p>
      <w:pPr>
        <w:jc w:val="both"/>
        <w:ind w:right="160" w:firstLine="1296"/>
        <w:spacing w:after="0" w:line="256" w:lineRule="auto"/>
        <w:rPr>
          <w:sz w:val="20"/>
          <w:szCs w:val="20"/>
          <w:color w:val="auto"/>
        </w:rPr>
      </w:pPr>
      <w:r>
        <w:rPr>
          <w:rFonts w:ascii="Arial" w:cs="Arial" w:eastAsia="Arial" w:hAnsi="Arial"/>
          <w:sz w:val="22"/>
          <w:szCs w:val="22"/>
          <w:b w:val="1"/>
          <w:bCs w:val="1"/>
          <w:color w:val="auto"/>
        </w:rPr>
        <w:t xml:space="preserve">FIFTH: </w:t>
      </w:r>
      <w:r>
        <w:rPr>
          <w:rFonts w:ascii="Arial" w:cs="Arial" w:eastAsia="Arial" w:hAnsi="Arial"/>
          <w:sz w:val="22"/>
          <w:szCs w:val="22"/>
          <w:color w:val="auto"/>
        </w:rPr>
        <w:t>Subject to any additional vote required by the Certificate of Incorporation or Bylaws, in furtherance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not in limitation of the powers conferred by statute, the Board of Directors is expressly authorized to make, repeal, alter, amend and rescind any or all of the Bylaws of the Corporation.</w:t>
      </w:r>
    </w:p>
    <w:p>
      <w:pPr>
        <w:spacing w:after="0" w:line="122" w:lineRule="exact"/>
        <w:rPr>
          <w:sz w:val="20"/>
          <w:szCs w:val="20"/>
          <w:color w:val="auto"/>
        </w:rPr>
      </w:pPr>
    </w:p>
    <w:p>
      <w:pPr>
        <w:ind w:right="80" w:firstLine="1296"/>
        <w:spacing w:after="0" w:line="269" w:lineRule="auto"/>
        <w:rPr>
          <w:sz w:val="20"/>
          <w:szCs w:val="20"/>
          <w:color w:val="auto"/>
        </w:rPr>
      </w:pPr>
      <w:r>
        <w:rPr>
          <w:rFonts w:ascii="Arial" w:cs="Arial" w:eastAsia="Arial" w:hAnsi="Arial"/>
          <w:sz w:val="22"/>
          <w:szCs w:val="22"/>
          <w:b w:val="1"/>
          <w:bCs w:val="1"/>
          <w:color w:val="auto"/>
        </w:rPr>
        <w:t xml:space="preserve">SIXTH: </w:t>
      </w:r>
      <w:r>
        <w:rPr>
          <w:rFonts w:ascii="Arial" w:cs="Arial" w:eastAsia="Arial" w:hAnsi="Arial"/>
          <w:sz w:val="22"/>
          <w:szCs w:val="22"/>
          <w:color w:val="auto"/>
        </w:rPr>
        <w:t>Subject to any additional vote required by the Certificate of Incorporation, the number of directors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shall be determined in the manner set forth in the Bylaws of the Corporation.</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SEVENTH: </w:t>
      </w:r>
      <w:r>
        <w:rPr>
          <w:rFonts w:ascii="Arial" w:cs="Arial" w:eastAsia="Arial" w:hAnsi="Arial"/>
          <w:sz w:val="19"/>
          <w:szCs w:val="19"/>
          <w:color w:val="auto"/>
        </w:rPr>
        <w:t>Elections of directors need not be by written ballot unless the Bylaws of the Corporation shall so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provide.</w:t>
      </w:r>
    </w:p>
    <w:p>
      <w:pPr>
        <w:spacing w:after="0" w:line="142" w:lineRule="exact"/>
        <w:rPr>
          <w:sz w:val="20"/>
          <w:szCs w:val="20"/>
          <w:color w:val="auto"/>
        </w:rPr>
      </w:pPr>
    </w:p>
    <w:p>
      <w:pPr>
        <w:ind w:right="20" w:firstLine="1296"/>
        <w:spacing w:after="0" w:line="274" w:lineRule="auto"/>
        <w:rPr>
          <w:sz w:val="20"/>
          <w:szCs w:val="20"/>
          <w:color w:val="auto"/>
        </w:rPr>
      </w:pPr>
      <w:r>
        <w:rPr>
          <w:rFonts w:ascii="Arial" w:cs="Arial" w:eastAsia="Arial" w:hAnsi="Arial"/>
          <w:sz w:val="21"/>
          <w:szCs w:val="21"/>
          <w:b w:val="1"/>
          <w:bCs w:val="1"/>
          <w:color w:val="auto"/>
        </w:rPr>
        <w:t xml:space="preserve">EIGHTH: </w:t>
      </w:r>
      <w:r>
        <w:rPr>
          <w:rFonts w:ascii="Arial" w:cs="Arial" w:eastAsia="Arial" w:hAnsi="Arial"/>
          <w:sz w:val="21"/>
          <w:szCs w:val="21"/>
          <w:color w:val="auto"/>
        </w:rPr>
        <w:t>Meetings of stockholders may be held within or without the State of Delaware, as the Bylaws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may provide. The books of the Corporation may be kept outside the State of Delaware at such place or places as may be designated from time to time by the Board of Directors or in the Bylaws of the Corporation.</w:t>
      </w:r>
    </w:p>
    <w:p>
      <w:pPr>
        <w:spacing w:after="0" w:line="104" w:lineRule="exact"/>
        <w:rPr>
          <w:sz w:val="20"/>
          <w:szCs w:val="20"/>
          <w:color w:val="auto"/>
        </w:rPr>
      </w:pPr>
    </w:p>
    <w:p>
      <w:pPr>
        <w:jc w:val="both"/>
        <w:ind w:right="180" w:firstLine="1296"/>
        <w:spacing w:after="0" w:line="256" w:lineRule="auto"/>
        <w:rPr>
          <w:sz w:val="20"/>
          <w:szCs w:val="20"/>
          <w:color w:val="auto"/>
        </w:rPr>
      </w:pPr>
      <w:r>
        <w:rPr>
          <w:rFonts w:ascii="Arial" w:cs="Arial" w:eastAsia="Arial" w:hAnsi="Arial"/>
          <w:sz w:val="22"/>
          <w:szCs w:val="22"/>
          <w:b w:val="1"/>
          <w:bCs w:val="1"/>
          <w:color w:val="auto"/>
        </w:rPr>
        <w:t xml:space="preserve">NINTH: </w:t>
      </w:r>
      <w:r>
        <w:rPr>
          <w:rFonts w:ascii="Arial" w:cs="Arial" w:eastAsia="Arial" w:hAnsi="Arial"/>
          <w:sz w:val="22"/>
          <w:szCs w:val="22"/>
          <w:color w:val="auto"/>
        </w:rPr>
        <w:t>To the fullest extent permitted by law, a director of the Corporation shall not be personally liable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its stockholders for monetary damages for breach of fiduciary duty as a director. If the General Corporation Law or any other law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3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73" w:lineRule="exact"/>
        <w:rPr>
          <w:sz w:val="20"/>
          <w:szCs w:val="20"/>
          <w:color w:val="auto"/>
        </w:rPr>
      </w:pPr>
    </w:p>
    <w:p>
      <w:pPr>
        <w:ind w:right="20" w:firstLine="1296"/>
        <w:spacing w:after="0" w:line="264" w:lineRule="auto"/>
        <w:rPr>
          <w:sz w:val="20"/>
          <w:szCs w:val="20"/>
          <w:color w:val="auto"/>
        </w:rPr>
      </w:pPr>
      <w:r>
        <w:rPr>
          <w:rFonts w:ascii="Arial" w:cs="Arial" w:eastAsia="Arial" w:hAnsi="Arial"/>
          <w:sz w:val="21"/>
          <w:szCs w:val="21"/>
          <w:b w:val="1"/>
          <w:bCs w:val="1"/>
          <w:color w:val="auto"/>
        </w:rPr>
        <w:t xml:space="preserve">TENTH: </w:t>
      </w:r>
      <w:r>
        <w:rPr>
          <w:rFonts w:ascii="Arial" w:cs="Arial" w:eastAsia="Arial" w:hAnsi="Arial"/>
          <w:sz w:val="21"/>
          <w:szCs w:val="21"/>
          <w:color w:val="auto"/>
        </w:rPr>
        <w:t>To the fullest extent permitted by applicable law, the Corporation is authorized to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21"/>
          <w:szCs w:val="21"/>
          <w:u w:val="single" w:color="auto"/>
          <w:color w:val="auto"/>
        </w:rPr>
        <w:t>Section 145</w:t>
      </w:r>
      <w:r>
        <w:rPr>
          <w:rFonts w:ascii="Arial" w:cs="Arial" w:eastAsia="Arial" w:hAnsi="Arial"/>
          <w:sz w:val="21"/>
          <w:szCs w:val="21"/>
          <w:color w:val="auto"/>
        </w:rPr>
        <w:t xml:space="preserve"> of the General Corporation Law.</w:t>
      </w:r>
    </w:p>
    <w:p>
      <w:pPr>
        <w:spacing w:after="0" w:line="122"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25" w:lineRule="exact"/>
        <w:rPr>
          <w:sz w:val="20"/>
          <w:szCs w:val="20"/>
          <w:color w:val="auto"/>
        </w:rPr>
      </w:pPr>
    </w:p>
    <w:p>
      <w:pPr>
        <w:ind w:right="20" w:firstLine="1296"/>
        <w:spacing w:after="0" w:line="291" w:lineRule="auto"/>
        <w:rPr>
          <w:sz w:val="20"/>
          <w:szCs w:val="20"/>
          <w:color w:val="auto"/>
        </w:rPr>
      </w:pPr>
      <w:r>
        <w:rPr>
          <w:rFonts w:ascii="Arial" w:cs="Arial" w:eastAsia="Arial" w:hAnsi="Arial"/>
          <w:sz w:val="19"/>
          <w:szCs w:val="19"/>
          <w:b w:val="1"/>
          <w:bCs w:val="1"/>
          <w:color w:val="auto"/>
        </w:rPr>
        <w:t xml:space="preserve">ELEVENTH: </w:t>
      </w:r>
      <w:r>
        <w:rPr>
          <w:rFonts w:ascii="Arial" w:cs="Arial" w:eastAsia="Arial" w:hAnsi="Arial"/>
          <w:sz w:val="19"/>
          <w:szCs w:val="19"/>
          <w:color w:val="auto"/>
        </w:rPr>
        <w:t>The Corporation renounces, to the fullest extent permitted by law, any interest or expectancy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in, or in being offered an opportunity to participate in, any Excluded Opportunity. An “</w:t>
      </w:r>
      <w:r>
        <w:rPr>
          <w:rFonts w:ascii="Arial" w:cs="Arial" w:eastAsia="Arial" w:hAnsi="Arial"/>
          <w:sz w:val="19"/>
          <w:szCs w:val="19"/>
          <w:b w:val="1"/>
          <w:bCs w:val="1"/>
          <w:color w:val="auto"/>
        </w:rPr>
        <w:t>Excluded Opportunity</w:t>
      </w:r>
      <w:r>
        <w:rPr>
          <w:rFonts w:ascii="Arial" w:cs="Arial" w:eastAsia="Arial" w:hAnsi="Arial"/>
          <w:sz w:val="19"/>
          <w:szCs w:val="19"/>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9"/>
          <w:szCs w:val="19"/>
          <w:b w:val="1"/>
          <w:bCs w:val="1"/>
          <w:color w:val="auto"/>
        </w:rPr>
        <w:t>Covered Persons</w:t>
      </w:r>
      <w:r>
        <w:rPr>
          <w:rFonts w:ascii="Arial" w:cs="Arial" w:eastAsia="Arial" w:hAnsi="Arial"/>
          <w:sz w:val="19"/>
          <w:szCs w:val="19"/>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95"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b w:val="1"/>
          <w:bCs w:val="1"/>
          <w:color w:val="auto"/>
        </w:rPr>
        <w:t xml:space="preserve">TWELFTH: </w:t>
      </w:r>
      <w:r>
        <w:rPr>
          <w:rFonts w:ascii="Arial" w:cs="Arial" w:eastAsia="Arial" w:hAnsi="Arial"/>
          <w:sz w:val="19"/>
          <w:szCs w:val="19"/>
          <w:color w:val="auto"/>
        </w:rPr>
        <w:t>Unless the Corporation consents in writing to the selection of an alternative forum, the Court of</w:t>
      </w:r>
      <w:r>
        <w:rPr>
          <w:rFonts w:ascii="Arial" w:cs="Arial" w:eastAsia="Arial" w:hAnsi="Arial"/>
          <w:sz w:val="19"/>
          <w:szCs w:val="19"/>
          <w:b w:val="1"/>
          <w:bCs w:val="1"/>
          <w:color w:val="auto"/>
        </w:rPr>
        <w:t xml:space="preserve"> </w:t>
      </w:r>
      <w:r>
        <w:rPr>
          <w:rFonts w:ascii="Arial" w:cs="Arial" w:eastAsia="Arial" w:hAnsi="Arial"/>
          <w:sz w:val="19"/>
          <w:szCs w:val="19"/>
          <w:color w:val="auto"/>
        </w:rPr>
        <w:t>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1440" w:right="379" w:bottom="1440" w:gutter="0" w:footer="0" w:header="0"/>
        </w:sectPr>
      </w:pPr>
    </w:p>
    <w:bookmarkStart w:id="238" w:name="page239"/>
    <w:bookmarkEnd w:id="238"/>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02" w:lineRule="exact"/>
        <w:rPr>
          <w:sz w:val="20"/>
          <w:szCs w:val="20"/>
          <w:color w:val="auto"/>
        </w:rPr>
      </w:pPr>
    </w:p>
    <w:p>
      <w:pPr>
        <w:ind w:left="4860"/>
        <w:spacing w:after="0"/>
        <w:tabs>
          <w:tab w:leader="none" w:pos="5560" w:val="left"/>
          <w:tab w:leader="none" w:pos="62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166" w:lineRule="exact"/>
        <w:rPr>
          <w:sz w:val="20"/>
          <w:szCs w:val="20"/>
          <w:color w:val="auto"/>
        </w:rPr>
      </w:pPr>
    </w:p>
    <w:p>
      <w:pPr>
        <w:ind w:right="240" w:firstLine="1304"/>
        <w:spacing w:after="0" w:line="263" w:lineRule="auto"/>
        <w:tabs>
          <w:tab w:leader="none" w:pos="1944" w:val="left"/>
        </w:tabs>
        <w:numPr>
          <w:ilvl w:val="0"/>
          <w:numId w:val="180"/>
        </w:numPr>
        <w:rPr>
          <w:rFonts w:ascii="Arial" w:cs="Arial" w:eastAsia="Arial" w:hAnsi="Arial"/>
          <w:sz w:val="22"/>
          <w:szCs w:val="22"/>
          <w:b w:val="1"/>
          <w:bCs w:val="1"/>
          <w:color w:val="auto"/>
        </w:rPr>
      </w:pPr>
      <w:r>
        <w:rPr>
          <w:rFonts w:ascii="Arial" w:cs="Arial" w:eastAsia="Arial" w:hAnsi="Arial"/>
          <w:sz w:val="22"/>
          <w:szCs w:val="22"/>
          <w:color w:val="auto"/>
        </w:rPr>
        <w:t>That the foregoing amendment and restatement was approved by the holders of the requisite number of shares of this corporation in accordance with Section 228 of the General Corporation Law.</w:t>
      </w:r>
    </w:p>
    <w:p>
      <w:pPr>
        <w:spacing w:after="0" w:line="120" w:lineRule="exact"/>
        <w:rPr>
          <w:rFonts w:ascii="Arial" w:cs="Arial" w:eastAsia="Arial" w:hAnsi="Arial"/>
          <w:sz w:val="22"/>
          <w:szCs w:val="22"/>
          <w:b w:val="1"/>
          <w:bCs w:val="1"/>
          <w:color w:val="auto"/>
        </w:rPr>
      </w:pPr>
    </w:p>
    <w:p>
      <w:pPr>
        <w:ind w:firstLine="1304"/>
        <w:spacing w:after="0" w:line="253" w:lineRule="auto"/>
        <w:tabs>
          <w:tab w:leader="none" w:pos="1944" w:val="left"/>
        </w:tabs>
        <w:numPr>
          <w:ilvl w:val="0"/>
          <w:numId w:val="180"/>
        </w:numPr>
        <w:rPr>
          <w:rFonts w:ascii="Arial" w:cs="Arial" w:eastAsia="Arial" w:hAnsi="Arial"/>
          <w:sz w:val="22"/>
          <w:szCs w:val="22"/>
          <w:b w:val="1"/>
          <w:bCs w:val="1"/>
          <w:color w:val="auto"/>
        </w:rPr>
      </w:pPr>
      <w:r>
        <w:rPr>
          <w:rFonts w:ascii="Arial" w:cs="Arial" w:eastAsia="Arial" w:hAnsi="Arial"/>
          <w:sz w:val="22"/>
          <w:szCs w:val="22"/>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70" w:lineRule="exact"/>
        <w:rPr>
          <w:rFonts w:ascii="Arial" w:cs="Arial" w:eastAsia="Arial" w:hAnsi="Arial"/>
          <w:sz w:val="22"/>
          <w:szCs w:val="22"/>
          <w:b w:val="1"/>
          <w:bCs w:val="1"/>
          <w:color w:val="auto"/>
        </w:rPr>
      </w:pPr>
    </w:p>
    <w:p>
      <w:pPr>
        <w:ind w:left="5520" w:hanging="130"/>
        <w:spacing w:after="0"/>
        <w:tabs>
          <w:tab w:leader="none" w:pos="552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32 -</w:t>
      </w:r>
    </w:p>
    <w:p>
      <w:pPr>
        <w:sectPr>
          <w:pgSz w:w="11900" w:h="16838" w:orient="portrait"/>
          <w:cols w:equalWidth="0" w:num="1">
            <w:col w:w="11100"/>
          </w:cols>
          <w:pgMar w:left="320" w:top="1440" w:right="479" w:bottom="1440" w:gutter="0" w:footer="0" w:header="0"/>
        </w:sectPr>
      </w:pPr>
    </w:p>
    <w:bookmarkStart w:id="239" w:name="page240"/>
    <w:bookmarkEnd w:id="239"/>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Amended and Restated Certificate of Incorporation has been executed by a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of this corporation on this 11th day of May, 2020.</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SEER, INC.</w:t>
      </w:r>
    </w:p>
    <w:p>
      <w:pPr>
        <w:spacing w:after="0" w:line="58" w:lineRule="exact"/>
        <w:rPr>
          <w:sz w:val="20"/>
          <w:szCs w:val="20"/>
          <w:color w:val="auto"/>
        </w:rPr>
      </w:pPr>
    </w:p>
    <w:p>
      <w:pPr>
        <w:ind w:left="5540"/>
        <w:spacing w:after="0"/>
        <w:tabs>
          <w:tab w:leader="none" w:pos="6120" w:val="left"/>
        </w:tabs>
        <w:rPr>
          <w:sz w:val="20"/>
          <w:szCs w:val="20"/>
          <w:color w:val="auto"/>
        </w:rPr>
      </w:pPr>
      <w:r>
        <w:rPr>
          <w:rFonts w:ascii="Arial" w:cs="Arial" w:eastAsia="Arial" w:hAnsi="Arial"/>
          <w:sz w:val="22"/>
          <w:szCs w:val="22"/>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2366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Omid Farokhzad, Chief Executive Officer</w:t>
      </w:r>
    </w:p>
    <w:p>
      <w:pPr>
        <w:sectPr>
          <w:pgSz w:w="11900" w:h="16838" w:orient="portrait"/>
          <w:cols w:equalWidth="0" w:num="1">
            <w:col w:w="10500"/>
          </w:cols>
          <w:pgMar w:left="320" w:top="1440" w:right="10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3.3</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Adopted March 16,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BIOSCIENCES, INC.</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CERTIFICATE OF INCORPORATION AND BY-LAWS</w:t>
      </w:r>
    </w:p>
    <w:p>
      <w:pPr>
        <w:spacing w:after="0" w:line="166"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13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OFFICES</w:t>
      </w:r>
    </w:p>
    <w:p>
      <w:pPr>
        <w:spacing w:after="0" w:line="166"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Registered Office.</w:t>
      </w:r>
      <w:r>
        <w:rPr>
          <w:rFonts w:ascii="Arial" w:cs="Arial" w:eastAsia="Arial" w:hAnsi="Arial"/>
          <w:sz w:val="22"/>
          <w:szCs w:val="22"/>
          <w:color w:val="auto"/>
        </w:rPr>
        <w:t xml:space="preserve"> The registered office shall be in the City of Wilmington, County of New Castle, State of Delaware.</w:t>
      </w:r>
    </w:p>
    <w:p>
      <w:pPr>
        <w:spacing w:after="0" w:line="121" w:lineRule="exact"/>
        <w:rPr>
          <w:sz w:val="20"/>
          <w:szCs w:val="20"/>
          <w:color w:val="auto"/>
        </w:rPr>
      </w:pPr>
    </w:p>
    <w:p>
      <w:pPr>
        <w:ind w:right="420" w:firstLine="648"/>
        <w:spacing w:after="0" w:line="343"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Other Offices.</w:t>
      </w:r>
      <w:r>
        <w:rPr>
          <w:rFonts w:ascii="Arial" w:cs="Arial" w:eastAsia="Arial" w:hAnsi="Arial"/>
          <w:sz w:val="19"/>
          <w:szCs w:val="19"/>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STOCKHOLDERS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Location of Meetings.</w:t>
      </w:r>
      <w:r>
        <w:rPr>
          <w:rFonts w:ascii="Arial" w:cs="Arial" w:eastAsia="Arial" w:hAnsi="Arial"/>
          <w:sz w:val="19"/>
          <w:szCs w:val="19"/>
          <w:color w:val="auto"/>
        </w:rPr>
        <w:t xml:space="preserve"> All meetings of the stockholders shall be held at such place either within or without the State of Delaware as shall be designated from time to time by the board of directors, or if not so designated, at the registered office of the corporation. Notwithstanding the foregoing, the board of directors may, in its sole discretion, determine that the meeting shall not be held at any place, but may instead be held solely by means of remote communication as authorized by Section 211(a)(2) of the Delaware General Corporation Law. If so authorized, and subject to such guidelines and procedures as the board of directors may adopt, stockholders and proxyholders not physically present at a meeting of stockholders may, by means of remote communication, participate in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Any adjourned session of any meeting shall be held at the place designated in the vote of adjournment.</w:t>
      </w:r>
    </w:p>
    <w:p>
      <w:pPr>
        <w:spacing w:after="0" w:line="364"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Annual Meeting.</w:t>
      </w:r>
      <w:r>
        <w:rPr>
          <w:rFonts w:ascii="Arial" w:cs="Arial" w:eastAsia="Arial" w:hAnsi="Arial"/>
          <w:sz w:val="22"/>
          <w:szCs w:val="22"/>
          <w:color w:val="auto"/>
        </w:rPr>
        <w:t xml:space="preserve"> The annual meeting of stockholders shall be held at 10:00 a.m. on the second Wednesday in May in each year, unless that day be a legal holiday at the place where the meeting is to be held, in which case the meeting shall be held at the same hour on the next succeeding day not a legal holiday, or at such other date and time as shall be designated from time to</w:t>
      </w:r>
    </w:p>
    <w:p>
      <w:pPr>
        <w:sectPr>
          <w:pgSz w:w="11900" w:h="16838" w:orient="portrait"/>
          <w:cols w:equalWidth="0" w:num="1">
            <w:col w:w="11240"/>
          </w:cols>
          <w:pgMar w:left="320" w:top="121" w:right="339" w:bottom="1440" w:gutter="0" w:footer="0" w:header="0"/>
        </w:sectPr>
      </w:pPr>
    </w:p>
    <w:bookmarkStart w:id="241" w:name="page242"/>
    <w:bookmarkEnd w:id="241"/>
    <w:p>
      <w:pPr>
        <w:ind w:right="220"/>
        <w:spacing w:after="0" w:line="263" w:lineRule="auto"/>
        <w:rPr>
          <w:sz w:val="20"/>
          <w:szCs w:val="20"/>
          <w:color w:val="auto"/>
        </w:rPr>
      </w:pPr>
      <w:r>
        <w:rPr>
          <w:rFonts w:ascii="Arial" w:cs="Arial" w:eastAsia="Arial" w:hAnsi="Arial"/>
          <w:sz w:val="22"/>
          <w:szCs w:val="22"/>
          <w:color w:val="auto"/>
        </w:rPr>
        <w:t>time by the board of directors, at which they shall elect a board of directors and transact such other business as may be required by law or these by-laws or as may properly come before the meeting.</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Special Meeting in Place of Annual Meeting.</w:t>
      </w:r>
      <w:r>
        <w:rPr>
          <w:rFonts w:ascii="Arial" w:cs="Arial" w:eastAsia="Arial" w:hAnsi="Arial"/>
          <w:sz w:val="21"/>
          <w:szCs w:val="21"/>
          <w:color w:val="auto"/>
        </w:rPr>
        <w:t xml:space="preserve">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3.5.</w:t>
      </w:r>
    </w:p>
    <w:p>
      <w:pPr>
        <w:spacing w:after="0" w:line="129"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Notice of Annual Meeting.</w:t>
      </w:r>
      <w:r>
        <w:rPr>
          <w:rFonts w:ascii="Arial" w:cs="Arial" w:eastAsia="Arial" w:hAnsi="Arial"/>
          <w:sz w:val="21"/>
          <w:szCs w:val="21"/>
          <w:color w:val="auto"/>
        </w:rPr>
        <w:t xml:space="preserve">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in accordance with Section 5.2 by each stockholder entitled to such notice to whom such notice was not given.</w:t>
      </w:r>
    </w:p>
    <w:p>
      <w:pPr>
        <w:spacing w:after="0" w:line="121"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Other Special Meetings.</w:t>
      </w:r>
      <w:r>
        <w:rPr>
          <w:rFonts w:ascii="Arial" w:cs="Arial" w:eastAsia="Arial" w:hAnsi="Arial"/>
          <w:sz w:val="19"/>
          <w:szCs w:val="19"/>
          <w:color w:val="auto"/>
        </w:rPr>
        <w:t xml:space="preserve"> Special meetings of the stockholders, for any purpose or purposes, unless otherwise prescribed by law or by the certificate of incorporation, may be called by the president and shall be called by the president or secretary at the request in writing of a majority of the board of directors, or at the request in writing of the holders of at least ten percent of all capital stock of the corporation issued and outstanding and entitled to vote at such meeting. Such request shall state the purpose or purposes of the proposed meeting and business to be transacted at any special meeting of the stockholders.</w:t>
      </w:r>
    </w:p>
    <w:p>
      <w:pPr>
        <w:spacing w:after="0" w:line="9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Notice of Special Meeting.</w:t>
      </w:r>
      <w:r>
        <w:rPr>
          <w:rFonts w:ascii="Arial" w:cs="Arial" w:eastAsia="Arial" w:hAnsi="Arial"/>
          <w:sz w:val="22"/>
          <w:szCs w:val="22"/>
          <w:color w:val="auto"/>
        </w:rPr>
        <w:t xml:space="preserve"> Written notice of a special meeting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in accordance with Section 5.2 by each stockholder entitled to such notice to whom such notice was not given.</w:t>
      </w:r>
    </w:p>
    <w:p>
      <w:pPr>
        <w:spacing w:after="0" w:line="138"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Stockholder List.</w:t>
      </w:r>
      <w:r>
        <w:rPr>
          <w:rFonts w:ascii="Arial" w:cs="Arial" w:eastAsia="Arial" w:hAnsi="Arial"/>
          <w:sz w:val="19"/>
          <w:szCs w:val="19"/>
          <w:color w:val="auto"/>
        </w:rPr>
        <w:t xml:space="preserve">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42" w:name="page243"/>
    <w:bookmarkEnd w:id="242"/>
    <w:p>
      <w:pPr>
        <w:ind w:right="200"/>
        <w:spacing w:after="0" w:line="265" w:lineRule="auto"/>
        <w:rPr>
          <w:sz w:val="20"/>
          <w:szCs w:val="20"/>
          <w:color w:val="auto"/>
        </w:rPr>
      </w:pPr>
      <w:r>
        <w:rPr>
          <w:rFonts w:ascii="Arial" w:cs="Arial" w:eastAsia="Arial" w:hAnsi="Arial"/>
          <w:sz w:val="21"/>
          <w:szCs w:val="21"/>
          <w:color w:val="auto"/>
        </w:rPr>
        <w:t>produced and kept at the time and place of the meeting during the whole time thereof, and may be inspected by any stockholder who is present. If the meeting is to be held solely by means of remote communication, then the list shall also be open to examination of any stockholder during the entire meeting on a reasonably accessible electronic network, and the information required to access such list shall be provided with the notice of the meeting.</w:t>
      </w:r>
    </w:p>
    <w:p>
      <w:pPr>
        <w:spacing w:after="0" w:line="12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Quorum of Stockholders.</w:t>
      </w:r>
      <w:r>
        <w:rPr>
          <w:rFonts w:ascii="Arial" w:cs="Arial" w:eastAsia="Arial" w:hAnsi="Arial"/>
          <w:sz w:val="22"/>
          <w:szCs w:val="22"/>
          <w:color w:val="auto"/>
        </w:rPr>
        <w:t xml:space="preserve"> The holders of a majority of the stock issued and outstanding and entitled to vote thereat, present in person or represented by proxy, shall constitute a quorum at all meetings of the stockholders for the transaction of business except as otherwise required by law, by the certificate of incorporation or by these by-laws. Except as otherwise provided by law, no stockholder present at a meeting may withhold his shares from the quorum count by declaring his shares absent from the meeting.</w:t>
      </w:r>
    </w:p>
    <w:p>
      <w:pPr>
        <w:spacing w:after="0" w:line="138"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Adjournment.</w:t>
      </w:r>
      <w:r>
        <w:rPr>
          <w:rFonts w:ascii="Arial" w:cs="Arial" w:eastAsia="Arial" w:hAnsi="Arial"/>
          <w:sz w:val="19"/>
          <w:szCs w:val="19"/>
          <w:color w:val="auto"/>
        </w:rPr>
        <w:t xml:space="preserve">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or, if no stockholder is present or represented by proxy, by any officer entitled to preside at or to act as secretary of such meeting.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9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Proxy Representation.</w:t>
      </w:r>
      <w:r>
        <w:rPr>
          <w:rFonts w:ascii="Arial" w:cs="Arial" w:eastAsia="Arial" w:hAnsi="Arial"/>
          <w:sz w:val="19"/>
          <w:szCs w:val="19"/>
          <w:color w:val="auto"/>
        </w:rPr>
        <w:t xml:space="preserve">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provided by law, a revocable proxy shall be deemed revoked if the stockholder is present at the meeting for which the proxy was given.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09"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Inspectors.</w:t>
      </w:r>
      <w:r>
        <w:rPr>
          <w:rFonts w:ascii="Arial" w:cs="Arial" w:eastAsia="Arial" w:hAnsi="Arial"/>
          <w:sz w:val="22"/>
          <w:szCs w:val="22"/>
          <w:color w:val="auto"/>
        </w:rPr>
        <w:t xml:space="preserve"> The directors or the person presiding at the meeting may, but need not unless required by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43" w:name="page244"/>
    <w:bookmarkEnd w:id="243"/>
    <w:p>
      <w:pPr>
        <w:ind w:right="40"/>
        <w:spacing w:after="0" w:line="250" w:lineRule="auto"/>
        <w:rPr>
          <w:sz w:val="20"/>
          <w:szCs w:val="20"/>
          <w:color w:val="auto"/>
        </w:rPr>
      </w:pPr>
      <w:r>
        <w:rPr>
          <w:rFonts w:ascii="Arial" w:cs="Arial" w:eastAsia="Arial" w:hAnsi="Arial"/>
          <w:sz w:val="22"/>
          <w:szCs w:val="22"/>
          <w:color w:val="auto"/>
        </w:rPr>
        <w:t>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13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Action by Vote.</w:t>
      </w:r>
      <w:r>
        <w:rPr>
          <w:rFonts w:ascii="Arial" w:cs="Arial" w:eastAsia="Arial" w:hAnsi="Arial"/>
          <w:sz w:val="21"/>
          <w:szCs w:val="21"/>
          <w:color w:val="auto"/>
        </w:rPr>
        <w:t xml:space="preserv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 xml:space="preserve">3.13 </w:t>
      </w:r>
      <w:r>
        <w:rPr>
          <w:rFonts w:ascii="Arial" w:cs="Arial" w:eastAsia="Arial" w:hAnsi="Arial"/>
          <w:sz w:val="21"/>
          <w:szCs w:val="21"/>
          <w:u w:val="single" w:color="auto"/>
          <w:color w:val="auto"/>
        </w:rPr>
        <w:t>Action Without Meetings.</w:t>
      </w:r>
      <w:r>
        <w:rPr>
          <w:rFonts w:ascii="Arial" w:cs="Arial" w:eastAsia="Arial" w:hAnsi="Arial"/>
          <w:sz w:val="21"/>
          <w:szCs w:val="21"/>
          <w:color w:val="auto"/>
        </w:rPr>
        <w:t xml:space="preserve">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Consent may be given by electronic transmission to the extent permitted by the Delaware General Corporation Law.</w:t>
      </w:r>
    </w:p>
    <w:p>
      <w:pPr>
        <w:spacing w:after="0" w:line="129"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Organization.</w:t>
      </w:r>
      <w:r>
        <w:rPr>
          <w:rFonts w:ascii="Arial" w:cs="Arial" w:eastAsia="Arial" w:hAnsi="Arial"/>
          <w:sz w:val="22"/>
          <w:szCs w:val="22"/>
          <w:color w:val="auto"/>
        </w:rPr>
        <w:t xml:space="preserve"> Meetings of stockholders shall be presided over by the chairperson of the board of directors, if any, or in his absence by the president, or in his absence by a vice president, or in the absence of the foregoing persons by a chairperson chosen at the meeting by the board. The secretary shall act as secretary of the meeting, but in his absence the chairperson of the meeting may appoint any person to act as secretary of the meeting. The chairperson of the meeting shall announce at the meeting of stockholders the date and time of the opening and the closing of the polls for each matter upon which the stockholders will vote.</w:t>
      </w:r>
    </w:p>
    <w:p>
      <w:pPr>
        <w:spacing w:after="0" w:line="139"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Conduct of Meetings.</w:t>
      </w:r>
      <w:r>
        <w:rPr>
          <w:rFonts w:ascii="Arial" w:cs="Arial" w:eastAsia="Arial" w:hAnsi="Arial"/>
          <w:sz w:val="19"/>
          <w:szCs w:val="19"/>
          <w:color w:val="auto"/>
        </w:rPr>
        <w:t xml:space="preserve"> The board of directors of the corporation may adopt by resolution such rules and regulations for the conduct of the meeting of stockholders as it shall deem appropriate. Except to the extent inconsistent with such rules and regulations as adopted by the board of directors, the chairperson of any meeting of stockholders shall have the right and authority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sz w:val="20"/>
          <w:szCs w:val="20"/>
          <w:color w:val="auto"/>
        </w:rPr>
      </w:pPr>
    </w:p>
    <w:p>
      <w:pPr>
        <w:ind w:right="60" w:firstLine="8"/>
        <w:spacing w:after="0" w:line="259" w:lineRule="auto"/>
        <w:tabs>
          <w:tab w:leader="none" w:pos="37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limitations on attendance at or participation in the meeting to stockholders of record of the corporation,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244" w:name="page245"/>
    <w:bookmarkEnd w:id="244"/>
    <w:p>
      <w:pPr>
        <w:ind w:right="660"/>
        <w:spacing w:after="0" w:line="263" w:lineRule="auto"/>
        <w:rPr>
          <w:sz w:val="20"/>
          <w:szCs w:val="20"/>
          <w:color w:val="auto"/>
        </w:rPr>
      </w:pPr>
      <w:r>
        <w:rPr>
          <w:rFonts w:ascii="Arial" w:cs="Arial" w:eastAsia="Arial" w:hAnsi="Arial"/>
          <w:sz w:val="22"/>
          <w:szCs w:val="22"/>
          <w:color w:val="auto"/>
        </w:rPr>
        <w:t>or the chairperson of the meeting, meetings of stockholders shall not be required to be held in accordance with the rules of parliamentary procedure.</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DIRECTORS</w:t>
      </w:r>
    </w:p>
    <w:p>
      <w:pPr>
        <w:spacing w:after="0" w:line="166"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Number.</w:t>
      </w:r>
      <w:r>
        <w:rPr>
          <w:rFonts w:ascii="Arial" w:cs="Arial" w:eastAsia="Arial" w:hAnsi="Arial"/>
          <w:sz w:val="19"/>
          <w:szCs w:val="19"/>
          <w:color w:val="auto"/>
        </w:rPr>
        <w:t xml:space="preserve"> The number of directors which shall constitute the whole board shall not be less than one. The first board shall consist of one (1) director. Thereafter, the stockholders at the annual meeting shall determine the number of directors, and the number of directors may be increased or decreased at any time or from time to time by the stockholders or by the directors by vote of a majority of directors then in office, except that any such decrease by vote of the directors shall only be made to eliminate vacancies existing by reason of the death, resignation or removal of one or more directors. The directors shall be elected at the annual meeting of the stockholders, except as provided in these by-laws. Directors need not be stockholders.</w:t>
      </w:r>
    </w:p>
    <w:p>
      <w:pPr>
        <w:spacing w:after="0" w:line="9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Tenure.</w:t>
      </w:r>
      <w:r>
        <w:rPr>
          <w:rFonts w:ascii="Arial" w:cs="Arial" w:eastAsia="Arial" w:hAnsi="Arial"/>
          <w:sz w:val="22"/>
          <w:szCs w:val="22"/>
          <w:color w:val="auto"/>
        </w:rPr>
        <w:t xml:space="preserv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131"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Powers.</w:t>
      </w:r>
      <w:r>
        <w:rPr>
          <w:rFonts w:ascii="Arial" w:cs="Arial" w:eastAsia="Arial" w:hAnsi="Arial"/>
          <w:sz w:val="21"/>
          <w:szCs w:val="21"/>
          <w:color w:val="auto"/>
        </w:rPr>
        <w:t xml:space="preserve">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13"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Vacancies.</w:t>
      </w:r>
      <w:r>
        <w:rPr>
          <w:rFonts w:ascii="Arial" w:cs="Arial" w:eastAsia="Arial" w:hAnsi="Arial"/>
          <w:sz w:val="21"/>
          <w:szCs w:val="21"/>
          <w:color w:val="auto"/>
        </w:rPr>
        <w:t xml:space="preserv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in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29"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Committees.</w:t>
      </w:r>
      <w:r>
        <w:rPr>
          <w:rFonts w:ascii="Arial" w:cs="Arial" w:eastAsia="Arial" w:hAnsi="Arial"/>
          <w:sz w:val="21"/>
          <w:szCs w:val="21"/>
          <w:color w:val="auto"/>
        </w:rPr>
        <w:t xml:space="preserve">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45" w:name="page246"/>
    <w:bookmarkEnd w:id="245"/>
    <w:p>
      <w:pPr>
        <w:ind w:right="60"/>
        <w:spacing w:after="0" w:line="248" w:lineRule="auto"/>
        <w:rPr>
          <w:sz w:val="20"/>
          <w:szCs w:val="20"/>
          <w:color w:val="auto"/>
        </w:rPr>
      </w:pPr>
      <w:r>
        <w:rPr>
          <w:rFonts w:ascii="Arial" w:cs="Arial" w:eastAsia="Arial" w:hAnsi="Arial"/>
          <w:sz w:val="22"/>
          <w:szCs w:val="22"/>
          <w:color w:val="auto"/>
        </w:rPr>
        <w:t>the place of any such absent or disqualified member. Except as the board of directors may otherwise determine, any committee may make, alter and repeal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3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Regular Meeting.</w:t>
      </w:r>
      <w:r>
        <w:rPr>
          <w:rFonts w:ascii="Arial" w:cs="Arial" w:eastAsia="Arial" w:hAnsi="Arial"/>
          <w:sz w:val="19"/>
          <w:szCs w:val="19"/>
          <w:color w:val="auto"/>
        </w:rPr>
        <w:t xml:space="preserve">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88"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Special Meetings.</w:t>
      </w:r>
      <w:r>
        <w:rPr>
          <w:rFonts w:ascii="Arial" w:cs="Arial" w:eastAsia="Arial" w:hAnsi="Arial"/>
          <w:sz w:val="19"/>
          <w:szCs w:val="19"/>
          <w:color w:val="auto"/>
        </w:rPr>
        <w:t xml:space="preserve"> Special meetings of the board of directors may be held at any time and at any place within or without the State of Delaware designated in the notice of the meeting, when called by the president, or by any director, reasonable notice thereof being given to each director by the secretary or by the president or by any one of the directors calling the meeting.</w:t>
      </w:r>
    </w:p>
    <w:p>
      <w:pPr>
        <w:spacing w:after="0" w:line="79"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It shall be reasonable and sufficient notice to a director to send notice by mail at least forty-eight hours or by telegram or telecopy or other form of electronic transmission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Quorum.</w:t>
      </w:r>
      <w:r>
        <w:rPr>
          <w:rFonts w:ascii="Arial" w:cs="Arial" w:eastAsia="Arial" w:hAnsi="Arial"/>
          <w:sz w:val="22"/>
          <w:szCs w:val="22"/>
          <w:color w:val="auto"/>
        </w:rPr>
        <w:t xml:space="preserve"> Except as may be otherwise provided by law, by the certificate of incorporation or by these by-laws, at any meeting of the directors a majority of the directors then in office shall constitute a quorum. A quorum shall not in any case be less than a majority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38"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Action by Vote.</w:t>
      </w:r>
      <w:r>
        <w:rPr>
          <w:rFonts w:ascii="Arial" w:cs="Arial" w:eastAsia="Arial" w:hAnsi="Arial"/>
          <w:sz w:val="22"/>
          <w:szCs w:val="22"/>
          <w:color w:val="auto"/>
        </w:rPr>
        <w:t xml:space="preserve"> Except as may be otherwise provided by law, by the certificate of incorporation or by these by-laws, when a quorum is present at any meeting the vote of a majority of the directors present shall be the act of the board of directors.</w:t>
      </w:r>
    </w:p>
    <w:p>
      <w:pPr>
        <w:spacing w:after="0" w:line="131" w:lineRule="exact"/>
        <w:rPr>
          <w:sz w:val="20"/>
          <w:szCs w:val="20"/>
          <w:color w:val="auto"/>
        </w:rPr>
      </w:pPr>
    </w:p>
    <w:p>
      <w:pPr>
        <w:ind w:right="200" w:firstLine="648"/>
        <w:spacing w:after="0" w:line="261"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Action Without a Meeting.</w:t>
      </w:r>
      <w:r>
        <w:rPr>
          <w:rFonts w:ascii="Arial" w:cs="Arial" w:eastAsia="Arial" w:hAnsi="Arial"/>
          <w:sz w:val="21"/>
          <w:szCs w:val="21"/>
          <w:color w:val="auto"/>
        </w:rPr>
        <w:t xml:space="preserve">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46" w:name="page247"/>
    <w:bookmarkEnd w:id="246"/>
    <w:p>
      <w:pPr>
        <w:spacing w:after="0"/>
        <w:rPr>
          <w:sz w:val="20"/>
          <w:szCs w:val="20"/>
          <w:color w:val="auto"/>
        </w:rPr>
      </w:pPr>
      <w:r>
        <w:rPr>
          <w:rFonts w:ascii="Arial" w:cs="Arial" w:eastAsia="Arial" w:hAnsi="Arial"/>
          <w:sz w:val="19"/>
          <w:szCs w:val="19"/>
          <w:color w:val="auto"/>
        </w:rPr>
        <w:t>electronic form. Such consent shall be treated for all purposes as the act of the board or of such committee, as the case may be.</w:t>
      </w:r>
    </w:p>
    <w:p>
      <w:pPr>
        <w:spacing w:after="0" w:line="200"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Participation in Meetings by Conference Telephone.</w:t>
      </w:r>
      <w:r>
        <w:rPr>
          <w:rFonts w:ascii="Arial" w:cs="Arial" w:eastAsia="Arial" w:hAnsi="Arial"/>
          <w:sz w:val="19"/>
          <w:szCs w:val="19"/>
          <w:color w:val="auto"/>
        </w:rPr>
        <w:t xml:space="preserv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88"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Compensation.</w:t>
      </w:r>
      <w:r>
        <w:rPr>
          <w:rFonts w:ascii="Arial" w:cs="Arial" w:eastAsia="Arial" w:hAnsi="Arial"/>
          <w:sz w:val="21"/>
          <w:szCs w:val="21"/>
          <w:color w:val="auto"/>
        </w:rPr>
        <w:t xml:space="preserve">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Interested Directors and Officers</w:t>
      </w:r>
      <w:r>
        <w:rPr>
          <w:rFonts w:ascii="Arial" w:cs="Arial" w:eastAsia="Arial" w:hAnsi="Arial"/>
          <w:sz w:val="19"/>
          <w:szCs w:val="19"/>
          <w:color w:val="auto"/>
        </w:rPr>
        <w:t>.</w:t>
      </w:r>
    </w:p>
    <w:p>
      <w:pPr>
        <w:spacing w:after="0" w:line="166" w:lineRule="exact"/>
        <w:rPr>
          <w:sz w:val="20"/>
          <w:szCs w:val="20"/>
          <w:color w:val="auto"/>
        </w:rPr>
      </w:pPr>
    </w:p>
    <w:p>
      <w:pPr>
        <w:ind w:right="120" w:firstLine="1304"/>
        <w:spacing w:after="0" w:line="297" w:lineRule="auto"/>
        <w:tabs>
          <w:tab w:leader="none" w:pos="194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92" w:lineRule="exact"/>
        <w:rPr>
          <w:rFonts w:ascii="Arial" w:cs="Arial" w:eastAsia="Arial" w:hAnsi="Arial"/>
          <w:sz w:val="19"/>
          <w:szCs w:val="19"/>
          <w:color w:val="auto"/>
        </w:rPr>
      </w:pPr>
    </w:p>
    <w:p>
      <w:pPr>
        <w:ind w:firstLine="1952"/>
        <w:spacing w:after="0" w:line="250" w:lineRule="auto"/>
        <w:tabs>
          <w:tab w:leader="none" w:pos="2587"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33" w:lineRule="exact"/>
        <w:rPr>
          <w:rFonts w:ascii="Arial" w:cs="Arial" w:eastAsia="Arial" w:hAnsi="Arial"/>
          <w:sz w:val="22"/>
          <w:szCs w:val="22"/>
          <w:color w:val="auto"/>
        </w:rPr>
      </w:pPr>
    </w:p>
    <w:p>
      <w:pPr>
        <w:jc w:val="both"/>
        <w:ind w:firstLine="1952"/>
        <w:spacing w:after="0" w:line="253" w:lineRule="auto"/>
        <w:tabs>
          <w:tab w:leader="none" w:pos="2587"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31" w:lineRule="exact"/>
        <w:rPr>
          <w:rFonts w:ascii="Arial" w:cs="Arial" w:eastAsia="Arial" w:hAnsi="Arial"/>
          <w:sz w:val="22"/>
          <w:szCs w:val="22"/>
          <w:color w:val="auto"/>
        </w:rPr>
      </w:pPr>
    </w:p>
    <w:p>
      <w:pPr>
        <w:ind w:right="220" w:firstLine="1952"/>
        <w:spacing w:after="0" w:line="263" w:lineRule="auto"/>
        <w:tabs>
          <w:tab w:leader="none" w:pos="2587"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contract or transaction is fair as to the corporation as of the time it is authorized, approved or ratified by the board of directors, a committee thereof, or the stockholders.</w:t>
      </w:r>
    </w:p>
    <w:p>
      <w:pPr>
        <w:spacing w:after="0" w:line="120" w:lineRule="exact"/>
        <w:rPr>
          <w:rFonts w:ascii="Arial" w:cs="Arial" w:eastAsia="Arial" w:hAnsi="Arial"/>
          <w:sz w:val="22"/>
          <w:szCs w:val="22"/>
          <w:color w:val="auto"/>
        </w:rPr>
      </w:pPr>
    </w:p>
    <w:p>
      <w:pPr>
        <w:ind w:right="200" w:firstLine="1304"/>
        <w:spacing w:after="0" w:line="263" w:lineRule="auto"/>
        <w:tabs>
          <w:tab w:leader="none" w:pos="193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Common or interested directors may be counted in determining the presence of a quorum at a meeting of the board of directors or of a committee which authorizes the contract or transaction.</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 xml:space="preserve">4.15 </w:t>
      </w:r>
      <w:r>
        <w:rPr>
          <w:rFonts w:ascii="Arial" w:cs="Arial" w:eastAsia="Arial" w:hAnsi="Arial"/>
          <w:sz w:val="22"/>
          <w:szCs w:val="22"/>
          <w:u w:val="single" w:color="auto"/>
          <w:color w:val="auto"/>
        </w:rPr>
        <w:t>Resignation or Removal of Directors.</w:t>
      </w:r>
      <w:r>
        <w:rPr>
          <w:rFonts w:ascii="Arial" w:cs="Arial" w:eastAsia="Arial" w:hAnsi="Arial"/>
          <w:sz w:val="22"/>
          <w:szCs w:val="22"/>
          <w:color w:val="auto"/>
        </w:rPr>
        <w:t xml:space="preserve"> Unless otherwise restricted by the certificate of incorporation or by law, any director or the entire board of directors may be removed,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247" w:name="page248"/>
    <w:bookmarkEnd w:id="247"/>
    <w:p>
      <w:pPr>
        <w:spacing w:after="0" w:line="259" w:lineRule="auto"/>
        <w:rPr>
          <w:sz w:val="20"/>
          <w:szCs w:val="20"/>
          <w:color w:val="auto"/>
        </w:rPr>
      </w:pPr>
      <w:r>
        <w:rPr>
          <w:rFonts w:ascii="Arial" w:cs="Arial" w:eastAsia="Arial" w:hAnsi="Arial"/>
          <w:sz w:val="21"/>
          <w:szCs w:val="21"/>
          <w:color w:val="auto"/>
        </w:rPr>
        <w:t>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no director removed shall have any right to receive compensation as such director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NOTICES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Form of Notice.</w:t>
      </w:r>
      <w:r>
        <w:rPr>
          <w:rFonts w:ascii="Arial" w:cs="Arial" w:eastAsia="Arial" w:hAnsi="Arial"/>
          <w:sz w:val="21"/>
          <w:szCs w:val="21"/>
          <w:color w:val="auto"/>
        </w:rPr>
        <w:t xml:space="preserve"> Whenever, under the provisions of law,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Notice may also be given to any stockholder and to any director by any form of electronic transmission, to the same extent that Section 232 of the Delaware General Corporation Law permits notice in such form to be given to stockholders, and will be deemed given at the time provided therein. Oral notice or other in-hand delivery (in person or by telephone) shall be deemed given at the time it is actually given.</w:t>
      </w:r>
    </w:p>
    <w:p>
      <w:pPr>
        <w:spacing w:after="0" w:line="137"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Waiver of Notice.</w:t>
      </w:r>
      <w:r>
        <w:rPr>
          <w:rFonts w:ascii="Arial" w:cs="Arial" w:eastAsia="Arial" w:hAnsi="Arial"/>
          <w:sz w:val="19"/>
          <w:szCs w:val="19"/>
          <w:color w:val="auto"/>
        </w:rPr>
        <w:t xml:space="preserve"> Whenever notice is required to be given under the provisions of law,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OFFICERS AND AGENTS</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Enumeration; Qualification.</w:t>
      </w:r>
      <w:r>
        <w:rPr>
          <w:rFonts w:ascii="Arial" w:cs="Arial" w:eastAsia="Arial" w:hAnsi="Arial"/>
          <w:sz w:val="19"/>
          <w:szCs w:val="19"/>
          <w:color w:val="auto"/>
        </w:rPr>
        <w:t xml:space="preserve"> The officers of the corporation shall be a president, a treasurer, a secretary and such other officers, if any, as the board of directors from time to time may in its discretion elect or appoint including without limitation a chairperson of the board of directors and one or more vice presidents. Any officer may be, but none need be, a director or stockholder. Any two or more offices may be held by the same person. Any officer may be required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48" w:name="page249"/>
    <w:bookmarkEnd w:id="248"/>
    <w:p>
      <w:pPr>
        <w:ind w:right="60"/>
        <w:spacing w:after="0" w:line="263" w:lineRule="auto"/>
        <w:rPr>
          <w:sz w:val="20"/>
          <w:szCs w:val="20"/>
          <w:color w:val="auto"/>
        </w:rPr>
      </w:pPr>
      <w:r>
        <w:rPr>
          <w:rFonts w:ascii="Arial" w:cs="Arial" w:eastAsia="Arial" w:hAnsi="Arial"/>
          <w:sz w:val="22"/>
          <w:szCs w:val="22"/>
          <w:color w:val="auto"/>
        </w:rPr>
        <w:t>of directors to secure the faithful performance of his duties to the corporation by giving bond in such amount and with sureties or otherwise as the board of directors may determine.</w:t>
      </w:r>
    </w:p>
    <w:p>
      <w:pPr>
        <w:spacing w:after="0" w:line="121" w:lineRule="exact"/>
        <w:rPr>
          <w:sz w:val="20"/>
          <w:szCs w:val="20"/>
          <w:color w:val="auto"/>
        </w:rPr>
      </w:pPr>
    </w:p>
    <w:p>
      <w:pPr>
        <w:ind w:right="40" w:firstLine="648"/>
        <w:spacing w:after="0" w:line="271"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Powers.</w:t>
      </w:r>
      <w:r>
        <w:rPr>
          <w:rFonts w:ascii="Arial" w:cs="Arial" w:eastAsia="Arial" w:hAnsi="Arial"/>
          <w:sz w:val="21"/>
          <w:szCs w:val="21"/>
          <w:color w:val="auto"/>
        </w:rPr>
        <w:t xml:space="preserve">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1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Election.</w:t>
      </w:r>
      <w:r>
        <w:rPr>
          <w:rFonts w:ascii="Arial" w:cs="Arial" w:eastAsia="Arial" w:hAnsi="Arial"/>
          <w:sz w:val="22"/>
          <w:szCs w:val="22"/>
          <w:color w:val="auto"/>
        </w:rPr>
        <w:t xml:space="preserve"> The board of directors at its first meeting after each annual meeting of stockholders shall choose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13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Tenure.</w:t>
      </w:r>
      <w:r>
        <w:rPr>
          <w:rFonts w:ascii="Arial" w:cs="Arial" w:eastAsia="Arial" w:hAnsi="Arial"/>
          <w:sz w:val="22"/>
          <w:szCs w:val="22"/>
          <w:color w:val="auto"/>
        </w:rPr>
        <w:t xml:space="preserv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138"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Chairperson of the Board of Directors.</w:t>
      </w:r>
      <w:r>
        <w:rPr>
          <w:rFonts w:ascii="Arial" w:cs="Arial" w:eastAsia="Arial" w:hAnsi="Arial"/>
          <w:sz w:val="19"/>
          <w:szCs w:val="19"/>
          <w:color w:val="auto"/>
        </w:rPr>
        <w:t xml:space="preserve"> The chairperson of the board of directors, if any, shall have such duties and powers as shall be designated from time to time by the board of directors. Unless the board of directors otherwise specifies, the chairperson of the board, or if there is none the president, shall preside, or designate the person who shall preside, at all meetings of the stockholders and of the board of directors. References in these by-laws to a chairperson shall include references to persons designated by the board of directors with the title chairman, chairwoman or chair or any similar title.</w:t>
      </w:r>
    </w:p>
    <w:p>
      <w:pPr>
        <w:spacing w:after="0" w:line="93"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President and Vice Presidents.</w:t>
      </w:r>
      <w:r>
        <w:rPr>
          <w:rFonts w:ascii="Arial" w:cs="Arial" w:eastAsia="Arial" w:hAnsi="Arial"/>
          <w:sz w:val="22"/>
          <w:szCs w:val="22"/>
          <w:color w:val="auto"/>
        </w:rPr>
        <w:t xml:space="preserve"> Unless a chief executive officer has been elected by the board of directors, the president shall be the chief executive officer and shall have direct and active charge of all business operations of the corporation and shall have general supervision of the entire business of the corporation, subject to the control of the board of directors. As provided in Section 6.5, in the absence of the chairperson of the board of directors, the president shall preside at all meetings of the stockholders and of the board of directors at which the president is present, except as otherwise voted by the board of directors.</w:t>
      </w:r>
    </w:p>
    <w:p>
      <w:pPr>
        <w:spacing w:after="0" w:line="13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The president or treasurer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79"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Any vice presidents shall have such duties and powers as shall be designated from time to time by the board of directors or by the president.</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Treasurer and Assistant Treasurers.</w:t>
      </w:r>
      <w:r>
        <w:rPr>
          <w:rFonts w:ascii="Arial" w:cs="Arial" w:eastAsia="Arial" w:hAnsi="Arial"/>
          <w:sz w:val="22"/>
          <w:szCs w:val="22"/>
          <w:color w:val="auto"/>
        </w:rPr>
        <w:t xml:space="preserve"> The treasurer shall be the chief financial officer of the corporation and shall be in charge of its funds and valuable papers, and shall have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duties and powers as may be assigned to him from time to time by the board of directors or by the president.</w:t>
      </w:r>
    </w:p>
    <w:p>
      <w:pPr>
        <w:spacing w:after="0" w:line="166"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Any assistant treasurers shall have such duties and powers as shall be designated from time to time by the board of directors, the president or the treasurer.</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u w:val="single" w:color="auto"/>
          <w:color w:val="auto"/>
        </w:rPr>
        <w:t>Secretary and Assistant Secretaries.</w:t>
      </w:r>
      <w:r>
        <w:rPr>
          <w:rFonts w:ascii="Arial" w:cs="Arial" w:eastAsia="Arial" w:hAnsi="Arial"/>
          <w:sz w:val="21"/>
          <w:szCs w:val="21"/>
          <w:color w:val="auto"/>
        </w:rPr>
        <w:t xml:space="preserve"> The secretary shall record all proceedings of the stockholders, of the board of directors and of committees of the board of directors in a book or series of books to be kept therefor and shall file therein all writings of, or related to, action by stockholder or director consent. In the absence of the secretary from any meeting, an assistant secretary, or if there is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The secretary shall have such other duties and powers as may from time to time be designated by the board of directors or the president.</w:t>
      </w:r>
    </w:p>
    <w:p>
      <w:pPr>
        <w:spacing w:after="0" w:line="129"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Any assistant secretaries shall have such duties and powers as shall be designated from time to time by the board of directors, the president or the secretary.</w:t>
      </w:r>
    </w:p>
    <w:p>
      <w:pPr>
        <w:spacing w:after="0" w:line="121"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Resignation and Removal.</w:t>
      </w:r>
      <w:r>
        <w:rPr>
          <w:rFonts w:ascii="Arial" w:cs="Arial" w:eastAsia="Arial" w:hAnsi="Arial"/>
          <w:sz w:val="21"/>
          <w:szCs w:val="21"/>
          <w:color w:val="auto"/>
        </w:rPr>
        <w:t xml:space="preserve">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no officer removed shall have any right to any compensation as such officer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31"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Vacancies.</w:t>
      </w:r>
      <w:r>
        <w:rPr>
          <w:rFonts w:ascii="Arial" w:cs="Arial" w:eastAsia="Arial" w:hAnsi="Arial"/>
          <w:sz w:val="21"/>
          <w:szCs w:val="21"/>
          <w:color w:val="auto"/>
        </w:rPr>
        <w:t xml:space="preserve"> 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president, the treasurer and the secretary until his successor is chosen and qualified, or in each case until he sooner dies, resigns, is removed or becomes disqualified.</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CAPITAL STOCK</w:t>
      </w:r>
    </w:p>
    <w:p>
      <w:pPr>
        <w:spacing w:after="0" w:line="16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Stock Certificates.</w:t>
      </w:r>
      <w:r>
        <w:rPr>
          <w:rFonts w:ascii="Arial" w:cs="Arial" w:eastAsia="Arial" w:hAnsi="Arial"/>
          <w:sz w:val="22"/>
          <w:szCs w:val="22"/>
          <w:color w:val="auto"/>
        </w:rPr>
        <w:t xml:space="preserve">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(i) the chairperson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50" w:name="page251"/>
    <w:bookmarkEnd w:id="250"/>
    <w:p>
      <w:pPr>
        <w:ind w:right="20"/>
        <w:spacing w:after="0" w:line="263" w:lineRule="auto"/>
        <w:rPr>
          <w:sz w:val="20"/>
          <w:szCs w:val="20"/>
          <w:color w:val="auto"/>
        </w:rPr>
      </w:pPr>
      <w:r>
        <w:rPr>
          <w:rFonts w:ascii="Arial" w:cs="Arial" w:eastAsia="Arial" w:hAnsi="Arial"/>
          <w:sz w:val="21"/>
          <w:szCs w:val="21"/>
          <w:color w:val="auto"/>
        </w:rPr>
        <w:t>board of directors or the president or a vice-president and (ii) the treasurer or an assistant treasurer or the secretary or an assistant secretary. Any or all of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12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Lost Certificates.</w:t>
      </w:r>
      <w:r>
        <w:rPr>
          <w:rFonts w:ascii="Arial" w:cs="Arial" w:eastAsia="Arial" w:hAnsi="Arial"/>
          <w:sz w:val="19"/>
          <w:szCs w:val="19"/>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TRANSFER OF SHARES OF STOCK</w:t>
      </w:r>
    </w:p>
    <w:p>
      <w:pPr>
        <w:spacing w:after="0" w:line="16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Transfer on Books.</w:t>
      </w:r>
      <w:r>
        <w:rPr>
          <w:rFonts w:ascii="Arial" w:cs="Arial" w:eastAsia="Arial" w:hAnsi="Arial"/>
          <w:sz w:val="19"/>
          <w:szCs w:val="19"/>
          <w:color w:val="auto"/>
        </w:rPr>
        <w:t xml:space="preserve">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shall be the duty of each stockholder to notify the corporation of his post office address.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GENERAL PROVISIONS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Record Date.</w:t>
      </w:r>
      <w:r>
        <w:rPr>
          <w:rFonts w:ascii="Arial" w:cs="Arial" w:eastAsia="Arial" w:hAnsi="Arial"/>
          <w:sz w:val="19"/>
          <w:szCs w:val="19"/>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8" w:right="399" w:bottom="1440" w:gutter="0" w:footer="0" w:header="0"/>
        </w:sectPr>
      </w:pPr>
    </w:p>
    <w:bookmarkStart w:id="251" w:name="page252"/>
    <w:bookmarkEnd w:id="251"/>
    <w:p>
      <w:pPr>
        <w:ind w:right="80" w:firstLine="1304"/>
        <w:spacing w:after="0" w:line="253" w:lineRule="auto"/>
        <w:tabs>
          <w:tab w:leader="none" w:pos="194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1" w:lineRule="exact"/>
        <w:rPr>
          <w:rFonts w:ascii="Arial" w:cs="Arial" w:eastAsia="Arial" w:hAnsi="Arial"/>
          <w:sz w:val="22"/>
          <w:szCs w:val="22"/>
          <w:color w:val="auto"/>
        </w:rPr>
      </w:pPr>
    </w:p>
    <w:p>
      <w:pPr>
        <w:ind w:right="80" w:firstLine="1304"/>
        <w:spacing w:after="0" w:line="253" w:lineRule="auto"/>
        <w:tabs>
          <w:tab w:leader="none" w:pos="193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131" w:lineRule="exact"/>
        <w:rPr>
          <w:rFonts w:ascii="Arial" w:cs="Arial" w:eastAsia="Arial" w:hAnsi="Arial"/>
          <w:sz w:val="22"/>
          <w:szCs w:val="22"/>
          <w:color w:val="auto"/>
        </w:rPr>
      </w:pPr>
    </w:p>
    <w:p>
      <w:pPr>
        <w:ind w:right="100" w:firstLine="1304"/>
        <w:spacing w:after="0" w:line="263" w:lineRule="auto"/>
        <w:tabs>
          <w:tab w:leader="none" w:pos="194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record date for determining stockholders for any other purpose shall be at the close of business on the day on which the board of directors adopts the resolution relating to such purpose.</w:t>
      </w:r>
    </w:p>
    <w:p>
      <w:pPr>
        <w:spacing w:after="0" w:line="121"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Dividends.</w:t>
      </w:r>
      <w:r>
        <w:rPr>
          <w:rFonts w:ascii="Arial" w:cs="Arial" w:eastAsia="Arial" w:hAnsi="Arial"/>
          <w:sz w:val="22"/>
          <w:szCs w:val="22"/>
          <w:color w:val="auto"/>
        </w:rPr>
        <w:t xml:space="preserve">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Payment of Dividends.</w:t>
      </w:r>
      <w:r>
        <w:rPr>
          <w:rFonts w:ascii="Arial" w:cs="Arial" w:eastAsia="Arial" w:hAnsi="Arial"/>
          <w:sz w:val="21"/>
          <w:szCs w:val="21"/>
          <w:color w:val="auto"/>
        </w:rPr>
        <w:t xml:space="preserve">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21"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Checks.</w:t>
      </w:r>
      <w:r>
        <w:rPr>
          <w:rFonts w:ascii="Arial" w:cs="Arial" w:eastAsia="Arial" w:hAnsi="Arial"/>
          <w:sz w:val="22"/>
          <w:szCs w:val="22"/>
          <w:color w:val="auto"/>
        </w:rPr>
        <w:t xml:space="preserve"> All checks or demands for money and notes of the corporation shall be signed by such officer or officers or such other person or persons as the board of directors may from time to time designate.</w:t>
      </w:r>
    </w:p>
    <w:p>
      <w:pPr>
        <w:spacing w:after="0" w:line="121"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The fiscal year of the corporation shall begin on the first of January in each year and shall end on the last day of December next following, unless otherwise determined by the board of directors.</w:t>
      </w:r>
    </w:p>
    <w:p>
      <w:pPr>
        <w:spacing w:after="0" w:line="121"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3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1"/>
          <w:szCs w:val="21"/>
          <w:color w:val="auto"/>
        </w:rPr>
        <w:t>INDEMNIFICATION</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Delaware General Corporation Law. In furtherance of and not in limitation of the foregoing, the corporation shall advance expenses, including attorneys’ fees,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252" w:name="page253"/>
    <w:bookmarkEnd w:id="252"/>
    <w:p>
      <w:pPr>
        <w:spacing w:after="0" w:line="290" w:lineRule="auto"/>
        <w:rPr>
          <w:sz w:val="20"/>
          <w:szCs w:val="20"/>
          <w:color w:val="auto"/>
        </w:rPr>
      </w:pPr>
      <w:r>
        <w:rPr>
          <w:rFonts w:ascii="Arial" w:cs="Arial" w:eastAsia="Arial" w:hAnsi="Arial"/>
          <w:sz w:val="19"/>
          <w:szCs w:val="19"/>
          <w:color w:val="auto"/>
        </w:rPr>
        <w:t>officer to repay such advances if it shall ultimately be determined that he is not entitled to be indemnified by the corporation. The corporation shall have the power to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has the power to indemnify such person under the Delaware General Corporation Law. Notwithstanding the foregoing, the Corporation shall not be required to indemnify or advance expenses to any person in connection with any action, suit, proceeding, claim or counterclaim initiated by or on behalf of such person.</w:t>
      </w:r>
    </w:p>
    <w:p>
      <w:pPr>
        <w:spacing w:after="0" w:line="10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color w:val="auto"/>
        </w:rPr>
        <w:t>AMENDMENTS</w:t>
      </w:r>
    </w:p>
    <w:p>
      <w:pPr>
        <w:spacing w:after="0" w:line="166"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INVESTORS’ RIGHTS AGREEMENT</w:t>
      </w:r>
    </w:p>
    <w:p>
      <w:pPr>
        <w:spacing w:after="0" w:line="166"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THIS AMENDED AND RESTATED INVESTORS’ RIGHTS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as of the 12th day of May, 2020, by and among Seer,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each of the investors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each of which is referred to in this Agreement as an “</w:t>
      </w:r>
      <w:r>
        <w:rPr>
          <w:rFonts w:ascii="Arial" w:cs="Arial" w:eastAsia="Arial" w:hAnsi="Arial"/>
          <w:sz w:val="19"/>
          <w:szCs w:val="19"/>
          <w:b w:val="1"/>
          <w:bCs w:val="1"/>
          <w:color w:val="auto"/>
        </w:rPr>
        <w:t>Investor</w:t>
      </w:r>
      <w:r>
        <w:rPr>
          <w:rFonts w:ascii="Arial" w:cs="Arial" w:eastAsia="Arial" w:hAnsi="Arial"/>
          <w:sz w:val="19"/>
          <w:szCs w:val="19"/>
          <w:color w:val="auto"/>
        </w:rPr>
        <w:t xml:space="preserve">,” and each of the stockholders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 each of whom is referred to herein as a “</w:t>
      </w:r>
      <w:r>
        <w:rPr>
          <w:rFonts w:ascii="Arial" w:cs="Arial" w:eastAsia="Arial" w:hAnsi="Arial"/>
          <w:sz w:val="19"/>
          <w:szCs w:val="19"/>
          <w:b w:val="1"/>
          <w:bCs w:val="1"/>
          <w:color w:val="auto"/>
        </w:rPr>
        <w:t>Key Holder</w:t>
      </w:r>
      <w:r>
        <w:rPr>
          <w:rFonts w:ascii="Arial" w:cs="Arial" w:eastAsia="Arial" w:hAnsi="Arial"/>
          <w:sz w:val="19"/>
          <w:szCs w:val="19"/>
          <w:color w:val="auto"/>
        </w:rPr>
        <w:t xml:space="preserve">” and any Additional Purchaser (as defined in the Purchase Agreement) that becomes a party to this Agreement in accordance with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hereof.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6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certain of the Investors (the “</w:t>
      </w:r>
      <w:r>
        <w:rPr>
          <w:rFonts w:ascii="Arial" w:cs="Arial" w:eastAsia="Arial" w:hAnsi="Arial"/>
          <w:sz w:val="21"/>
          <w:szCs w:val="21"/>
          <w:b w:val="1"/>
          <w:bCs w:val="1"/>
          <w:color w:val="auto"/>
        </w:rPr>
        <w:t>Existing Investors</w:t>
      </w:r>
      <w:r>
        <w:rPr>
          <w:rFonts w:ascii="Arial" w:cs="Arial" w:eastAsia="Arial" w:hAnsi="Arial"/>
          <w:sz w:val="21"/>
          <w:szCs w:val="21"/>
          <w:color w:val="auto"/>
        </w:rPr>
        <w:t>”) hold shares of the Company’s Preferred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and/or shares of Common Stock issued upon conversion thereof and possess registration rights, information rights, rights of first offer and other rights pursuant to that certain Amended and Restated Investors’ Rights Agreement dated as of November 15, 2019, by and among the Company and such Existing Investors (the “</w:t>
      </w:r>
      <w:r>
        <w:rPr>
          <w:rFonts w:ascii="Arial" w:cs="Arial" w:eastAsia="Arial" w:hAnsi="Arial"/>
          <w:sz w:val="21"/>
          <w:szCs w:val="21"/>
          <w:b w:val="1"/>
          <w:bCs w:val="1"/>
          <w:color w:val="auto"/>
        </w:rPr>
        <w:t>Prior Agreement</w:t>
      </w:r>
      <w:r>
        <w:rPr>
          <w:rFonts w:ascii="Arial" w:cs="Arial" w:eastAsia="Arial" w:hAnsi="Arial"/>
          <w:sz w:val="21"/>
          <w:szCs w:val="21"/>
          <w:color w:val="auto"/>
        </w:rPr>
        <w:t>”);</w:t>
      </w:r>
    </w:p>
    <w:p>
      <w:pPr>
        <w:spacing w:after="0" w:line="11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Existing Investors are holders of at least a majority of the Registrable Securities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the Prior Agreement), and desire to amend and restate the Prior Agreement in its entirety and to accept the rights created pursuant to this Agreement in lieu of the rights granted to them under the Prior Agreement; and</w:t>
      </w:r>
    </w:p>
    <w:p>
      <w:pPr>
        <w:spacing w:after="0" w:line="10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of the Investors are parties to that certain Series D-1 Preferred Stock Purchase Agreement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even date herewith by and among the Company and such Investors (the “</w:t>
      </w:r>
      <w:r>
        <w:rPr>
          <w:rFonts w:ascii="Arial" w:cs="Arial" w:eastAsia="Arial" w:hAnsi="Arial"/>
          <w:sz w:val="19"/>
          <w:szCs w:val="19"/>
          <w:b w:val="1"/>
          <w:bCs w:val="1"/>
          <w:color w:val="auto"/>
        </w:rPr>
        <w:t>Purchase Agreement</w:t>
      </w:r>
      <w:r>
        <w:rPr>
          <w:rFonts w:ascii="Arial" w:cs="Arial" w:eastAsia="Arial" w:hAnsi="Arial"/>
          <w:sz w:val="19"/>
          <w:szCs w:val="19"/>
          <w:color w:val="auto"/>
        </w:rPr>
        <w:t>”), under which certain of the Company’s and such Investors’ obligations are conditioned upon the execution and delivery of this Agreement by such Investors, Existing Investors holding at least a majority of the Registrable Securities and the Company;</w:t>
      </w:r>
    </w:p>
    <w:p>
      <w:pPr>
        <w:spacing w:after="0" w:line="8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Existing Investors hereby agree that the Prior Agreement shall be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as follows and the parties to this Agreement further agree as follows:</w:t>
      </w:r>
    </w:p>
    <w:p>
      <w:pPr>
        <w:spacing w:after="0" w:line="114"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1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adviser with, such Person.</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A Common Stock”</w:t>
      </w:r>
      <w:r>
        <w:rPr>
          <w:rFonts w:ascii="Arial" w:cs="Arial" w:eastAsia="Arial" w:hAnsi="Arial"/>
          <w:sz w:val="19"/>
          <w:szCs w:val="19"/>
          <w:color w:val="auto"/>
        </w:rPr>
        <w:t xml:space="preserve"> means shares of the Company’s Class A common stock, $0.00001 par value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254" w:name="page255"/>
    <w:bookmarkEnd w:id="254"/>
    <w:p>
      <w:pPr>
        <w:jc w:val="right"/>
        <w:spacing w:after="0"/>
        <w:tabs>
          <w:tab w:leader="none" w:pos="92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B Common Stock</w:t>
      </w:r>
      <w:r>
        <w:rPr>
          <w:rFonts w:ascii="Arial" w:cs="Arial" w:eastAsia="Arial" w:hAnsi="Arial"/>
          <w:sz w:val="19"/>
          <w:szCs w:val="19"/>
          <w:color w:val="auto"/>
        </w:rPr>
        <w:t>” means shares of the Company’s Class B common stock, $0.00001 par value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collectively, shares of Class A Common Stock and Class B Common Stock.</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Competitor</w:t>
      </w:r>
      <w:r>
        <w:rPr>
          <w:rFonts w:ascii="Arial" w:cs="Arial" w:eastAsia="Arial" w:hAnsi="Arial"/>
          <w:sz w:val="22"/>
          <w:szCs w:val="22"/>
          <w:color w:val="auto"/>
        </w:rPr>
        <w:t>” means a Person engaged, directly or indirectly (including through any partnership, limited liability company, corporation, joint venture or similar arrangement (whether now existing or formed hereafter)), in proteomics measurement combined with a data platform to draw inference,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pacing w:after="0" w:line="13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1.7 “</w:t>
      </w:r>
      <w:r>
        <w:rPr>
          <w:rFonts w:ascii="Arial" w:cs="Arial" w:eastAsia="Arial" w:hAnsi="Arial"/>
          <w:sz w:val="19"/>
          <w:szCs w:val="19"/>
          <w:b w:val="1"/>
          <w:bCs w:val="1"/>
          <w:color w:val="auto"/>
        </w:rPr>
        <w:t>Damages</w:t>
      </w:r>
      <w:r>
        <w:rPr>
          <w:rFonts w:ascii="Arial" w:cs="Arial" w:eastAsia="Arial" w:hAnsi="Arial"/>
          <w:sz w:val="19"/>
          <w:szCs w:val="19"/>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Derivative Securities</w:t>
      </w:r>
      <w:r>
        <w:rPr>
          <w:rFonts w:ascii="Arial" w:cs="Arial" w:eastAsia="Arial" w:hAnsi="Arial"/>
          <w:sz w:val="22"/>
          <w:szCs w:val="22"/>
          <w:color w:val="auto"/>
        </w:rPr>
        <w:t>” means any securities or rights convertible into, or exercisable or exchangeable for (in each case, directly or indirectly)</w:t>
      </w:r>
      <w:r>
        <w:rPr>
          <w:rFonts w:ascii="Arial" w:cs="Arial" w:eastAsia="Arial" w:hAnsi="Arial"/>
          <w:sz w:val="22"/>
          <w:szCs w:val="22"/>
          <w:b w:val="1"/>
          <w:bCs w:val="1"/>
          <w:color w:val="auto"/>
        </w:rPr>
        <w:t>,</w:t>
      </w:r>
      <w:r>
        <w:rPr>
          <w:rFonts w:ascii="Arial" w:cs="Arial" w:eastAsia="Arial" w:hAnsi="Arial"/>
          <w:sz w:val="22"/>
          <w:szCs w:val="22"/>
          <w:color w:val="auto"/>
        </w:rPr>
        <w:t xml:space="preserve"> Common Stock, including options and warrants.</w:t>
      </w:r>
    </w:p>
    <w:p>
      <w:pPr>
        <w:spacing w:after="0" w:line="10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0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Excluded Registration</w:t>
      </w:r>
      <w:r>
        <w:rPr>
          <w:rFonts w:ascii="Arial" w:cs="Arial" w:eastAsia="Arial" w:hAnsi="Arial"/>
          <w:sz w:val="19"/>
          <w:szCs w:val="19"/>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FOIA Party</w:t>
      </w:r>
      <w:r>
        <w:rPr>
          <w:rFonts w:ascii="Arial" w:cs="Arial" w:eastAsia="Arial" w:hAnsi="Arial"/>
          <w:sz w:val="22"/>
          <w:szCs w:val="22"/>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22"/>
          <w:szCs w:val="22"/>
          <w:b w:val="1"/>
          <w:bCs w:val="1"/>
          <w:color w:val="auto"/>
        </w:rPr>
        <w:t>FOIA</w:t>
      </w:r>
      <w:r>
        <w:rPr>
          <w:rFonts w:ascii="Arial" w:cs="Arial" w:eastAsia="Arial" w:hAnsi="Arial"/>
          <w:sz w:val="22"/>
          <w:szCs w:val="22"/>
          <w:color w:val="auto"/>
        </w:rPr>
        <w:t>”), any state public records access law, any state or other jurisdiction’s laws similar in intent or effect to FOIA, or any other similar statutory or regulatory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55" w:name="page256"/>
    <w:bookmarkEnd w:id="255"/>
    <w:p>
      <w:pPr>
        <w:jc w:val="both"/>
        <w:ind w:firstLine="1296"/>
        <w:spacing w:after="0" w:line="26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Form S-1</w:t>
      </w:r>
      <w:r>
        <w:rPr>
          <w:rFonts w:ascii="Arial" w:cs="Arial" w:eastAsia="Arial" w:hAnsi="Arial"/>
          <w:sz w:val="22"/>
          <w:szCs w:val="22"/>
          <w:color w:val="auto"/>
        </w:rPr>
        <w:t>” means such form under the Securities Act as in effect on the date hereof or any successor registration form under the Securities Act subsequently adopted by the SEC.</w:t>
      </w:r>
    </w:p>
    <w:p>
      <w:pPr>
        <w:spacing w:after="0" w:line="10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Form S-3</w:t>
      </w:r>
      <w:r>
        <w:rPr>
          <w:rFonts w:ascii="Arial" w:cs="Arial" w:eastAsia="Arial" w:hAnsi="Arial"/>
          <w:sz w:val="22"/>
          <w:szCs w:val="22"/>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2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Fully Diluted Capitalization</w:t>
      </w:r>
      <w:r>
        <w:rPr>
          <w:rFonts w:ascii="Arial" w:cs="Arial" w:eastAsia="Arial" w:hAnsi="Arial"/>
          <w:sz w:val="22"/>
          <w:szCs w:val="22"/>
          <w:color w:val="auto"/>
        </w:rPr>
        <w:t>” means the sum of (i) the outstanding shares of Common Stock; (ii) the shares of Common Stock directly or indirectly issuable upon conversion or exchange of all outstanding securities directly or indirectly convertible into or exchangeable for Common Stock and the exercise of all outstanding options and warrants; and (iii) the shares of Common Stock reserved, but neither issued nor the subject of outstanding awards, under any equity incentive or similar plan of the Company.</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means any holder of Registrable Securities who is a party to this Agreement.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Immediate Family Member</w:t>
      </w:r>
      <w:r>
        <w:rPr>
          <w:rFonts w:ascii="Arial" w:cs="Arial" w:eastAsia="Arial" w:hAnsi="Arial"/>
          <w:sz w:val="22"/>
          <w:szCs w:val="22"/>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Initiating Holders</w:t>
      </w:r>
      <w:r>
        <w:rPr>
          <w:rFonts w:ascii="Arial" w:cs="Arial" w:eastAsia="Arial" w:hAnsi="Arial"/>
          <w:sz w:val="19"/>
          <w:szCs w:val="19"/>
          <w:color w:val="auto"/>
        </w:rPr>
        <w:t>” means, collectively, Holders who properly initiate a registration request under this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Company’s first underwritten public offering of its Common Stock under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Key Employee</w:t>
      </w:r>
      <w:r>
        <w:rPr>
          <w:rFonts w:ascii="Arial" w:cs="Arial" w:eastAsia="Arial" w:hAnsi="Arial"/>
          <w:sz w:val="22"/>
          <w:szCs w:val="22"/>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Investor</w:t>
      </w:r>
      <w:r>
        <w:rPr>
          <w:rFonts w:ascii="Arial" w:cs="Arial" w:eastAsia="Arial" w:hAnsi="Arial"/>
          <w:sz w:val="19"/>
          <w:szCs w:val="19"/>
          <w:color w:val="auto"/>
        </w:rPr>
        <w:t>” means any Investor that, individually or together with such Investor’s Affiliates, holds</w:t>
      </w:r>
    </w:p>
    <w:p>
      <w:pPr>
        <w:spacing w:after="0" w:line="27" w:lineRule="exact"/>
        <w:rPr>
          <w:sz w:val="20"/>
          <w:szCs w:val="20"/>
          <w:color w:val="auto"/>
        </w:rPr>
      </w:pPr>
    </w:p>
    <w:p>
      <w:pPr>
        <w:jc w:val="both"/>
        <w:ind w:firstLine="8"/>
        <w:spacing w:after="0" w:line="245" w:lineRule="auto"/>
        <w:tabs>
          <w:tab w:leader="none" w:pos="25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at least 2,000,000 shares of Registrable Securities or (ii) shares of Registrable Securities representing at least 2.5% of the Fully Diluted Capitalization (in each case, as adjusted for any stock split, stock dividend, combination, or other recapitalization or reclassification effected after the date hereof).</w:t>
      </w:r>
    </w:p>
    <w:p>
      <w:pPr>
        <w:spacing w:after="0" w:line="13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New Securities</w:t>
      </w:r>
      <w:r>
        <w:rPr>
          <w:rFonts w:ascii="Arial" w:cs="Arial" w:eastAsia="Arial" w:hAnsi="Arial"/>
          <w:sz w:val="22"/>
          <w:szCs w:val="22"/>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256" w:name="page257"/>
    <w:bookmarkEnd w:id="256"/>
    <w:p>
      <w:pPr>
        <w:ind w:left="1300"/>
        <w:spacing w:after="0"/>
        <w:tabs>
          <w:tab w:leader="none" w:pos="19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trust, limited liability company, association 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other entity</w:t>
      </w:r>
      <w:r>
        <w:rPr>
          <w:rFonts w:ascii="Arial" w:cs="Arial" w:eastAsia="Arial" w:hAnsi="Arial"/>
          <w:sz w:val="22"/>
          <w:szCs w:val="22"/>
          <w:color w:val="0000FF"/>
        </w:rPr>
        <w:t>.</w:t>
      </w:r>
    </w:p>
    <w:p>
      <w:pPr>
        <w:spacing w:after="0" w:line="14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Preferred Stock</w:t>
      </w:r>
      <w:r>
        <w:rPr>
          <w:rFonts w:ascii="Arial" w:cs="Arial" w:eastAsia="Arial" w:hAnsi="Arial"/>
          <w:sz w:val="22"/>
          <w:szCs w:val="22"/>
          <w:color w:val="auto"/>
        </w:rPr>
        <w:t>” means, collectively, shares of Series A Preferred Stock, Series B Preferred Stock, Series C Preferred Stock, Series D Preferred Stock and Series D-1 Preferred Stock.</w:t>
      </w:r>
    </w:p>
    <w:p>
      <w:pPr>
        <w:spacing w:after="0" w:line="10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Registrable Securities</w:t>
      </w:r>
      <w:r>
        <w:rPr>
          <w:rFonts w:ascii="Arial" w:cs="Arial" w:eastAsia="Arial" w:hAnsi="Arial"/>
          <w:sz w:val="19"/>
          <w:szCs w:val="19"/>
          <w:color w:val="auto"/>
        </w:rPr>
        <w:t xml:space="preserve">” means (i) the Class A Common Stock issuable or issued upon conversion of the Preferred Stock;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9"/>
          <w:szCs w:val="19"/>
          <w:u w:val="single" w:color="auto"/>
          <w:color w:val="auto"/>
        </w:rPr>
        <w:t>Subsection 6.1</w:t>
      </w:r>
      <w:r>
        <w:rPr>
          <w:rFonts w:ascii="Arial" w:cs="Arial" w:eastAsia="Arial" w:hAnsi="Arial"/>
          <w:sz w:val="19"/>
          <w:szCs w:val="19"/>
          <w:color w:val="auto"/>
        </w:rPr>
        <w:t xml:space="preserve">, and excluding for purposes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any shares for which registration rights have terminated pursuant to </w:t>
      </w:r>
      <w:r>
        <w:rPr>
          <w:rFonts w:ascii="Arial" w:cs="Arial" w:eastAsia="Arial" w:hAnsi="Arial"/>
          <w:sz w:val="19"/>
          <w:szCs w:val="19"/>
          <w:u w:val="single" w:color="auto"/>
          <w:color w:val="auto"/>
        </w:rPr>
        <w:t>Subsection 2.13</w:t>
      </w:r>
      <w:r>
        <w:rPr>
          <w:rFonts w:ascii="Arial" w:cs="Arial" w:eastAsia="Arial" w:hAnsi="Arial"/>
          <w:sz w:val="19"/>
          <w:szCs w:val="19"/>
          <w:color w:val="auto"/>
        </w:rPr>
        <w:t xml:space="preserve"> of this Agreement.</w:t>
      </w:r>
    </w:p>
    <w:p>
      <w:pPr>
        <w:spacing w:after="0" w:line="9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Registrable Securities then outstanding</w:t>
      </w:r>
      <w:r>
        <w:rPr>
          <w:rFonts w:ascii="Arial" w:cs="Arial" w:eastAsia="Arial" w:hAnsi="Arial"/>
          <w:sz w:val="19"/>
          <w:szCs w:val="19"/>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Restricted Securities</w:t>
      </w:r>
      <w:r>
        <w:rPr>
          <w:rFonts w:ascii="Arial" w:cs="Arial" w:eastAsia="Arial" w:hAnsi="Arial"/>
          <w:sz w:val="22"/>
          <w:szCs w:val="22"/>
          <w:color w:val="auto"/>
        </w:rPr>
        <w:t xml:space="preserve">” means the securities of the Company required to be notated with the legend set forth in </w:t>
      </w:r>
      <w:r>
        <w:rPr>
          <w:rFonts w:ascii="Arial" w:cs="Arial" w:eastAsia="Arial" w:hAnsi="Arial"/>
          <w:sz w:val="22"/>
          <w:szCs w:val="22"/>
          <w:u w:val="single" w:color="auto"/>
          <w:color w:val="auto"/>
        </w:rPr>
        <w:t>Subsection 2.12(b)</w:t>
      </w:r>
      <w:r>
        <w:rPr>
          <w:rFonts w:ascii="Arial" w:cs="Arial" w:eastAsia="Arial" w:hAnsi="Arial"/>
          <w:sz w:val="22"/>
          <w:szCs w:val="22"/>
          <w:color w:val="auto"/>
        </w:rPr>
        <w:t xml:space="preserve"> hereof.</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Securities and Exchange Commission.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144</w:t>
      </w:r>
      <w:r>
        <w:rPr>
          <w:rFonts w:ascii="Arial" w:cs="Arial" w:eastAsia="Arial" w:hAnsi="Arial"/>
          <w:sz w:val="19"/>
          <w:szCs w:val="19"/>
          <w:color w:val="auto"/>
        </w:rPr>
        <w:t>” means Rule 144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145</w:t>
      </w:r>
      <w:r>
        <w:rPr>
          <w:rFonts w:ascii="Arial" w:cs="Arial" w:eastAsia="Arial" w:hAnsi="Arial"/>
          <w:sz w:val="19"/>
          <w:szCs w:val="19"/>
          <w:color w:val="auto"/>
        </w:rPr>
        <w:t>” means Rule 145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4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1.32 “</w:t>
      </w:r>
      <w:r>
        <w:rPr>
          <w:rFonts w:ascii="Arial" w:cs="Arial" w:eastAsia="Arial" w:hAnsi="Arial"/>
          <w:sz w:val="21"/>
          <w:szCs w:val="21"/>
          <w:b w:val="1"/>
          <w:bCs w:val="1"/>
          <w:color w:val="auto"/>
        </w:rPr>
        <w:t>Selling Expenses</w:t>
      </w:r>
      <w:r>
        <w:rPr>
          <w:rFonts w:ascii="Arial" w:cs="Arial" w:eastAsia="Arial" w:hAnsi="Arial"/>
          <w:sz w:val="21"/>
          <w:szCs w:val="21"/>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21"/>
          <w:szCs w:val="21"/>
          <w:u w:val="single" w:color="auto"/>
          <w:color w:val="auto"/>
        </w:rPr>
        <w:t>Subsection 2.6</w:t>
      </w:r>
      <w:r>
        <w:rPr>
          <w:rFonts w:ascii="Arial" w:cs="Arial" w:eastAsia="Arial" w:hAnsi="Arial"/>
          <w:sz w:val="21"/>
          <w:szCs w:val="21"/>
          <w:color w:val="auto"/>
        </w:rPr>
        <w:t>.</w:t>
      </w:r>
    </w:p>
    <w:p>
      <w:pPr>
        <w:spacing w:after="0" w:line="10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b w:val="1"/>
          <w:bCs w:val="1"/>
          <w:color w:val="auto"/>
        </w:rPr>
        <w:t>Preferred Director</w:t>
      </w:r>
      <w:r>
        <w:rPr>
          <w:rFonts w:ascii="Arial" w:cs="Arial" w:eastAsia="Arial" w:hAnsi="Arial"/>
          <w:sz w:val="22"/>
          <w:szCs w:val="22"/>
          <w:color w:val="auto"/>
        </w:rPr>
        <w:t>” means any director of the Company that the holders of record of the Preferred Stock are entitled to elect pursuant to the Company’s Certificate of Incorporation.</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A Preferred Stock</w:t>
      </w:r>
      <w:r>
        <w:rPr>
          <w:rFonts w:ascii="Arial" w:cs="Arial" w:eastAsia="Arial" w:hAnsi="Arial"/>
          <w:sz w:val="19"/>
          <w:szCs w:val="19"/>
          <w:color w:val="auto"/>
        </w:rPr>
        <w:t>” means shares of the Company’s Series A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57" w:name="page258"/>
    <w:bookmarkEnd w:id="257"/>
    <w:p>
      <w:pPr>
        <w:ind w:left="1300"/>
        <w:spacing w:after="0"/>
        <w:tabs>
          <w:tab w:leader="none" w:pos="19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B Preferred Stock</w:t>
      </w:r>
      <w:r>
        <w:rPr>
          <w:rFonts w:ascii="Arial" w:cs="Arial" w:eastAsia="Arial" w:hAnsi="Arial"/>
          <w:sz w:val="19"/>
          <w:szCs w:val="19"/>
          <w:color w:val="auto"/>
        </w:rPr>
        <w:t>” means shares of the Company’s Series B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C Preferred Stock</w:t>
      </w:r>
      <w:r>
        <w:rPr>
          <w:rFonts w:ascii="Arial" w:cs="Arial" w:eastAsia="Arial" w:hAnsi="Arial"/>
          <w:sz w:val="19"/>
          <w:szCs w:val="19"/>
          <w:color w:val="auto"/>
        </w:rPr>
        <w:t>” means shares of the Company’s Series C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D Preferred Stock</w:t>
      </w:r>
      <w:r>
        <w:rPr>
          <w:rFonts w:ascii="Arial" w:cs="Arial" w:eastAsia="Arial" w:hAnsi="Arial"/>
          <w:sz w:val="19"/>
          <w:szCs w:val="19"/>
          <w:color w:val="auto"/>
        </w:rPr>
        <w:t>” means shares of the Company’s Series D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1.38 “</w:t>
      </w:r>
      <w:r>
        <w:rPr>
          <w:rFonts w:ascii="Arial" w:cs="Arial" w:eastAsia="Arial" w:hAnsi="Arial"/>
          <w:sz w:val="22"/>
          <w:szCs w:val="22"/>
          <w:b w:val="1"/>
          <w:bCs w:val="1"/>
          <w:color w:val="auto"/>
        </w:rPr>
        <w:t>Series D-1 Preferred Stock</w:t>
      </w:r>
      <w:r>
        <w:rPr>
          <w:rFonts w:ascii="Arial" w:cs="Arial" w:eastAsia="Arial" w:hAnsi="Arial"/>
          <w:sz w:val="22"/>
          <w:szCs w:val="22"/>
          <w:color w:val="auto"/>
        </w:rPr>
        <w:t>” means shares of the Company’s Series D-1 Preferred Stock, par value $0.00001 per share.</w:t>
      </w:r>
    </w:p>
    <w:p>
      <w:pPr>
        <w:spacing w:after="0" w:line="114" w:lineRule="exact"/>
        <w:rPr>
          <w:sz w:val="20"/>
          <w:szCs w:val="20"/>
          <w:color w:val="auto"/>
        </w:rPr>
      </w:pPr>
    </w:p>
    <w:p>
      <w:pPr>
        <w:ind w:left="1300" w:hanging="644"/>
        <w:spacing w:after="0"/>
        <w:tabs>
          <w:tab w:leader="none" w:pos="1300" w:val="left"/>
        </w:tabs>
        <w:numPr>
          <w:ilvl w:val="1"/>
          <w:numId w:val="186"/>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 Company covenants and agrees as follows:</w:t>
      </w:r>
    </w:p>
    <w:p>
      <w:pPr>
        <w:spacing w:after="0" w:line="16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5" w:lineRule="auto"/>
        <w:tabs>
          <w:tab w:leader="none" w:pos="2589" w:val="left"/>
        </w:tabs>
        <w:numPr>
          <w:ilvl w:val="2"/>
          <w:numId w:val="186"/>
        </w:numPr>
        <w:rPr>
          <w:rFonts w:ascii="Arial" w:cs="Arial" w:eastAsia="Arial" w:hAnsi="Arial"/>
          <w:sz w:val="19"/>
          <w:szCs w:val="19"/>
          <w:color w:val="auto"/>
        </w:rPr>
      </w:pPr>
      <w:r>
        <w:rPr>
          <w:rFonts w:ascii="Arial" w:cs="Arial" w:eastAsia="Arial" w:hAnsi="Arial"/>
          <w:sz w:val="19"/>
          <w:szCs w:val="19"/>
          <w:u w:val="single" w:color="auto"/>
          <w:color w:val="auto"/>
        </w:rPr>
        <w:t>Form S-1 Demand</w:t>
      </w:r>
      <w:r>
        <w:rPr>
          <w:rFonts w:ascii="Arial" w:cs="Arial" w:eastAsia="Arial" w:hAnsi="Arial"/>
          <w:sz w:val="19"/>
          <w:szCs w:val="19"/>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lesser percent if the anticipated aggregate offering price, net of Selling Expenses, would exceed $10,000,000), then the Company shall</w:t>
      </w:r>
    </w:p>
    <w:p>
      <w:pPr>
        <w:spacing w:after="0" w:line="3" w:lineRule="exact"/>
        <w:rPr>
          <w:rFonts w:ascii="Arial" w:cs="Arial" w:eastAsia="Arial" w:hAnsi="Arial"/>
          <w:sz w:val="19"/>
          <w:szCs w:val="19"/>
          <w:color w:val="auto"/>
        </w:rPr>
      </w:pPr>
    </w:p>
    <w:p>
      <w:pPr>
        <w:jc w:val="both"/>
        <w:ind w:firstLine="8"/>
        <w:spacing w:after="0" w:line="290" w:lineRule="auto"/>
        <w:tabs>
          <w:tab w:leader="none" w:pos="31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within ten (10) days after the date such request is given, give notice thereof (the “</w:t>
      </w:r>
      <w:r>
        <w:rPr>
          <w:rFonts w:ascii="Arial" w:cs="Arial" w:eastAsia="Arial" w:hAnsi="Arial"/>
          <w:sz w:val="19"/>
          <w:szCs w:val="19"/>
          <w:b w:val="1"/>
          <w:bCs w:val="1"/>
          <w:color w:val="auto"/>
        </w:rPr>
        <w:t>Demand Notice</w:t>
      </w:r>
      <w:r>
        <w:rPr>
          <w:rFonts w:ascii="Arial" w:cs="Arial" w:eastAsia="Arial" w:hAnsi="Arial"/>
          <w:sz w:val="19"/>
          <w:szCs w:val="19"/>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p>
    <w:p>
      <w:pPr>
        <w:spacing w:after="0" w:line="99" w:lineRule="exact"/>
        <w:rPr>
          <w:rFonts w:ascii="Arial" w:cs="Arial" w:eastAsia="Arial" w:hAnsi="Arial"/>
          <w:sz w:val="19"/>
          <w:szCs w:val="19"/>
          <w:color w:val="auto"/>
        </w:rPr>
      </w:pPr>
    </w:p>
    <w:p>
      <w:pPr>
        <w:jc w:val="both"/>
        <w:ind w:firstLine="1952"/>
        <w:spacing w:after="0" w:line="289" w:lineRule="auto"/>
        <w:tabs>
          <w:tab w:leader="none" w:pos="2587" w:val="left"/>
        </w:tabs>
        <w:numPr>
          <w:ilvl w:val="2"/>
          <w:numId w:val="187"/>
        </w:numPr>
        <w:rPr>
          <w:rFonts w:ascii="Arial" w:cs="Arial" w:eastAsia="Arial" w:hAnsi="Arial"/>
          <w:sz w:val="19"/>
          <w:szCs w:val="19"/>
          <w:color w:val="auto"/>
        </w:rPr>
      </w:pPr>
      <w:r>
        <w:rPr>
          <w:rFonts w:ascii="Arial" w:cs="Arial" w:eastAsia="Arial" w:hAnsi="Arial"/>
          <w:sz w:val="19"/>
          <w:szCs w:val="19"/>
          <w:u w:val="single" w:color="auto"/>
          <w:color w:val="auto"/>
        </w:rPr>
        <w:t>Form S-3 Demand</w:t>
      </w:r>
      <w:r>
        <w:rPr>
          <w:rFonts w:ascii="Arial" w:cs="Arial" w:eastAsia="Arial" w:hAnsi="Arial"/>
          <w:sz w:val="19"/>
          <w:szCs w:val="19"/>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r>
        <w:rPr>
          <w:rFonts w:ascii="Arial" w:cs="Arial" w:eastAsia="Arial" w:hAnsi="Arial"/>
          <w:sz w:val="19"/>
          <w:szCs w:val="19"/>
          <w:color w:val="auto"/>
        </w:rPr>
        <w:t>.</w:t>
      </w:r>
    </w:p>
    <w:p>
      <w:pPr>
        <w:spacing w:after="0" w:line="102" w:lineRule="exact"/>
        <w:rPr>
          <w:rFonts w:ascii="Arial" w:cs="Arial" w:eastAsia="Arial" w:hAnsi="Arial"/>
          <w:sz w:val="19"/>
          <w:szCs w:val="19"/>
          <w:color w:val="auto"/>
        </w:rPr>
      </w:pPr>
    </w:p>
    <w:p>
      <w:pPr>
        <w:jc w:val="both"/>
        <w:ind w:firstLine="1952"/>
        <w:spacing w:after="0" w:line="253" w:lineRule="auto"/>
        <w:tabs>
          <w:tab w:leader="none" w:pos="2589" w:val="left"/>
        </w:tabs>
        <w:numPr>
          <w:ilvl w:val="2"/>
          <w:numId w:val="187"/>
        </w:numPr>
        <w:rPr>
          <w:rFonts w:ascii="Arial" w:cs="Arial" w:eastAsia="Arial" w:hAnsi="Arial"/>
          <w:sz w:val="22"/>
          <w:szCs w:val="22"/>
          <w:color w:val="auto"/>
        </w:rPr>
      </w:pPr>
      <w:r>
        <w:rPr>
          <w:rFonts w:ascii="Arial" w:cs="Arial" w:eastAsia="Arial" w:hAnsi="Arial"/>
          <w:sz w:val="22"/>
          <w:szCs w:val="22"/>
          <w:color w:val="auto"/>
        </w:rPr>
        <w:t xml:space="preserve">Notwithstanding the foregoing obligations, if the Company furnishes to Holders requesting a registration pursuant to this </w:t>
      </w:r>
      <w:r>
        <w:rPr>
          <w:rFonts w:ascii="Arial" w:cs="Arial" w:eastAsia="Arial" w:hAnsi="Arial"/>
          <w:sz w:val="22"/>
          <w:szCs w:val="22"/>
          <w:u w:val="single" w:color="auto"/>
          <w:color w:val="auto"/>
        </w:rPr>
        <w:t>Subsection 2.1</w:t>
      </w:r>
      <w:r>
        <w:rPr>
          <w:rFonts w:ascii="Arial" w:cs="Arial" w:eastAsia="Arial" w:hAnsi="Arial"/>
          <w:sz w:val="22"/>
          <w:szCs w:val="22"/>
          <w:color w:val="auto"/>
        </w:rPr>
        <w:t xml:space="preserve"> a certificate signed by the Company’s chief executive officer stating that in the good faith judgment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58" w:name="page259"/>
    <w:bookmarkEnd w:id="258"/>
    <w:p>
      <w:pPr>
        <w:jc w:val="both"/>
        <w:spacing w:after="0" w:line="288" w:lineRule="auto"/>
        <w:rPr>
          <w:sz w:val="20"/>
          <w:szCs w:val="20"/>
          <w:color w:val="auto"/>
        </w:rPr>
      </w:pPr>
      <w:r>
        <w:rPr>
          <w:rFonts w:ascii="Arial" w:cs="Arial" w:eastAsia="Arial" w:hAnsi="Arial"/>
          <w:sz w:val="19"/>
          <w:szCs w:val="19"/>
          <w:color w:val="auto"/>
        </w:rPr>
        <w:t xml:space="preserve">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may not invoke this right more than twice in any twelve (12) month period;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shall not register any securities for its own account or that of any other stockholder during such ninety (90) day period other than an Excluded Registration.</w:t>
      </w:r>
    </w:p>
    <w:p>
      <w:pPr>
        <w:spacing w:after="0" w:line="105" w:lineRule="exact"/>
        <w:rPr>
          <w:sz w:val="20"/>
          <w:szCs w:val="20"/>
          <w:color w:val="auto"/>
        </w:rPr>
      </w:pPr>
    </w:p>
    <w:p>
      <w:pPr>
        <w:jc w:val="both"/>
        <w:ind w:firstLine="1952"/>
        <w:spacing w:after="0" w:line="285" w:lineRule="auto"/>
        <w:tabs>
          <w:tab w:leader="none" w:pos="258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effect, or to take any action to effect, any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within the twelve (12) month period immediately preceding the date of such request. A registration shall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9"/>
          <w:szCs w:val="19"/>
          <w:u w:val="single" w:color="auto"/>
          <w:color w:val="auto"/>
        </w:rPr>
        <w:t>Subsection 2.6</w:t>
      </w:r>
      <w:r>
        <w:rPr>
          <w:rFonts w:ascii="Arial" w:cs="Arial" w:eastAsia="Arial" w:hAnsi="Arial"/>
          <w:sz w:val="19"/>
          <w:szCs w:val="19"/>
          <w:color w:val="auto"/>
        </w:rPr>
        <w:t xml:space="preserve">, in which case such withdrawn registration statement shall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withdrawal is during a period the Company has deferred taking action pursuant to </w:t>
      </w:r>
      <w:r>
        <w:rPr>
          <w:rFonts w:ascii="Arial" w:cs="Arial" w:eastAsia="Arial" w:hAnsi="Arial"/>
          <w:sz w:val="19"/>
          <w:szCs w:val="19"/>
          <w:u w:val="single" w:color="auto"/>
          <w:color w:val="auto"/>
        </w:rPr>
        <w:t>Subsection 2.1(c)</w:t>
      </w:r>
      <w:r>
        <w:rPr>
          <w:rFonts w:ascii="Arial" w:cs="Arial" w:eastAsia="Arial" w:hAnsi="Arial"/>
          <w:sz w:val="19"/>
          <w:szCs w:val="19"/>
          <w:color w:val="auto"/>
        </w:rPr>
        <w:t xml:space="preserve">, then the Initiating Holders may withdraw their request for registration and such registration will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w:t>
      </w:r>
    </w:p>
    <w:p>
      <w:pPr>
        <w:spacing w:after="0" w:line="3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 Company Registration.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59" w:name="page260"/>
    <w:bookmarkEnd w:id="259"/>
    <w:p>
      <w:pPr>
        <w:jc w:val="both"/>
        <w:spacing w:after="0" w:line="294" w:lineRule="auto"/>
        <w:rPr>
          <w:sz w:val="20"/>
          <w:szCs w:val="20"/>
          <w:color w:val="auto"/>
        </w:rPr>
      </w:pPr>
      <w:r>
        <w:rPr>
          <w:rFonts w:ascii="Arial" w:cs="Arial" w:eastAsia="Arial" w:hAnsi="Arial"/>
          <w:sz w:val="19"/>
          <w:szCs w:val="19"/>
          <w:color w:val="auto"/>
        </w:rPr>
        <w:t xml:space="preserve">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9"/>
          <w:szCs w:val="19"/>
          <w:u w:val="single" w:color="auto"/>
          <w:color w:val="auto"/>
        </w:rPr>
        <w:t>Subsection 2.2</w:t>
      </w:r>
      <w:r>
        <w:rPr>
          <w:rFonts w:ascii="Arial" w:cs="Arial" w:eastAsia="Arial" w:hAnsi="Arial"/>
          <w:sz w:val="19"/>
          <w:szCs w:val="19"/>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9"/>
          <w:szCs w:val="19"/>
          <w:u w:val="single" w:color="auto"/>
          <w:color w:val="auto"/>
        </w:rPr>
        <w:t>Subsection 2.6</w:t>
      </w:r>
      <w:r>
        <w:rPr>
          <w:rFonts w:ascii="Arial" w:cs="Arial" w:eastAsia="Arial" w:hAnsi="Arial"/>
          <w:sz w:val="19"/>
          <w:szCs w:val="19"/>
          <w:color w:val="auto"/>
        </w:rPr>
        <w:t>.</w:t>
      </w:r>
    </w:p>
    <w:p>
      <w:pPr>
        <w:spacing w:after="0" w:line="9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Underwriting Requirements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2" w:lineRule="auto"/>
        <w:tabs>
          <w:tab w:leader="none" w:pos="2589"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9"/>
          <w:szCs w:val="19"/>
          <w:u w:val="single" w:color="auto"/>
          <w:color w:val="auto"/>
        </w:rPr>
        <w:t>Subsection 2.4(e)</w:t>
      </w:r>
      <w:r>
        <w:rPr>
          <w:rFonts w:ascii="Arial" w:cs="Arial" w:eastAsia="Arial" w:hAnsi="Arial"/>
          <w:sz w:val="19"/>
          <w:szCs w:val="19"/>
          <w:color w:val="auto"/>
        </w:rPr>
        <w:t xml:space="preserve">) enter into an underwriting agreement in customary form with the underwriter(s) selected for such underwriting. Notwithstanding any other provision of this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w:t>
      </w:r>
    </w:p>
    <w:p>
      <w:pPr>
        <w:spacing w:after="0" w:line="14" w:lineRule="exact"/>
        <w:rPr>
          <w:rFonts w:ascii="Arial" w:cs="Arial" w:eastAsia="Arial" w:hAnsi="Arial"/>
          <w:sz w:val="19"/>
          <w:szCs w:val="19"/>
          <w:color w:val="auto"/>
        </w:rPr>
      </w:pPr>
    </w:p>
    <w:p>
      <w:pPr>
        <w:ind w:left="520" w:hanging="512"/>
        <w:spacing w:after="0"/>
        <w:tabs>
          <w:tab w:leader="none" w:pos="5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shares.</w:t>
      </w:r>
    </w:p>
    <w:p>
      <w:pPr>
        <w:spacing w:after="0" w:line="159" w:lineRule="exact"/>
        <w:rPr>
          <w:rFonts w:ascii="Arial" w:cs="Arial" w:eastAsia="Arial" w:hAnsi="Arial"/>
          <w:sz w:val="21"/>
          <w:szCs w:val="21"/>
          <w:color w:val="auto"/>
        </w:rPr>
      </w:pPr>
    </w:p>
    <w:p>
      <w:pPr>
        <w:jc w:val="both"/>
        <w:ind w:firstLine="1952"/>
        <w:spacing w:after="0" w:line="292" w:lineRule="auto"/>
        <w:tabs>
          <w:tab w:leader="none" w:pos="2587"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In connection with any offering involving an underwriting of shares of the Company’s capital stock pursuant to </w:t>
      </w:r>
      <w:r>
        <w:rPr>
          <w:rFonts w:ascii="Arial" w:cs="Arial" w:eastAsia="Arial" w:hAnsi="Arial"/>
          <w:sz w:val="19"/>
          <w:szCs w:val="19"/>
          <w:u w:val="single" w:color="auto"/>
          <w:color w:val="auto"/>
        </w:rPr>
        <w:t>Subsection 2.2</w:t>
      </w:r>
      <w:r>
        <w:rPr>
          <w:rFonts w:ascii="Arial" w:cs="Arial" w:eastAsia="Arial" w:hAnsi="Arial"/>
          <w:sz w:val="19"/>
          <w:szCs w:val="19"/>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60" w:name="page261"/>
    <w:bookmarkEnd w:id="260"/>
    <w:p>
      <w:pPr>
        <w:jc w:val="both"/>
        <w:spacing w:after="0" w:line="285" w:lineRule="auto"/>
        <w:rPr>
          <w:sz w:val="20"/>
          <w:szCs w:val="20"/>
          <w:color w:val="auto"/>
        </w:rPr>
      </w:pPr>
      <w:r>
        <w:rPr>
          <w:rFonts w:ascii="Arial" w:cs="Arial" w:eastAsia="Arial" w:hAnsi="Arial"/>
          <w:sz w:val="19"/>
          <w:szCs w:val="19"/>
          <w:color w:val="auto"/>
        </w:rPr>
        <w:t xml:space="preserve">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9"/>
          <w:szCs w:val="19"/>
          <w:u w:val="single" w:color="auto"/>
          <w:color w:val="auto"/>
        </w:rPr>
        <w:t>Subsection 2.3(b)</w:t>
      </w:r>
      <w:r>
        <w:rPr>
          <w:rFonts w:ascii="Arial" w:cs="Arial" w:eastAsia="Arial" w:hAnsi="Arial"/>
          <w:sz w:val="19"/>
          <w:szCs w:val="19"/>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0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Whenever required under this</w:t>
      </w:r>
      <w:r>
        <w:rPr>
          <w:rFonts w:ascii="Arial" w:cs="Arial" w:eastAsia="Arial" w:hAnsi="Arial"/>
          <w:sz w:val="19"/>
          <w:szCs w:val="19"/>
          <w:u w:val="single" w:color="auto"/>
          <w:color w:val="auto"/>
        </w:rPr>
        <w:t xml:space="preserve"> Section 2 </w:t>
      </w:r>
      <w:r>
        <w:rPr>
          <w:rFonts w:ascii="Arial" w:cs="Arial" w:eastAsia="Arial" w:hAnsi="Arial"/>
          <w:sz w:val="19"/>
          <w:szCs w:val="19"/>
          <w:color w:val="auto"/>
        </w:rPr>
        <w:t>to effect the registration of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Registrable Securities, the Company shall, as expeditiously as reasonably possible:</w:t>
      </w:r>
    </w:p>
    <w:p>
      <w:pPr>
        <w:spacing w:after="0" w:line="148" w:lineRule="exact"/>
        <w:rPr>
          <w:sz w:val="20"/>
          <w:szCs w:val="20"/>
          <w:color w:val="auto"/>
        </w:rPr>
      </w:pPr>
    </w:p>
    <w:p>
      <w:pPr>
        <w:jc w:val="both"/>
        <w:ind w:firstLine="1952"/>
        <w:spacing w:after="0" w:line="258" w:lineRule="auto"/>
        <w:tabs>
          <w:tab w:leader="none" w:pos="2589"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thirty (30) days, if necessary, to keep the registration statement effective until all such Registrable Securities are sold;</w:t>
      </w:r>
    </w:p>
    <w:p>
      <w:pPr>
        <w:spacing w:after="0" w:line="131" w:lineRule="exact"/>
        <w:rPr>
          <w:rFonts w:ascii="Arial" w:cs="Arial" w:eastAsia="Arial" w:hAnsi="Arial"/>
          <w:sz w:val="21"/>
          <w:szCs w:val="21"/>
          <w:color w:val="auto"/>
        </w:rPr>
      </w:pPr>
    </w:p>
    <w:p>
      <w:pPr>
        <w:ind w:firstLine="1952"/>
        <w:spacing w:after="0" w:line="263" w:lineRule="auto"/>
        <w:tabs>
          <w:tab w:leader="none" w:pos="258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such registration statement, and the prospectus used in connection with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61" w:name="page262"/>
    <w:bookmarkEnd w:id="261"/>
    <w:p>
      <w:pPr>
        <w:spacing w:after="0" w:line="263" w:lineRule="auto"/>
        <w:rPr>
          <w:sz w:val="20"/>
          <w:szCs w:val="20"/>
          <w:color w:val="auto"/>
        </w:rPr>
      </w:pPr>
      <w:r>
        <w:rPr>
          <w:rFonts w:ascii="Arial" w:cs="Arial" w:eastAsia="Arial" w:hAnsi="Arial"/>
          <w:sz w:val="22"/>
          <w:szCs w:val="22"/>
          <w:color w:val="auto"/>
        </w:rPr>
        <w:t>statement, as may be necessary to comply with the Securities Act in order to enable the disposition of all securities covered by such registration statement;</w:t>
      </w:r>
    </w:p>
    <w:p>
      <w:pPr>
        <w:spacing w:after="0" w:line="121" w:lineRule="exact"/>
        <w:rPr>
          <w:sz w:val="20"/>
          <w:szCs w:val="20"/>
          <w:color w:val="auto"/>
        </w:rPr>
      </w:pPr>
    </w:p>
    <w:p>
      <w:pPr>
        <w:jc w:val="both"/>
        <w:ind w:firstLine="1952"/>
        <w:spacing w:after="0" w:line="253" w:lineRule="auto"/>
        <w:tabs>
          <w:tab w:leader="none" w:pos="258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1" w:lineRule="exact"/>
        <w:rPr>
          <w:rFonts w:ascii="Arial" w:cs="Arial" w:eastAsia="Arial" w:hAnsi="Arial"/>
          <w:sz w:val="22"/>
          <w:szCs w:val="22"/>
          <w:color w:val="auto"/>
        </w:rPr>
      </w:pPr>
    </w:p>
    <w:p>
      <w:pPr>
        <w:jc w:val="both"/>
        <w:ind w:firstLine="1952"/>
        <w:spacing w:after="0" w:line="248" w:lineRule="auto"/>
        <w:tabs>
          <w:tab w:leader="none" w:pos="258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37" w:lineRule="exact"/>
        <w:rPr>
          <w:rFonts w:ascii="Arial" w:cs="Arial" w:eastAsia="Arial" w:hAnsi="Arial"/>
          <w:sz w:val="22"/>
          <w:szCs w:val="22"/>
          <w:color w:val="auto"/>
        </w:rPr>
      </w:pPr>
    </w:p>
    <w:p>
      <w:pPr>
        <w:ind w:right="20" w:firstLine="1952"/>
        <w:spacing w:after="0" w:line="263" w:lineRule="auto"/>
        <w:tabs>
          <w:tab w:leader="none" w:pos="258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usual and customary form, with the underwriter(s) of such offering;</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592" w:val="left"/>
        </w:tabs>
        <w:numPr>
          <w:ilvl w:val="0"/>
          <w:numId w:val="192"/>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1" w:lineRule="exact"/>
        <w:rPr>
          <w:rFonts w:ascii="Arial" w:cs="Arial" w:eastAsia="Arial" w:hAnsi="Arial"/>
          <w:sz w:val="22"/>
          <w:szCs w:val="22"/>
          <w:color w:val="auto"/>
        </w:rPr>
      </w:pPr>
    </w:p>
    <w:p>
      <w:pPr>
        <w:jc w:val="both"/>
        <w:ind w:firstLine="1952"/>
        <w:spacing w:after="0" w:line="246" w:lineRule="auto"/>
        <w:tabs>
          <w:tab w:leader="none" w:pos="258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2" w:lineRule="exact"/>
        <w:rPr>
          <w:rFonts w:ascii="Arial" w:cs="Arial" w:eastAsia="Arial" w:hAnsi="Arial"/>
          <w:sz w:val="22"/>
          <w:szCs w:val="22"/>
          <w:color w:val="auto"/>
        </w:rPr>
      </w:pPr>
    </w:p>
    <w:p>
      <w:pPr>
        <w:jc w:val="both"/>
        <w:ind w:firstLine="1952"/>
        <w:spacing w:after="0" w:line="253" w:lineRule="auto"/>
        <w:tabs>
          <w:tab w:leader="none" w:pos="25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31" w:lineRule="exact"/>
        <w:rPr>
          <w:rFonts w:ascii="Arial" w:cs="Arial" w:eastAsia="Arial" w:hAnsi="Arial"/>
          <w:sz w:val="22"/>
          <w:szCs w:val="22"/>
          <w:color w:val="auto"/>
        </w:rPr>
      </w:pPr>
    </w:p>
    <w:p>
      <w:pPr>
        <w:ind w:firstLine="1952"/>
        <w:spacing w:after="0" w:line="263" w:lineRule="auto"/>
        <w:tabs>
          <w:tab w:leader="none" w:pos="25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after such registration statement becomes effective, notify each selling Holder of any request by the SEC that the Company amend or supplement such registration statement or prospectus.</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In addition, the Company shall ensure that, at all times after any registration statement covering a public offering of securities of the Company under the Securities Act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62" w:name="page263"/>
    <w:bookmarkEnd w:id="262"/>
    <w:p>
      <w:pPr>
        <w:jc w:val="both"/>
        <w:spacing w:after="0" w:line="263" w:lineRule="auto"/>
        <w:rPr>
          <w:sz w:val="20"/>
          <w:szCs w:val="20"/>
          <w:color w:val="auto"/>
        </w:rPr>
      </w:pPr>
      <w:r>
        <w:rPr>
          <w:rFonts w:ascii="Arial" w:cs="Arial" w:eastAsia="Arial" w:hAnsi="Arial"/>
          <w:sz w:val="22"/>
          <w:szCs w:val="22"/>
          <w:color w:val="auto"/>
        </w:rPr>
        <w:t>have become effective, its insider trading policy shall provide that the Company’s directors may implement a trading program under Rule 10b5-1 of the Exchange Act.</w:t>
      </w:r>
    </w:p>
    <w:p>
      <w:pPr>
        <w:spacing w:after="0" w:line="12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Furnish Information</w:t>
      </w:r>
      <w:r>
        <w:rPr>
          <w:rFonts w:ascii="Arial" w:cs="Arial" w:eastAsia="Arial" w:hAnsi="Arial"/>
          <w:sz w:val="19"/>
          <w:szCs w:val="19"/>
          <w:color w:val="auto"/>
        </w:rPr>
        <w:t xml:space="preserve">. It shall be a condition precedent to the obligations of the Company to take any action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Expenses of Registration</w:t>
      </w:r>
      <w:r>
        <w:rPr>
          <w:rFonts w:ascii="Arial" w:cs="Arial" w:eastAsia="Arial" w:hAnsi="Arial"/>
          <w:sz w:val="19"/>
          <w:szCs w:val="19"/>
          <w:color w:val="auto"/>
        </w:rPr>
        <w:t xml:space="preserve">. All expenses (other than Selling Expenses) incurred in connection with registrations, filings, or qualifications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Arial" w:cs="Arial" w:eastAsia="Arial" w:hAnsi="Arial"/>
          <w:sz w:val="19"/>
          <w:szCs w:val="19"/>
          <w:b w:val="1"/>
          <w:bCs w:val="1"/>
          <w:color w:val="auto"/>
        </w:rPr>
        <w:t>Selling Holder Counsel</w:t>
      </w:r>
      <w:r>
        <w:rPr>
          <w:rFonts w:ascii="Arial" w:cs="Arial" w:eastAsia="Arial" w:hAnsi="Arial"/>
          <w:sz w:val="19"/>
          <w:szCs w:val="19"/>
          <w:color w:val="auto"/>
        </w:rPr>
        <w:t xml:space="preserve">”), shall be borne and paid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pay for any expenses of any registration proceeding begun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9"/>
          <w:szCs w:val="19"/>
          <w:u w:val="single" w:color="auto"/>
          <w:color w:val="auto"/>
        </w:rPr>
        <w:t>Subsections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 Holders shall not be required to pay any of such expenses and shall not forfeit their right to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All Selling Expenses relating to Registrable Securities registered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borne and paid by the Holders pro rata on the basis of the number of Registrable Securities registered on their behalf.</w:t>
      </w:r>
    </w:p>
    <w:p>
      <w:pPr>
        <w:spacing w:after="0" w:line="36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Delay of Registration</w:t>
      </w:r>
      <w:r>
        <w:rPr>
          <w:rFonts w:ascii="Arial" w:cs="Arial" w:eastAsia="Arial" w:hAnsi="Arial"/>
          <w:sz w:val="22"/>
          <w:szCs w:val="22"/>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3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 If any Registrable Securities are included in a registration statement under this</w:t>
      </w:r>
      <w:r>
        <w:rPr>
          <w:rFonts w:ascii="Arial" w:cs="Arial" w:eastAsia="Arial" w:hAnsi="Arial"/>
          <w:sz w:val="19"/>
          <w:szCs w:val="19"/>
          <w:u w:val="single" w:color="auto"/>
          <w:color w:val="auto"/>
        </w:rPr>
        <w:t xml:space="preserve"> Section 2</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94" w:lineRule="auto"/>
        <w:tabs>
          <w:tab w:leader="none" w:pos="258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63" w:name="page264"/>
    <w:bookmarkEnd w:id="263"/>
    <w:p>
      <w:pPr>
        <w:jc w:val="both"/>
        <w:spacing w:after="0" w:line="294" w:lineRule="auto"/>
        <w:rPr>
          <w:sz w:val="20"/>
          <w:szCs w:val="20"/>
          <w:color w:val="auto"/>
        </w:rPr>
      </w:pPr>
      <w:r>
        <w:rPr>
          <w:rFonts w:ascii="Arial" w:cs="Arial" w:eastAsia="Arial" w:hAnsi="Arial"/>
          <w:sz w:val="19"/>
          <w:szCs w:val="19"/>
          <w:color w:val="auto"/>
        </w:rPr>
        <w:t xml:space="preserve">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2.8(a)</w:t>
      </w:r>
      <w:r>
        <w:rPr>
          <w:rFonts w:ascii="Arial" w:cs="Arial" w:eastAsia="Arial" w:hAnsi="Arial"/>
          <w:sz w:val="19"/>
          <w:szCs w:val="19"/>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95" w:lineRule="exact"/>
        <w:rPr>
          <w:sz w:val="20"/>
          <w:szCs w:val="20"/>
          <w:color w:val="auto"/>
        </w:rPr>
      </w:pPr>
    </w:p>
    <w:p>
      <w:pPr>
        <w:jc w:val="both"/>
        <w:ind w:firstLine="1952"/>
        <w:spacing w:after="0" w:line="286" w:lineRule="auto"/>
        <w:tabs>
          <w:tab w:leader="none" w:pos="258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2.8(b)</w:t>
      </w:r>
      <w:r>
        <w:rPr>
          <w:rFonts w:ascii="Arial" w:cs="Arial" w:eastAsia="Arial" w:hAnsi="Arial"/>
          <w:sz w:val="19"/>
          <w:szCs w:val="19"/>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amounts payable by any Holder by way of indemnity or contribution under </w:t>
      </w:r>
      <w:r>
        <w:rPr>
          <w:rFonts w:ascii="Arial" w:cs="Arial" w:eastAsia="Arial" w:hAnsi="Arial"/>
          <w:sz w:val="19"/>
          <w:szCs w:val="19"/>
          <w:u w:val="single" w:color="auto"/>
          <w:color w:val="auto"/>
        </w:rPr>
        <w:t>Subsections 2.8(b)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2.8(d)</w:t>
      </w:r>
      <w:r>
        <w:rPr>
          <w:rFonts w:ascii="Arial" w:cs="Arial" w:eastAsia="Arial" w:hAnsi="Arial"/>
          <w:sz w:val="19"/>
          <w:szCs w:val="19"/>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Arial" w:cs="Arial" w:eastAsia="Arial" w:hAnsi="Arial"/>
          <w:sz w:val="19"/>
          <w:szCs w:val="19"/>
          <w:color w:val="auto"/>
        </w:rPr>
      </w:pPr>
    </w:p>
    <w:p>
      <w:pPr>
        <w:jc w:val="both"/>
        <w:ind w:firstLine="1952"/>
        <w:spacing w:after="0" w:line="287" w:lineRule="auto"/>
        <w:tabs>
          <w:tab w:leader="none" w:pos="258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64" w:name="page265"/>
    <w:bookmarkEnd w:id="264"/>
    <w:p>
      <w:pPr>
        <w:jc w:val="both"/>
        <w:spacing w:after="0" w:line="253" w:lineRule="auto"/>
        <w:rPr>
          <w:sz w:val="20"/>
          <w:szCs w:val="20"/>
          <w:color w:val="auto"/>
        </w:rPr>
      </w:pPr>
      <w:r>
        <w:rPr>
          <w:rFonts w:ascii="Arial" w:cs="Arial" w:eastAsia="Arial" w:hAnsi="Arial"/>
          <w:sz w:val="22"/>
          <w:szCs w:val="22"/>
          <w:u w:val="single" w:color="auto"/>
          <w:color w:val="auto"/>
        </w:rPr>
        <w:t>Subsection 2.8</w:t>
      </w:r>
      <w:r>
        <w:rPr>
          <w:rFonts w:ascii="Arial" w:cs="Arial" w:eastAsia="Arial" w:hAnsi="Arial"/>
          <w:sz w:val="22"/>
          <w:szCs w:val="22"/>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22"/>
          <w:szCs w:val="22"/>
          <w:u w:val="single" w:color="auto"/>
          <w:color w:val="auto"/>
        </w:rPr>
        <w:t>Subsection 2.8</w:t>
      </w:r>
      <w:r>
        <w:rPr>
          <w:rFonts w:ascii="Arial" w:cs="Arial" w:eastAsia="Arial" w:hAnsi="Arial"/>
          <w:sz w:val="22"/>
          <w:szCs w:val="22"/>
          <w:color w:val="auto"/>
        </w:rPr>
        <w:t>.</w:t>
      </w:r>
    </w:p>
    <w:p>
      <w:pPr>
        <w:spacing w:after="0" w:line="131" w:lineRule="exact"/>
        <w:rPr>
          <w:sz w:val="20"/>
          <w:szCs w:val="20"/>
          <w:color w:val="auto"/>
        </w:rPr>
      </w:pPr>
    </w:p>
    <w:p>
      <w:pPr>
        <w:jc w:val="both"/>
        <w:ind w:firstLine="1952"/>
        <w:spacing w:after="0" w:line="284" w:lineRule="auto"/>
        <w:tabs>
          <w:tab w:leader="none" w:pos="258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a Holder’s liability pursuant to this </w:t>
      </w:r>
      <w:r>
        <w:rPr>
          <w:rFonts w:ascii="Arial" w:cs="Arial" w:eastAsia="Arial" w:hAnsi="Arial"/>
          <w:sz w:val="19"/>
          <w:szCs w:val="19"/>
          <w:u w:val="single" w:color="auto"/>
          <w:color w:val="auto"/>
        </w:rPr>
        <w:t>Subsection 2.8(d)</w:t>
      </w:r>
      <w:r>
        <w:rPr>
          <w:rFonts w:ascii="Arial" w:cs="Arial" w:eastAsia="Arial" w:hAnsi="Arial"/>
          <w:sz w:val="19"/>
          <w:szCs w:val="19"/>
          <w:color w:val="auto"/>
        </w:rPr>
        <w:t xml:space="preserve">, when combined with the amounts paid or payable by such Holder pursuant to </w:t>
      </w:r>
      <w:r>
        <w:rPr>
          <w:rFonts w:ascii="Arial" w:cs="Arial" w:eastAsia="Arial" w:hAnsi="Arial"/>
          <w:sz w:val="19"/>
          <w:szCs w:val="19"/>
          <w:u w:val="single" w:color="auto"/>
          <w:color w:val="auto"/>
        </w:rPr>
        <w:t>Subsection 2.8(b)</w:t>
      </w:r>
      <w:r>
        <w:rPr>
          <w:rFonts w:ascii="Arial" w:cs="Arial" w:eastAsia="Arial" w:hAnsi="Arial"/>
          <w:sz w:val="19"/>
          <w:szCs w:val="19"/>
          <w:color w:val="auto"/>
        </w:rPr>
        <w:t>, exceed the proceeds from the offering received by such Holder (net of any Selling Expenses paid by such Holder), except in the case of willful misconduct or fraud by such Holder.</w:t>
      </w:r>
    </w:p>
    <w:p>
      <w:pPr>
        <w:spacing w:after="0" w:line="377" w:lineRule="exact"/>
        <w:rPr>
          <w:rFonts w:ascii="Arial" w:cs="Arial" w:eastAsia="Arial" w:hAnsi="Arial"/>
          <w:sz w:val="19"/>
          <w:szCs w:val="19"/>
          <w:color w:val="auto"/>
        </w:rPr>
      </w:pPr>
    </w:p>
    <w:p>
      <w:pPr>
        <w:jc w:val="both"/>
        <w:ind w:firstLine="1952"/>
        <w:spacing w:after="0" w:line="253" w:lineRule="auto"/>
        <w:tabs>
          <w:tab w:leader="none" w:pos="258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1" w:lineRule="exact"/>
        <w:rPr>
          <w:rFonts w:ascii="Arial" w:cs="Arial" w:eastAsia="Arial" w:hAnsi="Arial"/>
          <w:sz w:val="22"/>
          <w:szCs w:val="22"/>
          <w:color w:val="auto"/>
        </w:rPr>
      </w:pPr>
    </w:p>
    <w:p>
      <w:pPr>
        <w:jc w:val="both"/>
        <w:ind w:firstLine="1952"/>
        <w:spacing w:after="0" w:line="250" w:lineRule="auto"/>
        <w:tabs>
          <w:tab w:leader="none" w:pos="259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22"/>
          <w:szCs w:val="22"/>
          <w:u w:val="single" w:color="auto"/>
          <w:color w:val="auto"/>
        </w:rPr>
        <w:t>Subsection 2.8</w:t>
      </w:r>
      <w:r>
        <w:rPr>
          <w:rFonts w:ascii="Arial" w:cs="Arial" w:eastAsia="Arial" w:hAnsi="Arial"/>
          <w:sz w:val="22"/>
          <w:szCs w:val="22"/>
          <w:color w:val="auto"/>
        </w:rPr>
        <w:t xml:space="preserve"> shall survive the completion of any offering of Registrable Securities in a registration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and otherwise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65" w:name="page266"/>
    <w:bookmarkEnd w:id="265"/>
    <w:p>
      <w:pPr>
        <w:jc w:val="both"/>
        <w:ind w:firstLine="1296"/>
        <w:spacing w:after="0" w:line="253"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Reports Under Exchange Act</w:t>
      </w:r>
      <w:r>
        <w:rPr>
          <w:rFonts w:ascii="Arial" w:cs="Arial" w:eastAsia="Arial" w:hAnsi="Arial"/>
          <w:sz w:val="22"/>
          <w:szCs w:val="22"/>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31" w:lineRule="exact"/>
        <w:rPr>
          <w:sz w:val="20"/>
          <w:szCs w:val="20"/>
          <w:color w:val="auto"/>
        </w:rPr>
      </w:pPr>
    </w:p>
    <w:p>
      <w:pPr>
        <w:ind w:firstLine="1952"/>
        <w:spacing w:after="0" w:line="343" w:lineRule="auto"/>
        <w:tabs>
          <w:tab w:leader="none" w:pos="2589" w:val="left"/>
        </w:tabs>
        <w:numPr>
          <w:ilvl w:val="0"/>
          <w:numId w:val="196"/>
        </w:numPr>
        <w:rPr>
          <w:rFonts w:ascii="Arial" w:cs="Arial" w:eastAsia="Arial" w:hAnsi="Arial"/>
          <w:sz w:val="19"/>
          <w:szCs w:val="19"/>
          <w:color w:val="auto"/>
        </w:rPr>
      </w:pPr>
      <w:r>
        <w:rPr>
          <w:rFonts w:ascii="Arial" w:cs="Arial" w:eastAsia="Arial" w:hAnsi="Arial"/>
          <w:sz w:val="19"/>
          <w:szCs w:val="19"/>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0"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1" w:lineRule="exact"/>
        <w:rPr>
          <w:rFonts w:ascii="Arial" w:cs="Arial" w:eastAsia="Arial" w:hAnsi="Arial"/>
          <w:sz w:val="22"/>
          <w:szCs w:val="22"/>
          <w:color w:val="auto"/>
        </w:rPr>
      </w:pPr>
    </w:p>
    <w:p>
      <w:pPr>
        <w:jc w:val="both"/>
        <w:ind w:firstLine="1952"/>
        <w:spacing w:after="0" w:line="259" w:lineRule="auto"/>
        <w:tabs>
          <w:tab w:leader="none" w:pos="2589" w:val="left"/>
        </w:tabs>
        <w:numPr>
          <w:ilvl w:val="0"/>
          <w:numId w:val="196"/>
        </w:numPr>
        <w:rPr>
          <w:rFonts w:ascii="Arial" w:cs="Arial" w:eastAsia="Arial" w:hAnsi="Arial"/>
          <w:sz w:val="21"/>
          <w:szCs w:val="21"/>
          <w:color w:val="auto"/>
        </w:rPr>
      </w:pPr>
      <w:r>
        <w:rPr>
          <w:rFonts w:ascii="Arial" w:cs="Arial" w:eastAsia="Arial" w:hAnsi="Arial"/>
          <w:sz w:val="21"/>
          <w:szCs w:val="21"/>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Limitations on Subsequent Registration Rights</w:t>
      </w:r>
      <w:r>
        <w:rPr>
          <w:rFonts w:ascii="Arial" w:cs="Arial" w:eastAsia="Arial" w:hAnsi="Arial"/>
          <w:sz w:val="19"/>
          <w:szCs w:val="19"/>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limitation shall not apply to any additional Investor who becomes a party to this Agreement in accordance with </w:t>
      </w:r>
      <w:r>
        <w:rPr>
          <w:rFonts w:ascii="Arial" w:cs="Arial" w:eastAsia="Arial" w:hAnsi="Arial"/>
          <w:sz w:val="19"/>
          <w:szCs w:val="19"/>
          <w:u w:val="single" w:color="auto"/>
          <w:color w:val="auto"/>
        </w:rPr>
        <w:t>Subsection 6.9</w:t>
      </w:r>
      <w:r>
        <w:rPr>
          <w:rFonts w:ascii="Arial" w:cs="Arial" w:eastAsia="Arial" w:hAnsi="Arial"/>
          <w:sz w:val="19"/>
          <w:szCs w:val="19"/>
          <w:color w:val="auto"/>
        </w:rPr>
        <w:t>.</w:t>
      </w:r>
    </w:p>
    <w:p>
      <w:pPr>
        <w:spacing w:after="0" w:line="10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w:t>
      </w:r>
    </w:p>
    <w:p>
      <w:pPr>
        <w:spacing w:after="0" w:line="3" w:lineRule="exact"/>
        <w:rPr>
          <w:sz w:val="20"/>
          <w:szCs w:val="20"/>
          <w:color w:val="auto"/>
        </w:rPr>
      </w:pPr>
    </w:p>
    <w:p>
      <w:pPr>
        <w:jc w:val="both"/>
        <w:ind w:firstLine="8"/>
        <w:spacing w:after="0" w:line="245" w:lineRule="auto"/>
        <w:tabs>
          <w:tab w:leader="none" w:pos="33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66" w:name="page267"/>
    <w:bookmarkEnd w:id="266"/>
    <w:p>
      <w:pPr>
        <w:jc w:val="both"/>
        <w:spacing w:after="0" w:line="284" w:lineRule="auto"/>
        <w:rPr>
          <w:sz w:val="20"/>
          <w:szCs w:val="20"/>
          <w:color w:val="auto"/>
        </w:rPr>
      </w:pPr>
      <w:r>
        <w:rPr>
          <w:rFonts w:ascii="Arial" w:cs="Arial" w:eastAsia="Arial" w:hAnsi="Arial"/>
          <w:sz w:val="19"/>
          <w:szCs w:val="19"/>
          <w:color w:val="auto"/>
        </w:rPr>
        <w:t xml:space="preserve">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(for the avoidance of doubt, such agreement shall not apply to shares of Common Stock acquired by the Holder in the IPO or in the open market following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trustee of the trust agrees to be bound in writing by the restrictions set forth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transfer shall not involve a disposition for value, and shall be applicable to the Holders only if all officers and directors of the Company and all stockholders individually owning more than one percent (1%) of the Company’s outstanding Common Stock (after giving effect to conversion into Class A Common Stock of all outstanding Preferred Stock) enter into similar agreements. The underwriters in connection with such registration are intended third-party beneficiaries of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or that are necessary to give further effect thereto. Any discretionary waiver or termination of the restrictions of any or all of such agreements (or any Holder, officer, director or greater than 1% stockholder) by the Company or the underwriters shall apply to all Holders subject to such agreements to the same extent and with respect to the same percentage of securities as the highest percentage of securities released from any such agreements.</w:t>
      </w:r>
    </w:p>
    <w:p>
      <w:pPr>
        <w:spacing w:after="0" w:line="121" w:lineRule="exact"/>
        <w:rPr>
          <w:sz w:val="20"/>
          <w:szCs w:val="20"/>
          <w:color w:val="auto"/>
        </w:rPr>
      </w:pPr>
    </w:p>
    <w:p>
      <w:pPr>
        <w:ind w:left="1880"/>
        <w:spacing w:after="0"/>
        <w:tabs>
          <w:tab w:leader="none" w:pos="25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59" w:lineRule="auto"/>
        <w:tabs>
          <w:tab w:leader="none" w:pos="258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129" w:lineRule="exact"/>
        <w:rPr>
          <w:rFonts w:ascii="Arial" w:cs="Arial" w:eastAsia="Arial" w:hAnsi="Arial"/>
          <w:sz w:val="21"/>
          <w:szCs w:val="21"/>
          <w:color w:val="auto"/>
        </w:rPr>
      </w:pPr>
    </w:p>
    <w:p>
      <w:pPr>
        <w:jc w:val="both"/>
        <w:ind w:firstLine="1952"/>
        <w:spacing w:after="0" w:line="253" w:lineRule="auto"/>
        <w:tabs>
          <w:tab w:leader="none" w:pos="258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Each certificate, instrument, or book entry representing (i) the Preferred Stock, (ii) the Registrable Securities and (iii) any other securities issued in respect of the securities referenced in clauses (i) and (ii), upon any stock split,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67" w:name="page268"/>
    <w:bookmarkEnd w:id="267"/>
    <w:p>
      <w:pPr>
        <w:spacing w:after="0"/>
        <w:rPr>
          <w:sz w:val="20"/>
          <w:szCs w:val="20"/>
          <w:color w:val="auto"/>
        </w:rPr>
      </w:pPr>
      <w:r>
        <w:rPr>
          <w:rFonts w:ascii="Arial" w:cs="Arial" w:eastAsia="Arial" w:hAnsi="Arial"/>
          <w:sz w:val="19"/>
          <w:szCs w:val="19"/>
          <w:color w:val="auto"/>
        </w:rPr>
        <w:t xml:space="preserve">recapitalization, merger, consolidation or similar event, shall (unless otherwise permitted by the provisions of </w:t>
      </w:r>
      <w:r>
        <w:rPr>
          <w:rFonts w:ascii="Arial" w:cs="Arial" w:eastAsia="Arial" w:hAnsi="Arial"/>
          <w:sz w:val="19"/>
          <w:szCs w:val="19"/>
          <w:u w:val="single" w:color="auto"/>
          <w:color w:val="auto"/>
        </w:rPr>
        <w:t>Subsection 2.12(c)</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 notated with a legend substantially in the following form:</w:t>
      </w:r>
    </w:p>
    <w:p>
      <w:pPr>
        <w:spacing w:after="0" w:line="148"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9"/>
          <w:szCs w:val="19"/>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8" w:lineRule="exact"/>
        <w:rPr>
          <w:sz w:val="20"/>
          <w:szCs w:val="20"/>
          <w:color w:val="auto"/>
        </w:rPr>
      </w:pPr>
    </w:p>
    <w:p>
      <w:pPr>
        <w:jc w:val="both"/>
        <w:ind w:left="660" w:right="660"/>
        <w:spacing w:after="0" w:line="253" w:lineRule="auto"/>
        <w:rPr>
          <w:sz w:val="20"/>
          <w:szCs w:val="20"/>
          <w:color w:val="auto"/>
        </w:rPr>
      </w:pPr>
      <w:r>
        <w:rPr>
          <w:rFonts w:ascii="Arial" w:cs="Arial" w:eastAsia="Arial" w:hAnsi="Arial"/>
          <w:sz w:val="22"/>
          <w:szCs w:val="22"/>
          <w:color w:val="auto"/>
        </w:rPr>
        <w:t>THE SECURITIES REPRESENTED HEREBY MAY BE TRANSFERRED ONLY IN ACCORDANCE WITH THE TERMS OF AN AGREEMENT BETWEEN THE COMPANY AND THE STOCKHOLDER, A COPY OF WHICH IS ON FILE WITH THE SECRETARY OF THE COMPANY.</w:t>
      </w:r>
    </w:p>
    <w:p>
      <w:pPr>
        <w:spacing w:after="0" w:line="131"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9"/>
          <w:szCs w:val="19"/>
          <w:u w:val="single" w:color="auto"/>
          <w:color w:val="auto"/>
        </w:rPr>
        <w:t>Subsection 2.12</w:t>
      </w:r>
      <w:r>
        <w:rPr>
          <w:rFonts w:ascii="Arial" w:cs="Arial" w:eastAsia="Arial" w:hAnsi="Arial"/>
          <w:sz w:val="19"/>
          <w:szCs w:val="19"/>
          <w:color w:val="auto"/>
        </w:rPr>
        <w:t>.</w:t>
      </w:r>
    </w:p>
    <w:p>
      <w:pPr>
        <w:spacing w:after="0" w:line="50" w:lineRule="exact"/>
        <w:rPr>
          <w:sz w:val="20"/>
          <w:szCs w:val="20"/>
          <w:color w:val="auto"/>
        </w:rPr>
      </w:pPr>
    </w:p>
    <w:p>
      <w:pPr>
        <w:jc w:val="both"/>
        <w:ind w:firstLine="1952"/>
        <w:spacing w:after="0" w:line="285" w:lineRule="auto"/>
        <w:tabs>
          <w:tab w:leader="none" w:pos="2589"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The holder of such Restricted Securities, by acceptance of ownership thereof, agrees to comply in all respects with the provisions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w:t>
      </w:r>
    </w:p>
    <w:p>
      <w:pPr>
        <w:jc w:val="both"/>
        <w:ind w:firstLine="8"/>
        <w:spacing w:after="0" w:line="281" w:lineRule="auto"/>
        <w:tabs>
          <w:tab w:leader="none" w:pos="29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2" w:lineRule="exact"/>
        <w:rPr>
          <w:rFonts w:ascii="Arial" w:cs="Arial" w:eastAsia="Arial" w:hAnsi="Arial"/>
          <w:sz w:val="19"/>
          <w:szCs w:val="19"/>
          <w:color w:val="auto"/>
        </w:rPr>
      </w:pPr>
    </w:p>
    <w:p>
      <w:pPr>
        <w:jc w:val="both"/>
        <w:ind w:firstLine="8"/>
        <w:spacing w:after="0" w:line="256" w:lineRule="auto"/>
        <w:tabs>
          <w:tab w:leader="none" w:pos="38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other than in connection with a transaction in compliance with SEC Rule 144 following the IPO, each transferee agrees in writing to be subject to the terms of this </w:t>
      </w:r>
      <w:r>
        <w:rPr>
          <w:rFonts w:ascii="Arial" w:cs="Arial" w:eastAsia="Arial" w:hAnsi="Arial"/>
          <w:sz w:val="21"/>
          <w:szCs w:val="21"/>
          <w:u w:val="single" w:color="auto"/>
          <w:color w:val="auto"/>
        </w:rPr>
        <w:t>Subsection 2.12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each case, the Holder shall provide the Company or its counsel with such certificates or other representations regarding such transaction as the Company or its counsel may reasonably request. Each certificate, instrument or book entry representing the Restricted Securities transferred as above provided shall be notated with, except if such transfer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68" w:name="page269"/>
    <w:bookmarkEnd w:id="268"/>
    <w:p>
      <w:pPr>
        <w:jc w:val="both"/>
        <w:spacing w:after="0" w:line="250" w:lineRule="auto"/>
        <w:rPr>
          <w:sz w:val="20"/>
          <w:szCs w:val="20"/>
          <w:color w:val="auto"/>
        </w:rPr>
      </w:pPr>
      <w:r>
        <w:rPr>
          <w:rFonts w:ascii="Arial" w:cs="Arial" w:eastAsia="Arial" w:hAnsi="Arial"/>
          <w:sz w:val="22"/>
          <w:szCs w:val="22"/>
          <w:color w:val="auto"/>
        </w:rPr>
        <w:t xml:space="preserve">pursuant to SEC Rule 144 or pursuant to an effective registration statement, the appropriate restrictive legend set forth in </w:t>
      </w:r>
      <w:r>
        <w:rPr>
          <w:rFonts w:ascii="Arial" w:cs="Arial" w:eastAsia="Arial" w:hAnsi="Arial"/>
          <w:sz w:val="22"/>
          <w:szCs w:val="22"/>
          <w:u w:val="single" w:color="auto"/>
          <w:color w:val="auto"/>
        </w:rPr>
        <w:t>Subsection 2.12(b)</w:t>
      </w:r>
      <w:r>
        <w:rPr>
          <w:rFonts w:ascii="Arial" w:cs="Arial" w:eastAsia="Arial" w:hAnsi="Arial"/>
          <w:sz w:val="22"/>
          <w:szCs w:val="22"/>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3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u w:val="single" w:color="auto"/>
          <w:color w:val="auto"/>
        </w:rPr>
        <w:t>Termination of Registration Rights</w:t>
      </w:r>
      <w:r>
        <w:rPr>
          <w:rFonts w:ascii="Arial" w:cs="Arial" w:eastAsia="Arial" w:hAnsi="Arial"/>
          <w:sz w:val="21"/>
          <w:szCs w:val="21"/>
          <w:color w:val="auto"/>
        </w:rPr>
        <w:t>. The right of any Holder to request registration or inclusion of</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Registrable Securities in any registration pursuant to </w:t>
      </w:r>
      <w:r>
        <w:rPr>
          <w:rFonts w:ascii="Arial" w:cs="Arial" w:eastAsia="Arial" w:hAnsi="Arial"/>
          <w:sz w:val="21"/>
          <w:szCs w:val="21"/>
          <w:u w:val="single" w:color="auto"/>
          <w:color w:val="auto"/>
        </w:rPr>
        <w:t>Subsections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shall terminate upon the earliest to occur of:</w:t>
      </w:r>
    </w:p>
    <w:p>
      <w:pPr>
        <w:spacing w:after="0" w:line="159" w:lineRule="exact"/>
        <w:rPr>
          <w:sz w:val="20"/>
          <w:szCs w:val="20"/>
          <w:color w:val="auto"/>
        </w:rPr>
      </w:pPr>
    </w:p>
    <w:p>
      <w:pPr>
        <w:ind w:left="2600" w:hanging="648"/>
        <w:spacing w:after="0"/>
        <w:tabs>
          <w:tab w:leader="none" w:pos="26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closing of a Deemed Liquidation Event, as such term is defined in the Company’s Certificate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48" w:lineRule="exact"/>
        <w:rPr>
          <w:sz w:val="20"/>
          <w:szCs w:val="20"/>
          <w:color w:val="auto"/>
        </w:rPr>
      </w:pPr>
    </w:p>
    <w:p>
      <w:pPr>
        <w:ind w:firstLine="1952"/>
        <w:spacing w:after="0" w:line="343" w:lineRule="auto"/>
        <w:tabs>
          <w:tab w:leader="none" w:pos="258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50" w:lineRule="exact"/>
        <w:rPr>
          <w:rFonts w:ascii="Arial" w:cs="Arial" w:eastAsia="Arial" w:hAnsi="Arial"/>
          <w:sz w:val="19"/>
          <w:szCs w:val="19"/>
          <w:color w:val="auto"/>
        </w:rPr>
      </w:pPr>
    </w:p>
    <w:p>
      <w:pPr>
        <w:ind w:left="2600" w:hanging="648"/>
        <w:spacing w:after="0"/>
        <w:tabs>
          <w:tab w:leader="none" w:pos="260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the third anniversary of the IPO.</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Information and Observer Rights</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Delivery of Financial Statements</w:t>
      </w:r>
      <w:r>
        <w:rPr>
          <w:rFonts w:ascii="Arial" w:cs="Arial" w:eastAsia="Arial" w:hAnsi="Arial"/>
          <w:sz w:val="19"/>
          <w:szCs w:val="19"/>
          <w:color w:val="auto"/>
        </w:rPr>
        <w:t>. The Company shall deliver to each Major Investor,</w:t>
      </w:r>
      <w:r>
        <w:rPr>
          <w:rFonts w:ascii="Arial" w:cs="Arial" w:eastAsia="Arial" w:hAnsi="Arial"/>
          <w:sz w:val="19"/>
          <w:szCs w:val="19"/>
          <w:u w:val="single" w:color="auto"/>
          <w:color w:val="auto"/>
        </w:rPr>
        <w:t xml:space="preserve"> provided </w:t>
      </w:r>
      <w:r>
        <w:rPr>
          <w:rFonts w:ascii="Arial" w:cs="Arial" w:eastAsia="Arial" w:hAnsi="Arial"/>
          <w:sz w:val="19"/>
          <w:szCs w:val="19"/>
          <w:color w:val="auto"/>
        </w:rPr>
        <w:t>that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has not reasonably determined that such Major Investor is a Competitor of the Company:</w:t>
      </w:r>
    </w:p>
    <w:p>
      <w:pPr>
        <w:spacing w:after="0" w:line="148" w:lineRule="exact"/>
        <w:rPr>
          <w:sz w:val="20"/>
          <w:szCs w:val="20"/>
          <w:color w:val="auto"/>
        </w:rPr>
      </w:pPr>
    </w:p>
    <w:p>
      <w:pPr>
        <w:ind w:left="2600" w:hanging="648"/>
        <w:spacing w:after="0"/>
        <w:tabs>
          <w:tab w:leader="none" w:pos="260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the first day of August of each calendar year</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 balance sheet as of the end of the immediately preceding year, (ii) statements of income and of cash flows for such year, and</w:t>
      </w:r>
    </w:p>
    <w:p>
      <w:pPr>
        <w:spacing w:after="0" w:line="38" w:lineRule="exact"/>
        <w:rPr>
          <w:rFonts w:ascii="Arial" w:cs="Arial" w:eastAsia="Arial" w:hAnsi="Arial"/>
          <w:sz w:val="19"/>
          <w:szCs w:val="19"/>
          <w:color w:val="auto"/>
        </w:rPr>
      </w:pPr>
    </w:p>
    <w:p>
      <w:pPr>
        <w:ind w:right="20" w:firstLine="8"/>
        <w:spacing w:after="0" w:line="246" w:lineRule="auto"/>
        <w:tabs>
          <w:tab w:leader="none" w:pos="42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 statement of stockholders’ equity as of the end of such year, all such financial statements audited and certified by independent public accountants of regionally recognized standing selected by the Company;</w:t>
      </w:r>
    </w:p>
    <w:p>
      <w:pPr>
        <w:spacing w:after="0" w:line="138" w:lineRule="exact"/>
        <w:rPr>
          <w:rFonts w:ascii="Arial" w:cs="Arial" w:eastAsia="Arial" w:hAnsi="Arial"/>
          <w:sz w:val="22"/>
          <w:szCs w:val="22"/>
          <w:color w:val="auto"/>
        </w:rPr>
      </w:pPr>
    </w:p>
    <w:p>
      <w:pPr>
        <w:jc w:val="both"/>
        <w:ind w:firstLine="1952"/>
        <w:spacing w:after="0" w:line="248" w:lineRule="auto"/>
        <w:tabs>
          <w:tab w:leader="none" w:pos="2587" w:val="left"/>
        </w:tabs>
        <w:numPr>
          <w:ilvl w:val="1"/>
          <w:numId w:val="207"/>
        </w:numPr>
        <w:rPr>
          <w:rFonts w:ascii="Arial" w:cs="Arial" w:eastAsia="Arial" w:hAnsi="Arial"/>
          <w:sz w:val="22"/>
          <w:szCs w:val="22"/>
          <w:color w:val="auto"/>
        </w:rPr>
      </w:pPr>
      <w:r>
        <w:rPr>
          <w:rFonts w:ascii="Arial" w:cs="Arial" w:eastAsia="Arial" w:hAnsi="Arial"/>
          <w:sz w:val="22"/>
          <w:szCs w:val="22"/>
          <w:color w:val="auto"/>
        </w:rPr>
        <w:t>as soon as practicable, but in any event within forty-five (45) days after the end of each of the first three (3) quarters of each year,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137" w:lineRule="exact"/>
        <w:rPr>
          <w:rFonts w:ascii="Arial" w:cs="Arial" w:eastAsia="Arial" w:hAnsi="Arial"/>
          <w:sz w:val="22"/>
          <w:szCs w:val="22"/>
          <w:color w:val="auto"/>
        </w:rPr>
      </w:pPr>
    </w:p>
    <w:p>
      <w:pPr>
        <w:jc w:val="both"/>
        <w:ind w:firstLine="1952"/>
        <w:spacing w:after="0" w:line="260" w:lineRule="auto"/>
        <w:tabs>
          <w:tab w:leader="none" w:pos="2589" w:val="left"/>
        </w:tabs>
        <w:numPr>
          <w:ilvl w:val="1"/>
          <w:numId w:val="207"/>
        </w:numPr>
        <w:rPr>
          <w:rFonts w:ascii="Arial" w:cs="Arial" w:eastAsia="Arial" w:hAnsi="Arial"/>
          <w:sz w:val="21"/>
          <w:szCs w:val="21"/>
          <w:color w:val="auto"/>
        </w:rPr>
      </w:pPr>
      <w:r>
        <w:rPr>
          <w:rFonts w:ascii="Arial" w:cs="Arial" w:eastAsia="Arial" w:hAnsi="Arial"/>
          <w:sz w:val="21"/>
          <w:szCs w:val="21"/>
          <w:color w:val="auto"/>
        </w:rPr>
        <w:t>upon request, a statement showing the number of shares of each class and series of capital stock and securities convertible into or exercisable for shares of capital stock outstanding as of the date of such request,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69" w:name="page270"/>
    <w:bookmarkEnd w:id="269"/>
    <w:p>
      <w:pPr>
        <w:jc w:val="both"/>
        <w:ind w:firstLine="1952"/>
        <w:spacing w:after="0" w:line="250" w:lineRule="auto"/>
        <w:tabs>
          <w:tab w:leader="none" w:pos="2587"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as soon as practicable, but in any event thirty (30) days before the end of each year, a budget and business plan for the next year (collectively, the “</w:t>
      </w:r>
      <w:r>
        <w:rPr>
          <w:rFonts w:ascii="Arial" w:cs="Arial" w:eastAsia="Arial" w:hAnsi="Arial"/>
          <w:sz w:val="22"/>
          <w:szCs w:val="22"/>
          <w:b w:val="1"/>
          <w:bCs w:val="1"/>
          <w:color w:val="auto"/>
        </w:rPr>
        <w:t>Budget</w:t>
      </w:r>
      <w:r>
        <w:rPr>
          <w:rFonts w:ascii="Arial" w:cs="Arial" w:eastAsia="Arial" w:hAnsi="Arial"/>
          <w:sz w:val="22"/>
          <w:szCs w:val="22"/>
          <w:color w:val="auto"/>
        </w:rPr>
        <w:t>”), prepared on a monthly basis, including balance sheets, income statements and statements of cash flow for such months and, promptly after prepared and approved by the Board of Directors, any other budgets or revised budgets prepared by the Company;</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Notwithstanding anything else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to the contrary, the Company may cease providing the information set forth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Company’s covenants under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shall be reinstated at such time as the Company is no longer actively employing its commercially reasonable efforts to cause such registration statement to become effective.</w:t>
      </w:r>
    </w:p>
    <w:p>
      <w:pPr>
        <w:spacing w:after="0" w:line="1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Inspection</w:t>
      </w:r>
      <w:r>
        <w:rPr>
          <w:rFonts w:ascii="Arial" w:cs="Arial" w:eastAsia="Arial" w:hAnsi="Arial"/>
          <w:sz w:val="21"/>
          <w:szCs w:val="21"/>
          <w:color w:val="auto"/>
        </w:rPr>
        <w:t>. The Company shall permit each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obligated pursuant to this </w:t>
      </w:r>
      <w:r>
        <w:rPr>
          <w:rFonts w:ascii="Arial" w:cs="Arial" w:eastAsia="Arial" w:hAnsi="Arial"/>
          <w:sz w:val="21"/>
          <w:szCs w:val="21"/>
          <w:u w:val="single" w:color="auto"/>
          <w:color w:val="auto"/>
        </w:rPr>
        <w:t>Subsection 3.2</w:t>
      </w:r>
      <w:r>
        <w:rPr>
          <w:rFonts w:ascii="Arial" w:cs="Arial" w:eastAsia="Arial" w:hAnsi="Arial"/>
          <w:sz w:val="21"/>
          <w:szCs w:val="21"/>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Observer Rights</w:t>
      </w:r>
      <w:r>
        <w:rPr>
          <w:rFonts w:ascii="Arial" w:cs="Arial" w:eastAsia="Arial" w:hAnsi="Arial"/>
          <w:sz w:val="19"/>
          <w:szCs w:val="19"/>
          <w:color w:val="auto"/>
        </w:rPr>
        <w:t>.</w:t>
      </w:r>
    </w:p>
    <w:p>
      <w:pPr>
        <w:spacing w:after="0" w:line="160" w:lineRule="exact"/>
        <w:rPr>
          <w:sz w:val="20"/>
          <w:szCs w:val="20"/>
          <w:color w:val="auto"/>
        </w:rPr>
      </w:pPr>
    </w:p>
    <w:p>
      <w:pPr>
        <w:jc w:val="both"/>
        <w:ind w:firstLine="1952"/>
        <w:spacing w:after="0" w:line="288" w:lineRule="auto"/>
        <w:tabs>
          <w:tab w:leader="none" w:pos="258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As long as Artal International S.C.A. (together with its affiliates, “</w:t>
      </w:r>
      <w:r>
        <w:rPr>
          <w:rFonts w:ascii="Arial" w:cs="Arial" w:eastAsia="Arial" w:hAnsi="Arial"/>
          <w:sz w:val="19"/>
          <w:szCs w:val="19"/>
          <w:b w:val="1"/>
          <w:bCs w:val="1"/>
          <w:color w:val="auto"/>
        </w:rPr>
        <w:t>Artal</w:t>
      </w:r>
      <w:r>
        <w:rPr>
          <w:rFonts w:ascii="Arial" w:cs="Arial" w:eastAsia="Arial" w:hAnsi="Arial"/>
          <w:sz w:val="19"/>
          <w:szCs w:val="19"/>
          <w:color w:val="auto"/>
        </w:rPr>
        <w:t>”) owns not less than fifty percent (50%) of the shares of the Series B Preferred Stock it purchased under the Series B Preferred Stock Purchase Agreement dated March 23, 2018 (or an equivalent amount of Common Stock issued upon conversion thereof), the Company shall invite a representative of Artal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70" w:name="page271"/>
    <w:bookmarkEnd w:id="270"/>
    <w:p>
      <w:pPr>
        <w:spacing w:after="0" w:line="343" w:lineRule="auto"/>
        <w:rPr>
          <w:sz w:val="20"/>
          <w:szCs w:val="20"/>
          <w:color w:val="auto"/>
        </w:rPr>
      </w:pPr>
      <w:r>
        <w:rPr>
          <w:rFonts w:ascii="Arial" w:cs="Arial" w:eastAsia="Arial" w:hAnsi="Arial"/>
          <w:sz w:val="19"/>
          <w:szCs w:val="19"/>
          <w:color w:val="auto"/>
        </w:rPr>
        <w:t>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50" w:lineRule="exact"/>
        <w:rPr>
          <w:sz w:val="20"/>
          <w:szCs w:val="20"/>
          <w:color w:val="auto"/>
        </w:rPr>
      </w:pPr>
    </w:p>
    <w:p>
      <w:pPr>
        <w:jc w:val="both"/>
        <w:ind w:firstLine="1952"/>
        <w:spacing w:after="0" w:line="286" w:lineRule="auto"/>
        <w:tabs>
          <w:tab w:leader="none" w:pos="258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As long as Aju Life Science 3.0 Venture Fund and Aju Good Venture Fund (together with their affiliates, “</w:t>
      </w:r>
      <w:r>
        <w:rPr>
          <w:rFonts w:ascii="Arial" w:cs="Arial" w:eastAsia="Arial" w:hAnsi="Arial"/>
          <w:sz w:val="19"/>
          <w:szCs w:val="19"/>
          <w:b w:val="1"/>
          <w:bCs w:val="1"/>
          <w:color w:val="auto"/>
        </w:rPr>
        <w:t>Aju IB</w:t>
      </w:r>
      <w:r>
        <w:rPr>
          <w:rFonts w:ascii="Arial" w:cs="Arial" w:eastAsia="Arial" w:hAnsi="Arial"/>
          <w:sz w:val="19"/>
          <w:szCs w:val="19"/>
          <w:color w:val="auto"/>
        </w:rPr>
        <w:t>”) own in the aggregate not less than fifty percent (50%) of the shares of the Series C Preferred Stock purchased by Aju IB under the Series C Preferred Stock Purchase Agreement dated March 7, 2019 (or an equivalent amount of Common Stock issued upon conversion thereof), the Company shall invite a representative of Aju IB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5" w:lineRule="exact"/>
        <w:rPr>
          <w:rFonts w:ascii="Arial" w:cs="Arial" w:eastAsia="Arial" w:hAnsi="Arial"/>
          <w:sz w:val="19"/>
          <w:szCs w:val="19"/>
          <w:color w:val="auto"/>
        </w:rPr>
      </w:pPr>
    </w:p>
    <w:p>
      <w:pPr>
        <w:jc w:val="both"/>
        <w:ind w:firstLine="1952"/>
        <w:spacing w:after="0" w:line="287" w:lineRule="auto"/>
        <w:tabs>
          <w:tab w:leader="none" w:pos="258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As long as aMoon 2 Fund, Limited Partnership (together with its affiliates, “</w:t>
      </w:r>
      <w:r>
        <w:rPr>
          <w:rFonts w:ascii="Arial" w:cs="Arial" w:eastAsia="Arial" w:hAnsi="Arial"/>
          <w:sz w:val="19"/>
          <w:szCs w:val="19"/>
          <w:b w:val="1"/>
          <w:bCs w:val="1"/>
          <w:color w:val="auto"/>
        </w:rPr>
        <w:t>aMoon</w:t>
      </w:r>
      <w:r>
        <w:rPr>
          <w:rFonts w:ascii="Arial" w:cs="Arial" w:eastAsia="Arial" w:hAnsi="Arial"/>
          <w:sz w:val="19"/>
          <w:szCs w:val="19"/>
          <w:color w:val="auto"/>
        </w:rPr>
        <w:t>”) owns in the aggregate not less than fifty percent (50%) of the shares of the Series D Preferred Stock it is purchasing under the Purchase Agreement (or an equivalent amount of Common Stock issued upon conversion thereof), the Company shall invite a representative of aMoon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36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Termination of Information and Observer Rights</w:t>
      </w:r>
      <w:r>
        <w:rPr>
          <w:rFonts w:ascii="Arial" w:cs="Arial" w:eastAsia="Arial" w:hAnsi="Arial"/>
          <w:sz w:val="19"/>
          <w:szCs w:val="19"/>
          <w:color w:val="auto"/>
        </w:rPr>
        <w:t xml:space="preserve">. The covenants set forth in </w:t>
      </w:r>
      <w:r>
        <w:rPr>
          <w:rFonts w:ascii="Arial" w:cs="Arial" w:eastAsia="Arial" w:hAnsi="Arial"/>
          <w:sz w:val="19"/>
          <w:szCs w:val="19"/>
          <w:u w:val="single" w:color="auto"/>
          <w:color w:val="auto"/>
        </w:rPr>
        <w:t>Subsection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Subsection 3.3</w:t>
      </w:r>
      <w:r>
        <w:rPr>
          <w:rFonts w:ascii="Arial" w:cs="Arial" w:eastAsia="Arial" w:hAnsi="Arial"/>
          <w:sz w:val="19"/>
          <w:szCs w:val="19"/>
          <w:color w:val="auto"/>
        </w:rPr>
        <w:t xml:space="preserve"> shall terminate and be of no further force or effect (i) immediately before the consummation of the IPO,</w:t>
      </w:r>
    </w:p>
    <w:p>
      <w:pPr>
        <w:spacing w:after="0" w:line="1" w:lineRule="exact"/>
        <w:rPr>
          <w:sz w:val="20"/>
          <w:szCs w:val="20"/>
          <w:color w:val="auto"/>
        </w:rPr>
      </w:pPr>
    </w:p>
    <w:p>
      <w:pPr>
        <w:ind w:firstLine="8"/>
        <w:spacing w:after="0" w:line="246" w:lineRule="auto"/>
        <w:tabs>
          <w:tab w:leader="none" w:pos="33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when the Company first becomes subject to the periodic reporting requirements of Section 12(g) or 15(d) of the Exchange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71" w:name="page272"/>
    <w:bookmarkEnd w:id="271"/>
    <w:p>
      <w:pPr>
        <w:ind w:right="20" w:firstLine="8"/>
        <w:spacing w:after="0" w:line="263" w:lineRule="auto"/>
        <w:tabs>
          <w:tab w:leader="none" w:pos="3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upon a Deemed Liquidation Event, as such term is defined in the Company’s Certificate of Incorporation, whichever event occurs first.</w:t>
      </w:r>
    </w:p>
    <w:p>
      <w:pPr>
        <w:spacing w:after="0" w:line="121"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9"/>
          <w:szCs w:val="19"/>
          <w:u w:val="single" w:color="auto"/>
          <w:color w:val="auto"/>
        </w:rPr>
        <w:t>Subsection 3.5</w:t>
      </w:r>
      <w:r>
        <w:rPr>
          <w:rFonts w:ascii="Arial" w:cs="Arial" w:eastAsia="Arial" w:hAnsi="Arial"/>
          <w:sz w:val="19"/>
          <w:szCs w:val="19"/>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9"/>
          <w:szCs w:val="19"/>
          <w:u w:val="single" w:color="auto"/>
          <w:color w:val="auto"/>
        </w:rPr>
        <w:t>Subsection 3.5</w:t>
      </w:r>
      <w:r>
        <w:rPr>
          <w:rFonts w:ascii="Arial" w:cs="Arial" w:eastAsia="Arial" w:hAnsi="Arial"/>
          <w:sz w:val="19"/>
          <w:szCs w:val="19"/>
          <w:color w:val="auto"/>
        </w:rPr>
        <w:t xml:space="preserve">; (iii) to any existing Affiliate, partner, member, stockholder or wholly owned subsidiary of such Investor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Investor promptly notifies the Company of such disclosure and takes reasonable steps to minimize the extent of any such required disclosure.</w:t>
      </w:r>
    </w:p>
    <w:p>
      <w:pPr>
        <w:spacing w:after="0" w:line="104"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Rights to Future Stock Issuances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Right of First Offer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Subsection 4.1</w:t>
      </w:r>
      <w:r>
        <w:rPr>
          <w:rFonts w:ascii="Arial" w:cs="Arial" w:eastAsia="Arial" w:hAnsi="Arial"/>
          <w:sz w:val="19"/>
          <w:szCs w:val="19"/>
          <w:color w:val="auto"/>
        </w:rPr>
        <w:t xml:space="preserve"> and applicable securities laws, if the Company proposes to offer or sell any New Securities, the Company shall first offer such New Securities to (i) each Major Investor, (ii) each other Investor that, individually or together with such Investor’s Affiliates, holds at least 100,000 shares of Registrable Securities (as adjusted for any stock split, stock dividend, combination or other recapitalization or reclassification effected after the date hereof) and (iii) each Key Holder (each a “</w:t>
      </w:r>
      <w:r>
        <w:rPr>
          <w:rFonts w:ascii="Arial" w:cs="Arial" w:eastAsia="Arial" w:hAnsi="Arial"/>
          <w:sz w:val="19"/>
          <w:szCs w:val="19"/>
          <w:b w:val="1"/>
          <w:bCs w:val="1"/>
          <w:color w:val="auto"/>
        </w:rPr>
        <w:t>First Offer Participant</w:t>
      </w:r>
      <w:r>
        <w:rPr>
          <w:rFonts w:ascii="Arial" w:cs="Arial" w:eastAsia="Arial" w:hAnsi="Arial"/>
          <w:sz w:val="19"/>
          <w:szCs w:val="19"/>
          <w:color w:val="auto"/>
        </w:rPr>
        <w:t>,” and collectively, the “</w:t>
      </w:r>
      <w:r>
        <w:rPr>
          <w:rFonts w:ascii="Arial" w:cs="Arial" w:eastAsia="Arial" w:hAnsi="Arial"/>
          <w:sz w:val="19"/>
          <w:szCs w:val="19"/>
          <w:b w:val="1"/>
          <w:bCs w:val="1"/>
          <w:color w:val="auto"/>
        </w:rPr>
        <w:t>First Offer</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A First Offer Participant shall be entitled to apportion the right of first offer hereby granted to it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proportions as it deems appropriate, among (i) itself and (ii)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Affiliate (x) is not a Competitor or FOIA Party, unless such party’s purchase of New Securities is otherwise consented to by the Board of Directors,</w:t>
      </w:r>
    </w:p>
    <w:p>
      <w:pPr>
        <w:spacing w:after="0" w:line="2" w:lineRule="exact"/>
        <w:rPr>
          <w:sz w:val="20"/>
          <w:szCs w:val="20"/>
          <w:color w:val="auto"/>
        </w:rPr>
      </w:pPr>
    </w:p>
    <w:p>
      <w:pPr>
        <w:jc w:val="both"/>
        <w:ind w:firstLine="8"/>
        <w:spacing w:after="0" w:line="243" w:lineRule="auto"/>
        <w:tabs>
          <w:tab w:leader="none" w:pos="327"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Arial" w:cs="Arial" w:eastAsia="Arial" w:hAnsi="Arial"/>
          <w:sz w:val="22"/>
          <w:szCs w:val="22"/>
          <w:b w:val="1"/>
          <w:bCs w:val="1"/>
          <w:color w:val="auto"/>
        </w:rPr>
        <w:t>Investor</w:t>
      </w:r>
      <w:r>
        <w:rPr>
          <w:rFonts w:ascii="Arial" w:cs="Arial" w:eastAsia="Arial" w:hAnsi="Arial"/>
          <w:sz w:val="22"/>
          <w:szCs w:val="22"/>
          <w:color w:val="auto"/>
        </w:rPr>
        <w:t>” or “</w:t>
      </w:r>
      <w:r>
        <w:rPr>
          <w:rFonts w:ascii="Arial" w:cs="Arial" w:eastAsia="Arial" w:hAnsi="Arial"/>
          <w:sz w:val="22"/>
          <w:szCs w:val="22"/>
          <w:b w:val="1"/>
          <w:bCs w:val="1"/>
          <w:color w:val="auto"/>
        </w:rPr>
        <w:t>Key Holder</w:t>
      </w:r>
      <w:r>
        <w:rPr>
          <w:rFonts w:ascii="Arial" w:cs="Arial" w:eastAsia="Arial" w:hAnsi="Arial"/>
          <w:sz w:val="22"/>
          <w:szCs w:val="22"/>
          <w:color w:val="auto"/>
        </w:rPr>
        <w:t>,” as applicable, under each such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set forth in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any Competitor or FOIA Party shall not be entitled to any rights as a Major Investor under </w:t>
      </w:r>
      <w:r>
        <w:rPr>
          <w:rFonts w:ascii="Arial" w:cs="Arial" w:eastAsia="Arial" w:hAnsi="Arial"/>
          <w:sz w:val="22"/>
          <w:szCs w:val="22"/>
          <w:u w:val="single" w:color="auto"/>
          <w:color w:val="auto"/>
        </w:rPr>
        <w:t>Subsections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w:t>
      </w:r>
      <w:r>
        <w:rPr>
          <w:rFonts w:ascii="Arial" w:cs="Arial" w:eastAsia="Arial" w:hAnsi="Arial"/>
          <w:sz w:val="22"/>
          <w:szCs w:val="22"/>
          <w:color w:val="auto"/>
        </w:rPr>
        <w:t xml:space="preserve"> hereof), and (z) agrees to purchase at least such number of New Securities as are allocable hereunder to the First Offer Participant holding the fewest number of shares of Common Stock (including all shares of Class A Common Stock then issuable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72" w:name="page273"/>
    <w:bookmarkEnd w:id="272"/>
    <w:p>
      <w:pPr>
        <w:ind w:right="20"/>
        <w:spacing w:after="0" w:line="263" w:lineRule="auto"/>
        <w:rPr>
          <w:sz w:val="20"/>
          <w:szCs w:val="20"/>
          <w:color w:val="auto"/>
        </w:rPr>
      </w:pPr>
      <w:r>
        <w:rPr>
          <w:rFonts w:ascii="Arial" w:cs="Arial" w:eastAsia="Arial" w:hAnsi="Arial"/>
          <w:sz w:val="22"/>
          <w:szCs w:val="22"/>
          <w:color w:val="auto"/>
        </w:rPr>
        <w:t>or indirectly) upon conversion and/or exercise, as applicable, of the Preferred Stock and any other Derivative Securities then held by such First Offer Participant).</w:t>
      </w:r>
    </w:p>
    <w:p>
      <w:pPr>
        <w:spacing w:after="0" w:line="115" w:lineRule="exact"/>
        <w:rPr>
          <w:sz w:val="20"/>
          <w:szCs w:val="20"/>
          <w:color w:val="auto"/>
        </w:rPr>
      </w:pPr>
    </w:p>
    <w:p>
      <w:pPr>
        <w:jc w:val="both"/>
        <w:ind w:firstLine="1952"/>
        <w:spacing w:after="0" w:line="256" w:lineRule="auto"/>
        <w:tabs>
          <w:tab w:leader="none" w:pos="2589"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Company shall give notice (the “</w:t>
      </w:r>
      <w:r>
        <w:rPr>
          <w:rFonts w:ascii="Arial" w:cs="Arial" w:eastAsia="Arial" w:hAnsi="Arial"/>
          <w:sz w:val="22"/>
          <w:szCs w:val="22"/>
          <w:b w:val="1"/>
          <w:bCs w:val="1"/>
          <w:color w:val="auto"/>
        </w:rPr>
        <w:t>Offer Notice</w:t>
      </w:r>
      <w:r>
        <w:rPr>
          <w:rFonts w:ascii="Arial" w:cs="Arial" w:eastAsia="Arial" w:hAnsi="Arial"/>
          <w:sz w:val="22"/>
          <w:szCs w:val="22"/>
          <w:color w:val="auto"/>
        </w:rPr>
        <w:t>”) to each First Offer Participant, stating (i) its bona fide intention to offer such New Securities, (ii) the number of such New Securities to be offered and (iii) the price and terms, if any, upon which it proposes to offer such New Securities.</w:t>
      </w:r>
    </w:p>
    <w:p>
      <w:pPr>
        <w:spacing w:after="0" w:line="128" w:lineRule="exact"/>
        <w:rPr>
          <w:rFonts w:ascii="Arial" w:cs="Arial" w:eastAsia="Arial" w:hAnsi="Arial"/>
          <w:sz w:val="22"/>
          <w:szCs w:val="22"/>
          <w:color w:val="auto"/>
        </w:rPr>
      </w:pPr>
    </w:p>
    <w:p>
      <w:pPr>
        <w:jc w:val="both"/>
        <w:ind w:firstLine="1952"/>
        <w:spacing w:after="0" w:line="285" w:lineRule="auto"/>
        <w:tabs>
          <w:tab w:leader="none" w:pos="258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By notification to the Company within twenty (20) days after the Offer Notice is given, each First Offer Participant may elect to purchase or otherwise acquire, at the price and on the terms specified in the Offer Notice, up to that portion of such New Securities which equals the proportion that the Common Stock then held by such First Offer Participant (including all shares of Class A Common Stock then issuable (directly or indirectly) upon conversion and/or exercise, as applicable, of the Preferred Stock and any other Derivative Securities then held by such First Offer Participant) bears to the total Common Stock of the Company then outstanding (assuming full conversion and/or exercise, as applicable, of all Preferred Stock and other Derivative Securities). At the expiration of such twenty (20) day period, the Company shall promptly notify each First Offer Participant that elects to purchase or acquire all the shares available to it (each, a “</w:t>
      </w:r>
      <w:r>
        <w:rPr>
          <w:rFonts w:ascii="Arial" w:cs="Arial" w:eastAsia="Arial" w:hAnsi="Arial"/>
          <w:sz w:val="19"/>
          <w:szCs w:val="19"/>
          <w:b w:val="1"/>
          <w:bCs w:val="1"/>
          <w:color w:val="auto"/>
        </w:rPr>
        <w:t>Fully Exercising Participant</w:t>
      </w:r>
      <w:r>
        <w:rPr>
          <w:rFonts w:ascii="Arial" w:cs="Arial" w:eastAsia="Arial" w:hAnsi="Arial"/>
          <w:sz w:val="19"/>
          <w:szCs w:val="19"/>
          <w:color w:val="auto"/>
        </w:rPr>
        <w:t xml:space="preserve">”) of any other First Offer Participant’s failure to do likewise. During the ten (10) day period commencing after the Company has given such notice, each Fully Exercising Participant may, by giving notice to the Company, elect to purchase or acquire, in addition to the number of shares specified above, up to that portion of the New Securities for which First Offer Participants were entitled to subscribe but that were not subscribed for by the First Offer Participants which is equal to the proportion that the Common Stock issued and held, or issuable (directly or indirectly) upon conversion and/or exercise, as applicable, of Preferred Stock and any other Derivative Securities then held, by such Fully Exercising Participant bears to the Common Stock issued and held, or issuable (directly or indirectly) upon conversion and/or exercise, as applicable, of the Preferred Stock and any other Derivative Securities then held, by all Fully Exercising Participants who wish to purchase such unsubscribed shares. The closing of any sale pursuant to this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shall occur within the later of ninety (90) days of the date that the Offer Notice is given and the date of initial sale of New Securities pursuant to </w:t>
      </w:r>
      <w:r>
        <w:rPr>
          <w:rFonts w:ascii="Arial" w:cs="Arial" w:eastAsia="Arial" w:hAnsi="Arial"/>
          <w:sz w:val="19"/>
          <w:szCs w:val="19"/>
          <w:u w:val="single" w:color="auto"/>
          <w:color w:val="auto"/>
        </w:rPr>
        <w:t>Subsection 4.1(c)</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jc w:val="both"/>
        <w:ind w:firstLine="1952"/>
        <w:spacing w:after="0" w:line="292" w:lineRule="auto"/>
        <w:tabs>
          <w:tab w:leader="none" w:pos="258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If all New Securities referred to in the Offer Notice are not elected to be purchased or acquired as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the Company may, during the ninety (90) day period following the expiration of the periods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First Offer Participants in accordance with this </w:t>
      </w:r>
      <w:r>
        <w:rPr>
          <w:rFonts w:ascii="Arial" w:cs="Arial" w:eastAsia="Arial" w:hAnsi="Arial"/>
          <w:sz w:val="19"/>
          <w:szCs w:val="19"/>
          <w:u w:val="single" w:color="auto"/>
          <w:color w:val="auto"/>
        </w:rPr>
        <w:t>Subsection 4.1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73" w:name="page274"/>
    <w:bookmarkEnd w:id="273"/>
    <w:p>
      <w:pPr>
        <w:ind w:right="20" w:firstLine="1952"/>
        <w:spacing w:after="0" w:line="287" w:lineRule="auto"/>
        <w:tabs>
          <w:tab w:leader="none" w:pos="2587"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The right of first offer in this </w:t>
      </w:r>
      <w:r>
        <w:rPr>
          <w:rFonts w:ascii="Arial" w:cs="Arial" w:eastAsia="Arial" w:hAnsi="Arial"/>
          <w:sz w:val="21"/>
          <w:szCs w:val="21"/>
          <w:u w:val="single" w:color="auto"/>
          <w:color w:val="auto"/>
        </w:rPr>
        <w:t>Subsection 4.1</w:t>
      </w:r>
      <w:r>
        <w:rPr>
          <w:rFonts w:ascii="Arial" w:cs="Arial" w:eastAsia="Arial" w:hAnsi="Arial"/>
          <w:sz w:val="21"/>
          <w:szCs w:val="21"/>
          <w:color w:val="auto"/>
        </w:rPr>
        <w:t xml:space="preserve"> shall not be applicable to (i) Exempted Securities (as defined in the Company’s Certificate of Incorporation) and (ii) shares of Common Stock issued in the IPO.</w:t>
      </w:r>
    </w:p>
    <w:p>
      <w:pPr>
        <w:spacing w:after="0" w:line="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covenants set forth in</w:t>
      </w:r>
      <w:r>
        <w:rPr>
          <w:rFonts w:ascii="Arial" w:cs="Arial" w:eastAsia="Arial" w:hAnsi="Arial"/>
          <w:sz w:val="19"/>
          <w:szCs w:val="19"/>
          <w:u w:val="single" w:color="auto"/>
          <w:color w:val="auto"/>
        </w:rPr>
        <w:t xml:space="preserve"> Subsection 4.1 </w:t>
      </w:r>
      <w:r>
        <w:rPr>
          <w:rFonts w:ascii="Arial" w:cs="Arial" w:eastAsia="Arial" w:hAnsi="Arial"/>
          <w:sz w:val="19"/>
          <w:szCs w:val="19"/>
          <w:color w:val="auto"/>
        </w:rPr>
        <w:t>shall terminate and be of no further force or effect</w:t>
      </w:r>
    </w:p>
    <w:p>
      <w:pPr>
        <w:spacing w:after="0" w:line="21" w:lineRule="exact"/>
        <w:rPr>
          <w:sz w:val="20"/>
          <w:szCs w:val="20"/>
          <w:color w:val="auto"/>
        </w:rPr>
      </w:pPr>
    </w:p>
    <w:p>
      <w:pPr>
        <w:ind w:right="20" w:firstLine="8"/>
        <w:spacing w:after="0" w:line="246" w:lineRule="auto"/>
        <w:tabs>
          <w:tab w:leader="none" w:pos="2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immediately before the consummation of the IPO or (ii) upon a Deemed Liquidation Event, as such term is defined in the Company’s Certificate of Incorporation, whichever event occurs first.</w:t>
      </w:r>
    </w:p>
    <w:p>
      <w:pPr>
        <w:spacing w:after="0" w:line="138" w:lineRule="exact"/>
        <w:rPr>
          <w:rFonts w:ascii="Arial" w:cs="Arial" w:eastAsia="Arial" w:hAnsi="Arial"/>
          <w:sz w:val="22"/>
          <w:szCs w:val="22"/>
          <w:color w:val="auto"/>
        </w:rPr>
      </w:pPr>
    </w:p>
    <w:p>
      <w:pPr>
        <w:ind w:left="1300" w:hanging="644"/>
        <w:spacing w:after="0"/>
        <w:tabs>
          <w:tab w:leader="none" w:pos="1300"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Additional Covenants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shall maintain, from a financially sound and reputable insurer, Directors and Officers liability insurance in an amount and on such other terms and conditions satisfactory to the Board of Directors, until such time as the Board of Directors determines that such insurance should be discontinued.</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Employee Agreements</w:t>
      </w:r>
      <w:r>
        <w:rPr>
          <w:rFonts w:ascii="Arial" w:cs="Arial" w:eastAsia="Arial" w:hAnsi="Arial"/>
          <w:sz w:val="22"/>
          <w:szCs w:val="22"/>
          <w:color w:val="auto"/>
        </w:rPr>
        <w:t>. The Company will cause each person now or hereafter employed by it or by any subsidiary (or engaged by the Company or any subsidiary as a consultant/independent contractor) with access to proprietary information, confidential information and/or trade secrets to enter into a nondisclosure and proprietary rights assignment agreement, substantially in the form approved by the Board of Directors.</w:t>
      </w:r>
    </w:p>
    <w:p>
      <w:pPr>
        <w:spacing w:after="0" w:line="13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Employee Stock</w:t>
      </w:r>
      <w:r>
        <w:rPr>
          <w:rFonts w:ascii="Arial" w:cs="Arial" w:eastAsia="Arial" w:hAnsi="Arial"/>
          <w:sz w:val="19"/>
          <w:szCs w:val="19"/>
          <w:color w:val="auto"/>
        </w:rPr>
        <w:t>.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w:t>
      </w:r>
    </w:p>
    <w:p>
      <w:pPr>
        <w:spacing w:after="0" w:line="1" w:lineRule="exact"/>
        <w:rPr>
          <w:sz w:val="20"/>
          <w:szCs w:val="20"/>
          <w:color w:val="auto"/>
        </w:rPr>
      </w:pPr>
    </w:p>
    <w:p>
      <w:pPr>
        <w:jc w:val="both"/>
        <w:ind w:firstLine="8"/>
        <w:spacing w:after="0" w:line="244" w:lineRule="auto"/>
        <w:tabs>
          <w:tab w:leader="none" w:pos="26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22"/>
          <w:szCs w:val="22"/>
          <w:u w:val="single" w:color="auto"/>
          <w:color w:val="auto"/>
        </w:rPr>
        <w:t>Subsection 2.11</w:t>
      </w:r>
      <w:r>
        <w:rPr>
          <w:rFonts w:ascii="Arial" w:cs="Arial" w:eastAsia="Arial" w:hAnsi="Arial"/>
          <w:sz w:val="22"/>
          <w:szCs w:val="22"/>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4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Board Matters</w:t>
      </w:r>
      <w:r>
        <w:rPr>
          <w:rFonts w:ascii="Arial" w:cs="Arial" w:eastAsia="Arial" w:hAnsi="Arial"/>
          <w:sz w:val="22"/>
          <w:szCs w:val="22"/>
          <w:color w:val="auto"/>
        </w:rPr>
        <w:t>. Unless otherwise determined by the vote of a majority of the directors then in office, the Board of Directors shall meet at least quarterly in accordance with an agreed-upon schedule. The Company shall reimburse the nonemployee directors and observers for all reasonable expenses in their services as a nonemployee director or an observer including out-of-pocket travel expenses incurred (consistent with the Company’s travel policy) in connection with attending meetings of the Board of Directors.</w:t>
      </w:r>
    </w:p>
    <w:p>
      <w:pPr>
        <w:spacing w:after="0" w:line="1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Successor Indemnification</w:t>
      </w:r>
      <w:r>
        <w:rPr>
          <w:rFonts w:ascii="Arial" w:cs="Arial" w:eastAsia="Arial" w:hAnsi="Arial"/>
          <w:sz w:val="22"/>
          <w:szCs w:val="22"/>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contained in the Company’s Bylaws, its Certificate of Incorporation or elsewhere, as the case may be.</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Indemnification Matters</w:t>
      </w:r>
      <w:r>
        <w:rPr>
          <w:rFonts w:ascii="Arial" w:cs="Arial" w:eastAsia="Arial" w:hAnsi="Arial"/>
          <w:sz w:val="19"/>
          <w:szCs w:val="19"/>
          <w:color w:val="auto"/>
        </w:rPr>
        <w:t>. The Company hereby acknowledges that one (1) or more of the directors nominated to serve on the Board of Directors by the Investors including the Preferred Director (each a “</w:t>
      </w:r>
      <w:r>
        <w:rPr>
          <w:rFonts w:ascii="Arial" w:cs="Arial" w:eastAsia="Arial" w:hAnsi="Arial"/>
          <w:sz w:val="19"/>
          <w:szCs w:val="19"/>
          <w:b w:val="1"/>
          <w:bCs w:val="1"/>
          <w:color w:val="auto"/>
        </w:rPr>
        <w:t>Fund Director</w:t>
      </w:r>
      <w:r>
        <w:rPr>
          <w:rFonts w:ascii="Arial" w:cs="Arial" w:eastAsia="Arial" w:hAnsi="Arial"/>
          <w:sz w:val="19"/>
          <w:szCs w:val="19"/>
          <w:color w:val="auto"/>
        </w:rPr>
        <w:t>”) may have certain rights to indemnification, advancement of expenses and/or insurance provided by one or more of the Investors and certain of their affiliates (collectively, the “</w:t>
      </w:r>
      <w:r>
        <w:rPr>
          <w:rFonts w:ascii="Arial" w:cs="Arial" w:eastAsia="Arial" w:hAnsi="Arial"/>
          <w:sz w:val="19"/>
          <w:szCs w:val="19"/>
          <w:b w:val="1"/>
          <w:bCs w:val="1"/>
          <w:color w:val="auto"/>
        </w:rPr>
        <w:t>Fund Indemnitors</w:t>
      </w:r>
      <w:r>
        <w:rPr>
          <w:rFonts w:ascii="Arial" w:cs="Arial" w:eastAsia="Arial" w:hAnsi="Arial"/>
          <w:sz w:val="19"/>
          <w:szCs w:val="19"/>
          <w:color w:val="auto"/>
        </w:rPr>
        <w:t>”). The Company hereby agrees (a) that it is the indemnitor of first resort (</w:t>
      </w:r>
      <w:r>
        <w:rPr>
          <w:rFonts w:ascii="Arial" w:cs="Arial" w:eastAsia="Arial" w:hAnsi="Arial"/>
          <w:sz w:val="19"/>
          <w:szCs w:val="19"/>
          <w:i w:val="1"/>
          <w:iCs w:val="1"/>
          <w:color w:val="auto"/>
        </w:rPr>
        <w:t>i.e.</w:t>
      </w:r>
      <w:r>
        <w:rPr>
          <w:rFonts w:ascii="Arial" w:cs="Arial" w:eastAsia="Arial" w:hAnsi="Arial"/>
          <w:sz w:val="19"/>
          <w:szCs w:val="19"/>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3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Right to Conduct Activities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8" w:lineRule="auto"/>
        <w:tabs>
          <w:tab w:leader="none" w:pos="258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Company hereby agrees and acknowledges that Maverick Advisors Fund, L.P. and Maverick Ventures Investment Fund, L.P. (together with its affiliates, “</w:t>
      </w:r>
      <w:r>
        <w:rPr>
          <w:rFonts w:ascii="Arial" w:cs="Arial" w:eastAsia="Arial" w:hAnsi="Arial"/>
          <w:sz w:val="19"/>
          <w:szCs w:val="19"/>
          <w:b w:val="1"/>
          <w:bCs w:val="1"/>
          <w:color w:val="auto"/>
        </w:rPr>
        <w:t>Maverick</w:t>
      </w:r>
      <w:r>
        <w:rPr>
          <w:rFonts w:ascii="Arial" w:cs="Arial" w:eastAsia="Arial" w:hAnsi="Arial"/>
          <w:sz w:val="19"/>
          <w:szCs w:val="19"/>
          <w:color w:val="auto"/>
        </w:rPr>
        <w:t xml:space="preserve">”)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Maverick shall not be liable to the Company for any claim arising out of, or based upon, (i) the investment by Maverick in any entity competitive with the Company or (ii) actions taken by any partner, officer or other representative of Maverick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361"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Company hereby agrees and acknowledges that Artal is a professional investment fund, and as such invests in numerous portfolio companies, some of which may be deemed competitive with the Company’s business (as currently conducted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75" w:name="page276"/>
    <w:bookmarkEnd w:id="275"/>
    <w:p>
      <w:pPr>
        <w:jc w:val="both"/>
        <w:spacing w:after="0" w:line="285" w:lineRule="auto"/>
        <w:rPr>
          <w:sz w:val="20"/>
          <w:szCs w:val="20"/>
          <w:color w:val="auto"/>
        </w:rPr>
      </w:pPr>
      <w:r>
        <w:rPr>
          <w:rFonts w:ascii="Arial" w:cs="Arial" w:eastAsia="Arial" w:hAnsi="Arial"/>
          <w:sz w:val="19"/>
          <w:szCs w:val="19"/>
          <w:color w:val="auto"/>
        </w:rPr>
        <w:t xml:space="preserve">currently propose to be conducted). The Company hereby agrees that, to the extent permitted under applicable law, Artal shall not be liable to the Company for any claim arising out of, or based upon, (i) the investment by Artal in any entity competitive with the Company or (ii) actions taken by any partner, officer or other representative of Artal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3" w:lineRule="exact"/>
        <w:rPr>
          <w:sz w:val="20"/>
          <w:szCs w:val="20"/>
          <w:color w:val="auto"/>
        </w:rPr>
      </w:pPr>
    </w:p>
    <w:p>
      <w:pPr>
        <w:jc w:val="both"/>
        <w:ind w:right="20" w:firstLine="8"/>
        <w:spacing w:after="0" w:line="295" w:lineRule="auto"/>
        <w:tabs>
          <w:tab w:leader="none" w:pos="334"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Notwithstanding anything to the contrary in this Agreement, Artal shall retain its rights under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of this Agreement regardless of whether Artal or any of its Affiliates is a Competitor.</w:t>
      </w:r>
    </w:p>
    <w:p>
      <w:pPr>
        <w:spacing w:after="0" w:line="95" w:lineRule="exact"/>
        <w:rPr>
          <w:rFonts w:ascii="Arial" w:cs="Arial" w:eastAsia="Arial" w:hAnsi="Arial"/>
          <w:sz w:val="19"/>
          <w:szCs w:val="19"/>
          <w:color w:val="auto"/>
        </w:rPr>
      </w:pPr>
    </w:p>
    <w:p>
      <w:pPr>
        <w:jc w:val="both"/>
        <w:ind w:firstLine="1952"/>
        <w:spacing w:after="0" w:line="288" w:lineRule="auto"/>
        <w:tabs>
          <w:tab w:leader="none" w:pos="2589"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Aju IB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Aju IB shall not be liable to the Company for any claim arising out of, or based upon, (i) the investment by Aju IB in any entity competitive with the Company or (ii) actions taken by any partner, officer or other representative of Aju IB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jc w:val="both"/>
        <w:ind w:firstLine="1952"/>
        <w:spacing w:after="0" w:line="288" w:lineRule="auto"/>
        <w:tabs>
          <w:tab w:leader="none" w:pos="2587"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aMoon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aMoon shall not be liable to the Company for any claim arising out of, or based upon, (i) the investment by aMoon in any entity competitive with the Company or (ii) actions taken by any partner, officer or other representative of aMoon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ind w:firstLine="1952"/>
        <w:spacing w:after="0" w:line="263" w:lineRule="auto"/>
        <w:tabs>
          <w:tab w:leader="none" w:pos="2589"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The Company hereby agrees and acknowledges that each Fidelity Investor (as defined below) (together with its Affiliates) is a professional investment fund,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76" w:name="page277"/>
    <w:bookmarkEnd w:id="276"/>
    <w:p>
      <w:pPr>
        <w:jc w:val="both"/>
        <w:spacing w:after="0" w:line="286" w:lineRule="auto"/>
        <w:rPr>
          <w:sz w:val="20"/>
          <w:szCs w:val="20"/>
          <w:color w:val="auto"/>
        </w:rPr>
      </w:pPr>
      <w:r>
        <w:rPr>
          <w:rFonts w:ascii="Arial" w:cs="Arial" w:eastAsia="Arial" w:hAnsi="Arial"/>
          <w:sz w:val="19"/>
          <w:szCs w:val="19"/>
          <w:color w:val="auto"/>
        </w:rPr>
        <w:t>such invests in numerous portfolio companies, some of which may be deemed competitive with the Company’s business (as currently conducted or as currently proposed to be conducted). The Company hereby agrees that, to the extent permitted under applicable law, no Fidelity Investor (or any of its Affiliates) shall be liable to the Company for any claim arising out of, or based upon, (i) the investment by any Fidelity Investor (or any of its Affiliates) in any entity competitive with the Company or</w:t>
      </w:r>
    </w:p>
    <w:p>
      <w:pPr>
        <w:spacing w:after="0" w:line="3" w:lineRule="exact"/>
        <w:rPr>
          <w:sz w:val="20"/>
          <w:szCs w:val="20"/>
          <w:color w:val="auto"/>
        </w:rPr>
      </w:pPr>
    </w:p>
    <w:p>
      <w:pPr>
        <w:jc w:val="both"/>
        <w:ind w:firstLine="8"/>
        <w:spacing w:after="0" w:line="281" w:lineRule="auto"/>
        <w:tabs>
          <w:tab w:leader="none" w:pos="32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actions taken by any partner, officer or other representative of any Fidelity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2" w:lineRule="exact"/>
        <w:rPr>
          <w:rFonts w:ascii="Arial" w:cs="Arial" w:eastAsia="Arial" w:hAnsi="Arial"/>
          <w:sz w:val="19"/>
          <w:szCs w:val="19"/>
          <w:color w:val="auto"/>
        </w:rPr>
      </w:pPr>
    </w:p>
    <w:p>
      <w:pPr>
        <w:jc w:val="both"/>
        <w:ind w:firstLine="8"/>
        <w:spacing w:after="0" w:line="244" w:lineRule="auto"/>
        <w:tabs>
          <w:tab w:leader="none" w:pos="356"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any of the Fidelity Investors from liability associated with the unauthorized disclosure of the Company’s confidential information obtained pursuant to this Agreement or (y) any director or officer of the Company from any liability associated with his or her fiduciary duties to the Company. “</w:t>
      </w:r>
      <w:r>
        <w:rPr>
          <w:rFonts w:ascii="Arial" w:cs="Arial" w:eastAsia="Arial" w:hAnsi="Arial"/>
          <w:sz w:val="22"/>
          <w:szCs w:val="22"/>
          <w:b w:val="1"/>
          <w:bCs w:val="1"/>
          <w:color w:val="auto"/>
        </w:rPr>
        <w:t>Fidelity Investors</w:t>
      </w:r>
      <w:r>
        <w:rPr>
          <w:rFonts w:ascii="Arial" w:cs="Arial" w:eastAsia="Arial" w:hAnsi="Arial"/>
          <w:sz w:val="22"/>
          <w:szCs w:val="22"/>
          <w:color w:val="auto"/>
        </w:rPr>
        <w:t>” shall mean any Investors advised or subadvised by Fidelity Management &amp; Research Company or one of its Affiliates.</w:t>
      </w:r>
    </w:p>
    <w:p>
      <w:pPr>
        <w:spacing w:after="0" w:line="14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Termination of Covenants</w:t>
      </w:r>
      <w:r>
        <w:rPr>
          <w:rFonts w:ascii="Arial" w:cs="Arial" w:eastAsia="Arial" w:hAnsi="Arial"/>
          <w:sz w:val="21"/>
          <w:szCs w:val="21"/>
          <w:color w:val="auto"/>
        </w:rPr>
        <w:t xml:space="preserve">. The covenants set forth in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except for </w:t>
      </w:r>
      <w:r>
        <w:rPr>
          <w:rFonts w:ascii="Arial" w:cs="Arial" w:eastAsia="Arial" w:hAnsi="Arial"/>
          <w:sz w:val="21"/>
          <w:szCs w:val="21"/>
          <w:u w:val="single" w:color="auto"/>
          <w:color w:val="auto"/>
        </w:rPr>
        <w:t>Subsection 5.6</w:t>
      </w:r>
      <w:r>
        <w:rPr>
          <w:rFonts w:ascii="Arial" w:cs="Arial" w:eastAsia="Arial" w:hAnsi="Arial"/>
          <w:sz w:val="21"/>
          <w:szCs w:val="21"/>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113"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The rights under this Agreement may be assigned (but only with all related obligations) by (i) a Holder to a transferee of Registrable Securities that (A) is an Affiliate of a Holder or (B) is a Holder’s Immediate Family Member or trust for the benefit of an individual Holder or one or more of such Holder’s Immediate Family Members or (ii) a Major Investor to a transferee of all of the Registrable Securities held by such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21"/>
          <w:szCs w:val="21"/>
          <w:u w:val="single" w:color="auto"/>
          <w:color w:val="auto"/>
        </w:rPr>
        <w:t>Subsection 2.11</w:t>
      </w:r>
      <w:r>
        <w:rPr>
          <w:rFonts w:ascii="Arial" w:cs="Arial" w:eastAsia="Arial" w:hAnsi="Arial"/>
          <w:sz w:val="21"/>
          <w:szCs w:val="21"/>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77" w:name="page278"/>
    <w:bookmarkEnd w:id="277"/>
    <w:p>
      <w:pPr>
        <w:ind w:left="1300"/>
        <w:spacing w:after="0"/>
        <w:tabs>
          <w:tab w:leader="none" w:pos="19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internal law of the State of Delaware.</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www.docusign.com) or other transmission method and any counterpart so delivered shall be deemed to have been duly and validly delivered and be valid and effective for all purposes</w:t>
      </w:r>
      <w:r>
        <w:rPr>
          <w:rFonts w:ascii="Arial" w:cs="Arial" w:eastAsia="Arial" w:hAnsi="Arial"/>
          <w:sz w:val="22"/>
          <w:szCs w:val="22"/>
          <w:b w:val="1"/>
          <w:bCs w:val="1"/>
          <w:color w:val="auto"/>
        </w:rPr>
        <w:t>.</w:t>
      </w:r>
    </w:p>
    <w:p>
      <w:pPr>
        <w:spacing w:after="0" w:line="1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for convenience only and are not to be considered in construing or interpreting this Agreement.</w:t>
      </w:r>
    </w:p>
    <w:p>
      <w:pPr>
        <w:spacing w:after="0" w:line="12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given or made pursuant to this Agreement shall be in writing and shall be deemed effectively given upon the earlier of actual receipt or (i) personal delivery to the party to be notified;</w:t>
      </w:r>
    </w:p>
    <w:p>
      <w:pPr>
        <w:spacing w:after="0" w:line="1" w:lineRule="exact"/>
        <w:rPr>
          <w:sz w:val="20"/>
          <w:szCs w:val="20"/>
          <w:color w:val="auto"/>
        </w:rPr>
      </w:pPr>
    </w:p>
    <w:p>
      <w:pPr>
        <w:jc w:val="both"/>
        <w:ind w:firstLine="8"/>
        <w:spacing w:after="0" w:line="284" w:lineRule="auto"/>
        <w:tabs>
          <w:tab w:leader="none" w:pos="32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9"/>
          <w:szCs w:val="19"/>
          <w:u w:val="single" w:color="auto"/>
          <w:color w:val="auto"/>
        </w:rPr>
        <w:t>Subsection 6.5</w:t>
      </w:r>
      <w:r>
        <w:rPr>
          <w:rFonts w:ascii="Arial" w:cs="Arial" w:eastAsia="Arial" w:hAnsi="Arial"/>
          <w:sz w:val="19"/>
          <w:szCs w:val="19"/>
          <w:color w:val="auto"/>
        </w:rPr>
        <w:t>. If notice is given to the Company, a copy shall also be sent to Wilson Sonsini Goodrich &amp; Rosati, P.C., 650 Page Mill Road, Palo Alto, California 94304, Attention: Tony Jeffries, and if notice is given to the Investors, a copy shall also be given to Cooley LLP, 3175 Hanover Street, Palo Alto, California 94306, Attention: Kevin Rooney; Patterson Belknap Webb and Tyler LLP, 1133 Avenue of the Americas, New York, New York 10036, Attention: Peter Schaeffer; Morgan, Lewis &amp; Bockius LLP, One Federal Street, Boston, MA 02110-1726; Gunderson Dettmer Stough Villeneuve Franklin &amp; Hachigian, LLP, 550 Allerton Street, Redwood City, CA 94063, Attention: Andy Bradley; Attention: James P. Carrigan; Naschitz Brandes Amir &amp; Co., 5 Tuval St. Tel Aviv, Israel, Attention: Asher Assis, Adv., and Inbar Mishory Bartal, Adv and Greenberg Traurig, LLP, One International Place, Suite 2000, Boston, MA 02110, Attention: Bradley A. Jacobson.</w:t>
      </w:r>
    </w:p>
    <w:p>
      <w:pPr>
        <w:spacing w:after="0" w:line="11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Any term of this Agreement may be amended,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in its sole discretion waive compliance with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(and the Company’s failure to object promptly in writing after notification of a proposed assignment allegedly in violation of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shall be deemed to be a waiver);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provision hereof may be waived by any waiving party on such party’s own behalf, without the consent of any other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78" w:name="page279"/>
    <w:bookmarkEnd w:id="278"/>
    <w:p>
      <w:pPr>
        <w:jc w:val="both"/>
        <w:spacing w:after="0" w:line="284" w:lineRule="auto"/>
        <w:rPr>
          <w:sz w:val="20"/>
          <w:szCs w:val="20"/>
          <w:color w:val="auto"/>
        </w:rPr>
      </w:pPr>
      <w:r>
        <w:rPr>
          <w:rFonts w:ascii="Arial" w:cs="Arial" w:eastAsia="Arial" w:hAnsi="Arial"/>
          <w:sz w:val="19"/>
          <w:szCs w:val="19"/>
          <w:color w:val="auto"/>
        </w:rPr>
        <w:t xml:space="preserve">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absent the consent or approval of an adversely affected non-waiving Major Investor who desires to purchase securities in such transaction, any waiver with the effect of reducing the number of New Securities such Major Investor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any Company financing must proportionately reduce the number of New Securities all other Major Investors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otherwise in such financing).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shares of Common Stock (including shares of Class A Common Stock issued or issuable upon conversion of Preferred Stock)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9"/>
          <w:szCs w:val="19"/>
          <w:u w:val="single" w:color="auto"/>
          <w:color w:val="auto"/>
        </w:rPr>
        <w:t>Subsection 6.6</w:t>
      </w:r>
      <w:r>
        <w:rPr>
          <w:rFonts w:ascii="Arial" w:cs="Arial" w:eastAsia="Arial" w:hAnsi="Arial"/>
          <w:sz w:val="19"/>
          <w:szCs w:val="19"/>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5.7(b)</w:t>
      </w:r>
      <w:r>
        <w:rPr>
          <w:rFonts w:ascii="Arial" w:cs="Arial" w:eastAsia="Arial" w:hAnsi="Arial"/>
          <w:sz w:val="19"/>
          <w:szCs w:val="19"/>
          <w:color w:val="auto"/>
        </w:rPr>
        <w:t xml:space="preserve"> of this Agreement shall not be amended or waived without the written consent of Artal.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5.7(c)</w:t>
      </w:r>
      <w:r>
        <w:rPr>
          <w:rFonts w:ascii="Arial" w:cs="Arial" w:eastAsia="Arial" w:hAnsi="Arial"/>
          <w:sz w:val="19"/>
          <w:szCs w:val="19"/>
          <w:color w:val="auto"/>
        </w:rPr>
        <w:t xml:space="preserve"> of this Agreement shall not be amended or waived without the written consent of Aju IB.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of this Agreement shall not be amended or waived without the written consent of Maverick.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5.7(d)</w:t>
      </w:r>
      <w:r>
        <w:rPr>
          <w:rFonts w:ascii="Arial" w:cs="Arial" w:eastAsia="Arial" w:hAnsi="Arial"/>
          <w:sz w:val="19"/>
          <w:szCs w:val="19"/>
          <w:color w:val="auto"/>
        </w:rPr>
        <w:t xml:space="preserve"> of this Agreement shall not be amended or waived without the written consent of aMoon.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5.7(e)</w:t>
      </w:r>
      <w:r>
        <w:rPr>
          <w:rFonts w:ascii="Arial" w:cs="Arial" w:eastAsia="Arial" w:hAnsi="Arial"/>
          <w:sz w:val="19"/>
          <w:szCs w:val="19"/>
          <w:color w:val="auto"/>
        </w:rPr>
        <w:t xml:space="preserve"> of this Agreement shall not be amended or waived without the written consent of the Fidelity Investors.</w:t>
      </w:r>
    </w:p>
    <w:p>
      <w:pPr>
        <w:spacing w:after="0" w:line="36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Aggregation of Stock</w:t>
      </w:r>
      <w:r>
        <w:rPr>
          <w:rFonts w:ascii="Arial" w:cs="Arial" w:eastAsia="Arial" w:hAnsi="Arial"/>
          <w:sz w:val="22"/>
          <w:szCs w:val="22"/>
          <w:color w:val="auto"/>
        </w:rPr>
        <w:t>. All shares of Registrable Securities held or acquired by Affiliates shall be aggregated together for the purpose of determining the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79" w:name="page280"/>
    <w:bookmarkEnd w:id="279"/>
    <w:p>
      <w:pPr>
        <w:jc w:val="both"/>
        <w:spacing w:after="0" w:line="263" w:lineRule="auto"/>
        <w:rPr>
          <w:sz w:val="20"/>
          <w:szCs w:val="20"/>
          <w:color w:val="auto"/>
        </w:rPr>
      </w:pPr>
      <w:r>
        <w:rPr>
          <w:rFonts w:ascii="Arial" w:cs="Arial" w:eastAsia="Arial" w:hAnsi="Arial"/>
          <w:sz w:val="22"/>
          <w:szCs w:val="22"/>
          <w:color w:val="auto"/>
        </w:rPr>
        <w:t>of any rights under this Agreement and such Affiliated persons may apportion such rights as among themselves in any manner they deem appropriate.</w:t>
      </w:r>
    </w:p>
    <w:p>
      <w:pPr>
        <w:spacing w:after="0" w:line="1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Additional Investors</w:t>
      </w:r>
      <w:r>
        <w:rPr>
          <w:rFonts w:ascii="Arial" w:cs="Arial" w:eastAsia="Arial" w:hAnsi="Arial"/>
          <w:sz w:val="21"/>
          <w:szCs w:val="21"/>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3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(a) 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VOLUNTARILY WAIVES ITS JURY TRIAL RIGHTS FOLLOWING CONSULTATION WITH LEGAL COUNSEL.</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prevailing party shall be entitled to reasonable attorney’s fees, costs and necessary disbursements in addition to any other relief to which such party may be entitled.</w:t>
      </w:r>
    </w:p>
    <w:p>
      <w:pPr>
        <w:spacing w:after="0" w:line="121"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81" w:name="page282"/>
    <w:bookmarkEnd w:id="281"/>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COMPANY:</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SEER, INC.</w:t>
      </w:r>
    </w:p>
    <w:p>
      <w:pPr>
        <w:spacing w:after="0" w:line="314"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Omid Farokhzad</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Omid Farokhzad</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82" w:name="page283"/>
    <w:bookmarkEnd w:id="282"/>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INVESTORS:</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MT. VERNON STREET TRUST: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GROWTH COMPANY FUND</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Stacie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Stacie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MT. VERNON STREET TRUST: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SERIES GROWTH COMPANY FUND</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Stacie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Stacie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GROWTH COMPANY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COMMINGLED POOL</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Fidelity Management Trust Company, as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Trustee</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Stacie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Stacie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MT. VERNON STREET TRUST: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GROWTH COMPANY K6 FUND</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Stacie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Stacie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FIDELITY SELECT PORTFOLIOS: SELECT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MEDICAL TECHNOLOGY AND DEVICES</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PORTFOLIO</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Stacie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Stacie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283" w:name="page284"/>
    <w:bookmarkEnd w:id="283"/>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INVESTORS:</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AJU LIFE SCIENCE 3.0 VENTURE FUND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C/O AJU IB INVESTMENT</w:t>
      </w:r>
    </w:p>
    <w:p>
      <w:pPr>
        <w:spacing w:after="0" w:line="283"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29832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4"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58"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AJU GOOD VENTURE FUND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C/O AJU IB INVESTMENT</w:t>
      </w:r>
    </w:p>
    <w:p>
      <w:pPr>
        <w:spacing w:after="0" w:line="283"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2983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4"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58"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AMOON 2 FUND LIMITED PARTNERSHIP</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aMoon 2 Fund G.P. Limited Partnership</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its general partner</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aMoon General Partner Ltd.</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its general partner</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Tomer Berkovitz</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Partner &amp; CFO</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AMOON CO-INVESTMENT SPV I, LIMITED</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PARTNERSHIP</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aMoon 2 Fund G.P. Limited Partnership</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its general partner</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aMoon General Partner Ltd.</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its general partner</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Tomer Berkovitz</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Partner &amp; CFO</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284" w:name="page285"/>
    <w:bookmarkEnd w:id="284"/>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EMERSON COLLECTIVE INVESTMENTS,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LLC</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 McDermid</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Steve McDermid</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9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HBM HEALTHCARE INVESTMENTS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(CAYMAN) LTD.</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Jean-Marc LeSieur</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Jean-Marc LeSieur</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553"/>
        </w:trPr>
        <w:tc>
          <w:tcPr>
            <w:tcW w:w="5600" w:type="dxa"/>
            <w:vAlign w:val="bottom"/>
            <w:gridSpan w:val="2"/>
          </w:tcPr>
          <w:p>
            <w:pPr>
              <w:spacing w:after="0"/>
              <w:rPr>
                <w:sz w:val="20"/>
                <w:szCs w:val="20"/>
                <w:color w:val="auto"/>
              </w:rPr>
            </w:pPr>
            <w:r>
              <w:rPr>
                <w:rFonts w:ascii="Arial" w:cs="Arial" w:eastAsia="Arial" w:hAnsi="Arial"/>
                <w:sz w:val="22"/>
                <w:szCs w:val="22"/>
                <w:color w:val="auto"/>
              </w:rPr>
              <w:t>HBM GENOMICS LTD.</w:t>
            </w:r>
          </w:p>
        </w:tc>
      </w:tr>
      <w:tr>
        <w:trPr>
          <w:trHeight w:val="5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Saeid Akhtari</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Saeid Akhtari</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553"/>
        </w:trPr>
        <w:tc>
          <w:tcPr>
            <w:tcW w:w="5600" w:type="dxa"/>
            <w:vAlign w:val="bottom"/>
            <w:gridSpan w:val="2"/>
          </w:tcPr>
          <w:p>
            <w:pPr>
              <w:spacing w:after="0"/>
              <w:rPr>
                <w:sz w:val="20"/>
                <w:szCs w:val="20"/>
                <w:color w:val="auto"/>
              </w:rPr>
            </w:pPr>
            <w:r>
              <w:rPr>
                <w:rFonts w:ascii="Arial" w:cs="Arial" w:eastAsia="Arial" w:hAnsi="Arial"/>
                <w:sz w:val="22"/>
                <w:szCs w:val="22"/>
                <w:color w:val="auto"/>
              </w:rPr>
              <w:t>INVUS PUBLIC EQUITIES, L.P.</w:t>
            </w:r>
          </w:p>
        </w:tc>
      </w:tr>
      <w:tr>
        <w:trPr>
          <w:trHeight w:val="5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Raymond Debbane</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Raymond Debbane</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President of the General Partner</w:t>
            </w:r>
          </w:p>
        </w:tc>
      </w:tr>
      <w:tr>
        <w:trPr>
          <w:trHeight w:val="553"/>
        </w:trPr>
        <w:tc>
          <w:tcPr>
            <w:tcW w:w="5600" w:type="dxa"/>
            <w:vAlign w:val="bottom"/>
            <w:gridSpan w:val="2"/>
          </w:tcPr>
          <w:p>
            <w:pPr>
              <w:spacing w:after="0"/>
              <w:rPr>
                <w:sz w:val="20"/>
                <w:szCs w:val="20"/>
                <w:color w:val="auto"/>
              </w:rPr>
            </w:pPr>
            <w:r>
              <w:rPr>
                <w:rFonts w:ascii="Arial" w:cs="Arial" w:eastAsia="Arial" w:hAnsi="Arial"/>
                <w:sz w:val="22"/>
                <w:szCs w:val="22"/>
                <w:color w:val="auto"/>
              </w:rPr>
              <w:t>SOULBRAIN CO., LTD.</w:t>
            </w:r>
          </w:p>
        </w:tc>
      </w:tr>
      <w:tr>
        <w:trPr>
          <w:trHeight w:val="5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Kang Byung Chang</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Kang Byung Chang</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85" w:name="page286"/>
    <w:bookmarkEnd w:id="285"/>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INVESTORS:</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MAVERICK VENTURES INVESTMENT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FUND, L.P.</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Maverick Capital Ventures,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its General Partner</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Maverick Capital Advisors, L.P.,</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its Manager</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MAVERICK ADVISORS FUND, L.P.</w:t>
      </w:r>
    </w:p>
    <w:p>
      <w:pPr>
        <w:spacing w:after="0" w:line="3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Maverick Capital Ventures,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its General Partner</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Maverick Capital Advisors, L.P.,</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its Manager</w:t>
      </w: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0"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 Rowe Price Health Sciences Fund,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TDMutualFunds-TDHealthSciencesFund</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VALICCompany I -Health SciencesFund</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T.RowePriceHealthSciencesPortfolio</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Each account, severally and not jointly</w:t>
      </w:r>
    </w:p>
    <w:p>
      <w:pPr>
        <w:spacing w:after="0" w:line="31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T. Rowe Price Associates, Inc., Investment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Adviser or Subadviser, as applicable</w:t>
      </w:r>
    </w:p>
    <w:p>
      <w:pPr>
        <w:spacing w:after="0" w:line="296"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286" w:name="page287"/>
    <w:bookmarkEnd w:id="286"/>
    <w:p>
      <w:pPr>
        <w:ind w:left="180"/>
        <w:spacing w:after="0"/>
        <w:rPr>
          <w:sz w:val="20"/>
          <w:szCs w:val="20"/>
          <w:color w:val="auto"/>
        </w:rPr>
      </w:pPr>
      <w:r>
        <w:rPr>
          <w:rFonts w:ascii="Arial" w:cs="Arial" w:eastAsia="Arial" w:hAnsi="Arial"/>
          <w:sz w:val="19"/>
          <w:szCs w:val="19"/>
          <w:color w:val="auto"/>
        </w:rPr>
        <w:t>IN WITNESS WHEREOF, the parties have executed this Agreement as of the date first written above.</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INVESTORS:</w:t>
      </w:r>
    </w:p>
    <w:p>
      <w:pPr>
        <w:spacing w:after="0" w:line="32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WING TWO, LP.</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for itself and as nominee for</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Wing Principals Two, L.P. and</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Wing Strategic Partners Two, L.P.</w:t>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Wing Ventures II,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its general partner</w:t>
      </w:r>
    </w:p>
    <w:p>
      <w:pPr>
        <w:spacing w:after="0" w:line="283"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Hillary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29832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Chief Financial Officer</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2003 MA FAMILY LIVING TRUST</w:t>
      </w:r>
    </w:p>
    <w:p>
      <w:pPr>
        <w:spacing w:after="0" w:line="301"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Philip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2983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4"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Philip Ma</w:t>
      </w:r>
    </w:p>
    <w:p>
      <w:pPr>
        <w:spacing w:after="0" w:line="58"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Trustee</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DYNAMICS GROUP LLC</w:t>
      </w:r>
    </w:p>
    <w:p>
      <w:pPr>
        <w:spacing w:after="0" w:line="301"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2983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4"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Omid Farokhzad</w:t>
      </w:r>
    </w:p>
    <w:p>
      <w:pPr>
        <w:spacing w:after="0" w:line="58" w:lineRule="exact"/>
        <w:rPr>
          <w:sz w:val="20"/>
          <w:szCs w:val="20"/>
          <w:color w:val="auto"/>
        </w:rPr>
      </w:pPr>
    </w:p>
    <w:p>
      <w:pPr>
        <w:ind w:left="452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Member</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ROBERT LANGER</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Robert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24130</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PHILIP MA</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Philip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24130</wp:posOffset>
            </wp:positionV>
            <wp:extent cx="3566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40"/>
          </w:cols>
          <w:pgMar w:left="1440" w:top="1428" w:right="1419" w:bottom="1440" w:gutter="0" w:footer="0" w:header="0"/>
        </w:sectPr>
      </w:pPr>
    </w:p>
    <w:bookmarkStart w:id="287" w:name="page288"/>
    <w:bookmarkEnd w:id="287"/>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INVESTORS: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OCF TRUST</w:t>
      </w:r>
    </w:p>
    <w:p>
      <w:pPr>
        <w:spacing w:after="0" w:line="301"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By: J.P. Morgan Trust Company of Delaware as Trustee</w:t>
      </w:r>
    </w:p>
    <w:p>
      <w:pPr>
        <w:spacing w:after="0" w:line="312" w:lineRule="exact"/>
        <w:rPr>
          <w:sz w:val="20"/>
          <w:szCs w:val="20"/>
          <w:color w:val="auto"/>
        </w:rPr>
      </w:pPr>
    </w:p>
    <w:tbl>
      <w:tblPr>
        <w:tblLayout w:type="fixed"/>
        <w:tblInd w:w="450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Signature: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Sean M. Becker</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Sean M. Becker</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Trust Officer</w:t>
            </w:r>
          </w:p>
        </w:tc>
      </w:tr>
      <w:tr>
        <w:trPr>
          <w:trHeight w:val="553"/>
        </w:trPr>
        <w:tc>
          <w:tcPr>
            <w:tcW w:w="5620" w:type="dxa"/>
            <w:vAlign w:val="bottom"/>
            <w:gridSpan w:val="2"/>
          </w:tcPr>
          <w:p>
            <w:pPr>
              <w:spacing w:after="0"/>
              <w:rPr>
                <w:sz w:val="20"/>
                <w:szCs w:val="20"/>
                <w:color w:val="auto"/>
              </w:rPr>
            </w:pPr>
            <w:r>
              <w:rPr>
                <w:rFonts w:ascii="Arial" w:cs="Arial" w:eastAsia="Arial" w:hAnsi="Arial"/>
                <w:sz w:val="22"/>
                <w:szCs w:val="22"/>
                <w:color w:val="auto"/>
              </w:rPr>
              <w:t>SAF-BND TRUST</w:t>
            </w:r>
          </w:p>
        </w:tc>
      </w:tr>
      <w:tr>
        <w:trPr>
          <w:trHeight w:val="564"/>
        </w:trPr>
        <w:tc>
          <w:tcPr>
            <w:tcW w:w="1320" w:type="dxa"/>
            <w:vAlign w:val="bottom"/>
          </w:tcPr>
          <w:p>
            <w:pPr>
              <w:spacing w:after="0"/>
              <w:rPr>
                <w:sz w:val="20"/>
                <w:szCs w:val="20"/>
                <w:color w:val="auto"/>
              </w:rPr>
            </w:pPr>
            <w:r>
              <w:rPr>
                <w:rFonts w:ascii="Arial" w:cs="Arial" w:eastAsia="Arial" w:hAnsi="Arial"/>
                <w:sz w:val="22"/>
                <w:szCs w:val="22"/>
                <w:color w:val="auto"/>
              </w:rPr>
              <w:t>Signature: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Shadi Aryanpour-Farokhzad</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Shadi Aryanpour-Farokhzad</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Trustee</w:t>
            </w:r>
          </w:p>
        </w:tc>
      </w:tr>
      <w:tr>
        <w:trPr>
          <w:trHeight w:val="553"/>
        </w:trPr>
        <w:tc>
          <w:tcPr>
            <w:tcW w:w="5620" w:type="dxa"/>
            <w:vAlign w:val="bottom"/>
            <w:gridSpan w:val="2"/>
          </w:tcPr>
          <w:p>
            <w:pPr>
              <w:spacing w:after="0"/>
              <w:rPr>
                <w:sz w:val="20"/>
                <w:szCs w:val="20"/>
                <w:color w:val="auto"/>
              </w:rPr>
            </w:pPr>
            <w:r>
              <w:rPr>
                <w:rFonts w:ascii="Arial" w:cs="Arial" w:eastAsia="Arial" w:hAnsi="Arial"/>
                <w:sz w:val="22"/>
                <w:szCs w:val="22"/>
                <w:color w:val="auto"/>
              </w:rPr>
              <w:t>STRONG BRIDGE, LLC</w:t>
            </w:r>
          </w:p>
        </w:tc>
      </w:tr>
      <w:tr>
        <w:trPr>
          <w:trHeight w:val="564"/>
        </w:trPr>
        <w:tc>
          <w:tcPr>
            <w:tcW w:w="1320" w:type="dxa"/>
            <w:vAlign w:val="bottom"/>
          </w:tcPr>
          <w:p>
            <w:pPr>
              <w:spacing w:after="0"/>
              <w:rPr>
                <w:sz w:val="20"/>
                <w:szCs w:val="20"/>
                <w:color w:val="auto"/>
              </w:rPr>
            </w:pPr>
            <w:r>
              <w:rPr>
                <w:rFonts w:ascii="Arial" w:cs="Arial" w:eastAsia="Arial" w:hAnsi="Arial"/>
                <w:sz w:val="22"/>
                <w:szCs w:val="22"/>
                <w:color w:val="auto"/>
              </w:rPr>
              <w:t>Signature: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Terry McGuire</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Terry McGuire</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88" w:name="page289"/>
    <w:bookmarkEnd w:id="288"/>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KEY HOLDERS:</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2003 MA FAMILY LIVING TRUST</w:t>
      </w:r>
    </w:p>
    <w:p>
      <w:pPr>
        <w:spacing w:after="0" w:line="301" w:lineRule="exact"/>
        <w:rPr>
          <w:sz w:val="20"/>
          <w:szCs w:val="20"/>
          <w:color w:val="auto"/>
        </w:rPr>
      </w:pPr>
    </w:p>
    <w:tbl>
      <w:tblPr>
        <w:tblLayout w:type="fixed"/>
        <w:tblInd w:w="450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Philip Ma</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Philip Ma</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Trustee</w:t>
            </w:r>
          </w:p>
        </w:tc>
      </w:tr>
      <w:tr>
        <w:trPr>
          <w:trHeight w:val="553"/>
        </w:trPr>
        <w:tc>
          <w:tcPr>
            <w:tcW w:w="5620" w:type="dxa"/>
            <w:vAlign w:val="bottom"/>
            <w:gridSpan w:val="2"/>
          </w:tcPr>
          <w:p>
            <w:pPr>
              <w:spacing w:after="0"/>
              <w:rPr>
                <w:sz w:val="20"/>
                <w:szCs w:val="20"/>
                <w:color w:val="auto"/>
              </w:rPr>
            </w:pPr>
            <w:r>
              <w:rPr>
                <w:rFonts w:ascii="Arial" w:cs="Arial" w:eastAsia="Arial" w:hAnsi="Arial"/>
                <w:sz w:val="22"/>
                <w:szCs w:val="22"/>
                <w:color w:val="auto"/>
              </w:rPr>
              <w:t>DYNAMICS GROUP LLC</w:t>
            </w:r>
          </w:p>
        </w:tc>
      </w:tr>
      <w:tr>
        <w:trPr>
          <w:trHeight w:val="564"/>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Omid Farokhzad</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Omid Farokhzad</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7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OMID FAROKHZAD</w:t>
      </w:r>
    </w:p>
    <w:p>
      <w:pPr>
        <w:spacing w:after="0" w:line="30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24130</wp:posOffset>
            </wp:positionV>
            <wp:extent cx="35744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8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ROBERT LANGER</w:t>
      </w:r>
    </w:p>
    <w:p>
      <w:pPr>
        <w:spacing w:after="0" w:line="30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Robert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24130</wp:posOffset>
            </wp:positionV>
            <wp:extent cx="3574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PHILIP MA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 Philip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24130</wp:posOffset>
            </wp:positionV>
            <wp:extent cx="35744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OCF TRUST</w:t>
      </w:r>
    </w:p>
    <w:p>
      <w:pPr>
        <w:spacing w:after="0" w:line="314" w:lineRule="exact"/>
        <w:rPr>
          <w:sz w:val="20"/>
          <w:szCs w:val="20"/>
          <w:color w:val="auto"/>
        </w:rPr>
      </w:pPr>
    </w:p>
    <w:p>
      <w:pPr>
        <w:jc w:val="right"/>
        <w:ind w:right="480"/>
        <w:spacing w:after="0"/>
        <w:rPr>
          <w:sz w:val="20"/>
          <w:szCs w:val="20"/>
          <w:color w:val="auto"/>
        </w:rPr>
      </w:pPr>
      <w:r>
        <w:rPr>
          <w:rFonts w:ascii="Arial" w:cs="Arial" w:eastAsia="Arial" w:hAnsi="Arial"/>
          <w:sz w:val="22"/>
          <w:szCs w:val="22"/>
          <w:color w:val="auto"/>
        </w:rPr>
        <w:t>By: J.P. Morgan Trust Company of Delaware as Trustee</w:t>
      </w:r>
    </w:p>
    <w:p>
      <w:pPr>
        <w:spacing w:after="0" w:line="301" w:lineRule="exact"/>
        <w:rPr>
          <w:sz w:val="20"/>
          <w:szCs w:val="20"/>
          <w:color w:val="auto"/>
        </w:rPr>
      </w:pPr>
    </w:p>
    <w:tbl>
      <w:tblPr>
        <w:tblLayout w:type="fixed"/>
        <w:tblInd w:w="450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Signature: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Sean M. Becker</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Sean M. Becker</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Trust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89" w:name="page290"/>
    <w:bookmarkEnd w:id="289"/>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KEY HOLDERS:</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SAF-BND TRUST</w:t>
      </w:r>
    </w:p>
    <w:p>
      <w:pPr>
        <w:spacing w:after="0" w:line="301" w:lineRule="exact"/>
        <w:rPr>
          <w:sz w:val="20"/>
          <w:szCs w:val="20"/>
          <w:color w:val="auto"/>
        </w:rPr>
      </w:pPr>
    </w:p>
    <w:tbl>
      <w:tblPr>
        <w:tblLayout w:type="fixed"/>
        <w:tblInd w:w="450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Signature: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Shadi Aryanpour-Farokhzad</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Shadi Aryanpour-Farokhzad</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ind w:left="20"/>
              <w:spacing w:after="0"/>
              <w:rPr>
                <w:sz w:val="20"/>
                <w:szCs w:val="20"/>
                <w:color w:val="auto"/>
              </w:rPr>
            </w:pPr>
            <w:r>
              <w:rPr>
                <w:rFonts w:ascii="Arial" w:cs="Arial" w:eastAsia="Arial" w:hAnsi="Arial"/>
                <w:sz w:val="22"/>
                <w:szCs w:val="22"/>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90" w:name="page291"/>
    <w:bookmarkEnd w:id="290"/>
    <w:p>
      <w:pPr>
        <w:ind w:left="4920"/>
        <w:spacing w:after="0"/>
        <w:rPr>
          <w:sz w:val="20"/>
          <w:szCs w:val="20"/>
          <w:color w:val="auto"/>
        </w:rPr>
      </w:pPr>
      <w:r>
        <w:rPr>
          <w:rFonts w:ascii="Arial" w:cs="Arial" w:eastAsia="Arial" w:hAnsi="Arial"/>
          <w:sz w:val="22"/>
          <w:szCs w:val="22"/>
          <w:b w:val="1"/>
          <w:bCs w:val="1"/>
          <w:color w:val="auto"/>
        </w:rPr>
        <w:t>SCHEDULE A</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Investors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Fidelity Mt. Vernon Street Trust: Fidelity Growth Company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Pa 15258</w:t>
      </w:r>
    </w:p>
    <w:p>
      <w:pPr>
        <w:spacing w:after="0" w:line="148" w:lineRule="exact"/>
        <w:rPr>
          <w:sz w:val="20"/>
          <w:szCs w:val="20"/>
          <w:color w:val="auto"/>
        </w:rPr>
      </w:pPr>
    </w:p>
    <w:p>
      <w:pPr>
        <w:ind w:right="3879"/>
        <w:spacing w:after="0" w:line="251" w:lineRule="auto"/>
        <w:rPr>
          <w:sz w:val="20"/>
          <w:szCs w:val="20"/>
          <w:color w:val="auto"/>
        </w:rPr>
      </w:pPr>
      <w:r>
        <w:rPr>
          <w:rFonts w:ascii="Arial" w:cs="Arial" w:eastAsia="Arial" w:hAnsi="Arial"/>
          <w:sz w:val="22"/>
          <w:szCs w:val="22"/>
          <w:color w:val="auto"/>
        </w:rPr>
        <w:t>Fidelity Mt. Vernon Street Trust: Fidelity Series Growth Company Fund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Growth Company Commingled Pool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Mag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Mt. Vernon Street Trust: Fidelity Growth Company K6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Pa 15258</w:t>
      </w:r>
    </w:p>
    <w:p>
      <w:pPr>
        <w:spacing w:after="0" w:line="148" w:lineRule="exact"/>
        <w:rPr>
          <w:sz w:val="20"/>
          <w:szCs w:val="20"/>
          <w:color w:val="auto"/>
        </w:rPr>
      </w:pPr>
    </w:p>
    <w:p>
      <w:pPr>
        <w:ind w:right="3559"/>
        <w:spacing w:after="0" w:line="251" w:lineRule="auto"/>
        <w:rPr>
          <w:sz w:val="20"/>
          <w:szCs w:val="20"/>
          <w:color w:val="auto"/>
        </w:rPr>
      </w:pPr>
      <w:r>
        <w:rPr>
          <w:rFonts w:ascii="Arial" w:cs="Arial" w:eastAsia="Arial" w:hAnsi="Arial"/>
          <w:sz w:val="22"/>
          <w:szCs w:val="22"/>
          <w:color w:val="auto"/>
        </w:rPr>
        <w:t>Fidelity Select Portfolios: Select Medical Technology and Devices Portfolio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Aju Life Science 3.0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Aju Good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ectPr>
          <w:pgSz w:w="11900" w:h="16838" w:orient="portrait"/>
          <w:cols w:equalWidth="0" w:num="1">
            <w:col w:w="10139"/>
          </w:cols>
          <w:pgMar w:left="320" w:top="1422" w:right="1440"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aMoon 2 Fund,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aMoon Co-Investment SPV I, 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34 Yerushalaim 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Beit Gamla, 6th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Ra’anana, 4350110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Israel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Invus Public Equities,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The Invus Group,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750 Lexington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Raymond Debbane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 a cc to: Philippe Amouyal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Emerson Collective Investments,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Maverick Advisors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Maverick Ventures Investment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Fund,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TD Mutual Funds - TD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VALIC Company I -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Portfolio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T. Rowe Price Associates,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100 East Pratt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21202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Attn: Andrew Baek, Vice President and Senior Legal Counsel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ectPr>
          <w:pgSz w:w="11900" w:h="16838" w:orient="portrait"/>
          <w:cols w:equalWidth="0" w:num="1">
            <w:col w:w="10139"/>
          </w:cols>
          <w:pgMar w:left="320" w:top="1428" w:right="1440"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Soulbrain Co., Ltd.</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34, Pangyo-Ro 255 Beon-Gil, Bundang-Gu</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Seongnam-Si, Gyenggi-Do, Republic of Korea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Attn: Dr. Nam Huh</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Strong Bridge,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North Star Advisors,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880 Winter Street, Suite 350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Waltham, MA 02451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Mostafa Ronaghi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HBM Genomics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HBM Healthcare Investments (Cayman) Ltd.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Omead Ostadan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David Epstein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WS Investment Company, LLC (2017A)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Wilson Sonsini Goodrich &amp; Rosati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WS Investment Company, LLC (2018A)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Wilson Sonsini Goodrich &amp; Rosati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Alfred Sandrock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R. Randolph Scott</w:t>
      </w:r>
    </w:p>
    <w:p>
      <w:pPr>
        <w:sectPr>
          <w:pgSz w:w="11900" w:h="16838" w:orient="portrait"/>
          <w:cols w:equalWidth="0" w:num="1">
            <w:col w:w="10139"/>
          </w:cols>
          <w:pgMar w:left="320" w:top="1428" w:right="1440" w:bottom="1440" w:gutter="0" w:footer="0" w:header="0"/>
        </w:sectPr>
      </w:pPr>
    </w:p>
    <w:bookmarkStart w:id="293" w:name="page294"/>
    <w:bookmarkEnd w:id="293"/>
    <w:p>
      <w:pPr>
        <w:spacing w:after="0"/>
        <w:rPr>
          <w:sz w:val="20"/>
          <w:szCs w:val="20"/>
          <w:color w:val="auto"/>
        </w:rPr>
      </w:pPr>
      <w:r>
        <w:rPr>
          <w:rFonts w:ascii="Arial" w:cs="Arial" w:eastAsia="Arial" w:hAnsi="Arial"/>
          <w:sz w:val="19"/>
          <w:szCs w:val="19"/>
          <w:color w:val="auto"/>
        </w:rPr>
        <w:t>2003 Ma Family Living Trust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Wing Two,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480 Lytton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Global AG Investments LLC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 1928 Alcova Ridge Dr.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89135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Leslie Hellewell</w:t>
      </w:r>
    </w:p>
    <w:p>
      <w:pPr>
        <w:sectPr>
          <w:pgSz w:w="11900" w:h="16838" w:orient="portrait"/>
          <w:cols w:equalWidth="0" w:num="1">
            <w:col w:w="10139"/>
          </w:cols>
          <w:pgMar w:left="320" w:top="1428" w:right="1440" w:bottom="1440" w:gutter="0" w:footer="0" w:header="0"/>
        </w:sectPr>
      </w:pPr>
    </w:p>
    <w:bookmarkStart w:id="294" w:name="page295"/>
    <w:bookmarkEnd w:id="294"/>
    <w:p>
      <w:pPr>
        <w:jc w:val="center"/>
        <w:ind w:right="-1120"/>
        <w:spacing w:after="0"/>
        <w:rPr>
          <w:sz w:val="20"/>
          <w:szCs w:val="20"/>
          <w:color w:val="auto"/>
        </w:rPr>
      </w:pPr>
      <w:r>
        <w:rPr>
          <w:rFonts w:ascii="Arial" w:cs="Arial" w:eastAsia="Arial" w:hAnsi="Arial"/>
          <w:sz w:val="21"/>
          <w:szCs w:val="21"/>
          <w:b w:val="1"/>
          <w:bCs w:val="1"/>
          <w:color w:val="auto"/>
        </w:rPr>
        <w:t>SCHEDULE B</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Key 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Omid Farokhzad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2003 Ma Family Living Trust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ectPr>
          <w:pgSz w:w="11900" w:h="16838" w:orient="portrait"/>
          <w:cols w:equalWidth="0" w:num="1">
            <w:col w:w="10139"/>
          </w:cols>
          <w:pgMar w:left="320" w:top="1422"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BIOSCIENCES,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Stock Incentive Plan</w:t>
      </w:r>
    </w:p>
    <w:p>
      <w:pPr>
        <w:spacing w:after="0" w:line="220"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The purpose of this plan (the “</w:t>
      </w:r>
      <w:r>
        <w:rPr>
          <w:rFonts w:ascii="Arial" w:cs="Arial" w:eastAsia="Arial" w:hAnsi="Arial"/>
          <w:sz w:val="19"/>
          <w:szCs w:val="19"/>
          <w:u w:val="single" w:color="auto"/>
          <w:color w:val="auto"/>
        </w:rPr>
        <w:t>Plan</w:t>
      </w:r>
      <w:r>
        <w:rPr>
          <w:rFonts w:ascii="Arial" w:cs="Arial" w:eastAsia="Arial" w:hAnsi="Arial"/>
          <w:sz w:val="19"/>
          <w:szCs w:val="19"/>
          <w:color w:val="auto"/>
        </w:rPr>
        <w:t>”) is to secure for Seer Biosciences,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its shareholders the benefits arising from capital stock ownership by employees, officers and directors of, and consultants or advisors to, the Company and its parent and subsidiary corporations who are expected to contribute to the Company’s future growth and success. Under the Plan recipients may be awarded both (i) Options (as defined in Section 2.1) to purchase the Company’s Class A Common Stock, par value $0.00001 per share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and (ii) shares of Class A Common Stock (“</w:t>
      </w:r>
      <w:r>
        <w:rPr>
          <w:rFonts w:ascii="Arial" w:cs="Arial" w:eastAsia="Arial" w:hAnsi="Arial"/>
          <w:sz w:val="19"/>
          <w:szCs w:val="19"/>
          <w:u w:val="single" w:color="auto"/>
          <w:color w:val="auto"/>
        </w:rPr>
        <w:t>Restricted Stock Awards</w:t>
      </w:r>
      <w:r>
        <w:rPr>
          <w:rFonts w:ascii="Arial" w:cs="Arial" w:eastAsia="Arial" w:hAnsi="Arial"/>
          <w:sz w:val="19"/>
          <w:szCs w:val="19"/>
          <w:color w:val="auto"/>
        </w:rPr>
        <w:t>”). Except where the context otherwise requires, the term “</w:t>
      </w:r>
      <w:r>
        <w:rPr>
          <w:rFonts w:ascii="Arial" w:cs="Arial" w:eastAsia="Arial" w:hAnsi="Arial"/>
          <w:sz w:val="19"/>
          <w:szCs w:val="19"/>
          <w:u w:val="single" w:color="auto"/>
          <w:color w:val="auto"/>
        </w:rPr>
        <w:t>Company</w:t>
      </w:r>
      <w:r>
        <w:rPr>
          <w:rFonts w:ascii="Arial" w:cs="Arial" w:eastAsia="Arial" w:hAnsi="Arial"/>
          <w:sz w:val="19"/>
          <w:szCs w:val="19"/>
          <w:color w:val="auto"/>
        </w:rPr>
        <w:t>” shall include any parent and all present and future subsidiaries of the Company as defined in Sections 424(e) and 424(f) of the Internal Revenue Code of 1986, as amended or replaced from time to time (the “</w:t>
      </w:r>
      <w:r>
        <w:rPr>
          <w:rFonts w:ascii="Arial" w:cs="Arial" w:eastAsia="Arial" w:hAnsi="Arial"/>
          <w:sz w:val="19"/>
          <w:szCs w:val="19"/>
          <w:u w:val="single" w:color="auto"/>
          <w:color w:val="auto"/>
        </w:rPr>
        <w:t>Code</w:t>
      </w:r>
      <w:r>
        <w:rPr>
          <w:rFonts w:ascii="Arial" w:cs="Arial" w:eastAsia="Arial" w:hAnsi="Arial"/>
          <w:sz w:val="19"/>
          <w:szCs w:val="19"/>
          <w:color w:val="auto"/>
        </w:rPr>
        <w:t>”). Those provisions of the Plan which make express reference to Section 422 of the Code shall apply only to Incentive Stock Options (as that term is defined below).</w:t>
      </w:r>
    </w:p>
    <w:p>
      <w:pPr>
        <w:spacing w:after="0" w:line="151"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Types of Awards and Administration.</w:t>
      </w:r>
    </w:p>
    <w:p>
      <w:pPr>
        <w:spacing w:after="0" w:line="220" w:lineRule="exact"/>
        <w:rPr>
          <w:sz w:val="20"/>
          <w:szCs w:val="20"/>
          <w:color w:val="auto"/>
        </w:rPr>
      </w:pPr>
    </w:p>
    <w:p>
      <w:pPr>
        <w:ind w:right="40" w:firstLine="1296"/>
        <w:spacing w:after="0" w:line="259"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Options.</w:t>
      </w:r>
      <w:r>
        <w:rPr>
          <w:rFonts w:ascii="Arial" w:cs="Arial" w:eastAsia="Arial" w:hAnsi="Arial"/>
          <w:sz w:val="21"/>
          <w:szCs w:val="21"/>
          <w:color w:val="auto"/>
        </w:rPr>
        <w:t xml:space="preserve"> Options granted pursuant to the Plan (“</w:t>
      </w:r>
      <w:r>
        <w:rPr>
          <w:rFonts w:ascii="Arial" w:cs="Arial" w:eastAsia="Arial" w:hAnsi="Arial"/>
          <w:sz w:val="21"/>
          <w:szCs w:val="21"/>
          <w:u w:val="single" w:color="auto"/>
          <w:color w:val="auto"/>
        </w:rPr>
        <w:t>Options</w:t>
      </w:r>
      <w:r>
        <w:rPr>
          <w:rFonts w:ascii="Arial" w:cs="Arial" w:eastAsia="Arial" w:hAnsi="Arial"/>
          <w:sz w:val="21"/>
          <w:szCs w:val="21"/>
          <w:color w:val="auto"/>
        </w:rPr>
        <w:t>”) shall be authorized by action of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or “</w:t>
      </w:r>
      <w:r>
        <w:rPr>
          <w:rFonts w:ascii="Arial" w:cs="Arial" w:eastAsia="Arial" w:hAnsi="Arial"/>
          <w:sz w:val="21"/>
          <w:szCs w:val="21"/>
          <w:u w:val="single" w:color="auto"/>
          <w:color w:val="auto"/>
        </w:rPr>
        <w:t>Board of Directors</w:t>
      </w:r>
      <w:r>
        <w:rPr>
          <w:rFonts w:ascii="Arial" w:cs="Arial" w:eastAsia="Arial" w:hAnsi="Arial"/>
          <w:sz w:val="21"/>
          <w:szCs w:val="21"/>
          <w:color w:val="auto"/>
        </w:rPr>
        <w:t>”) and may be either incentive stock options (“</w:t>
      </w:r>
      <w:r>
        <w:rPr>
          <w:rFonts w:ascii="Arial" w:cs="Arial" w:eastAsia="Arial" w:hAnsi="Arial"/>
          <w:sz w:val="21"/>
          <w:szCs w:val="21"/>
          <w:u w:val="single" w:color="auto"/>
          <w:color w:val="auto"/>
        </w:rPr>
        <w:t>Incentive Stock</w:t>
      </w:r>
      <w:r>
        <w:rPr>
          <w:rFonts w:ascii="Arial" w:cs="Arial" w:eastAsia="Arial" w:hAnsi="Arial"/>
          <w:sz w:val="21"/>
          <w:szCs w:val="21"/>
          <w:color w:val="auto"/>
        </w:rPr>
        <w:t xml:space="preserve"> </w:t>
      </w:r>
      <w:r>
        <w:rPr>
          <w:rFonts w:ascii="Arial" w:cs="Arial" w:eastAsia="Arial" w:hAnsi="Arial"/>
          <w:sz w:val="21"/>
          <w:szCs w:val="21"/>
          <w:u w:val="single" w:color="auto"/>
          <w:color w:val="auto"/>
        </w:rPr>
        <w:t>Options</w:t>
      </w:r>
      <w:r>
        <w:rPr>
          <w:rFonts w:ascii="Arial" w:cs="Arial" w:eastAsia="Arial" w:hAnsi="Arial"/>
          <w:sz w:val="21"/>
          <w:szCs w:val="21"/>
          <w:color w:val="auto"/>
        </w:rPr>
        <w:t>”) meeting the requirements of Section 422 of the Code or non-statutory Options which are not intended to meet the requirements of Section 422. All Options when granted are intended to be non-statutory Options, unless the applicable Option Agreement (as defined in Section 5.1) explicitly states that the Option is intended to be an Incentive Stock Option.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179" w:lineRule="exact"/>
        <w:rPr>
          <w:sz w:val="20"/>
          <w:szCs w:val="20"/>
          <w:color w:val="auto"/>
        </w:rPr>
      </w:pPr>
    </w:p>
    <w:p>
      <w:pPr>
        <w:ind w:right="40" w:firstLine="1944"/>
        <w:spacing w:after="0" w:line="290"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color w:val="auto"/>
        </w:rPr>
        <w:t>Incentive Stock Options.</w:t>
      </w:r>
      <w:r>
        <w:rPr>
          <w:rFonts w:ascii="Arial" w:cs="Arial" w:eastAsia="Arial" w:hAnsi="Arial"/>
          <w:sz w:val="19"/>
          <w:szCs w:val="19"/>
          <w:color w:val="auto"/>
        </w:rPr>
        <w:t xml:space="preserve">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Class A Common Stock with an aggregate fair market value (determined as of the respective date or dates of grant) of more than $100,000. If an Option is intended to be an Incentive Stock Option, and if for any reason such Option (or any portion thereof) shall not qualify as an Incentive Stock Option, then, to the extent of such nonqualification, such Option (or portion thereof) shall be regarded as a non-statutory Option appropriately granted under the Plan provided that such Option (or portion thereof) otherwise meets the Plan’s requirements relating to non-statutory Options.</w:t>
      </w:r>
    </w:p>
    <w:p>
      <w:pPr>
        <w:sectPr>
          <w:pgSz w:w="11900" w:h="16838" w:orient="portrait"/>
          <w:cols w:equalWidth="0" w:num="1">
            <w:col w:w="11240"/>
          </w:cols>
          <w:pgMar w:left="320" w:top="121" w:right="339" w:bottom="1440" w:gutter="0" w:footer="0" w:header="0"/>
        </w:sectPr>
      </w:pPr>
    </w:p>
    <w:bookmarkStart w:id="296" w:name="page297"/>
    <w:bookmarkEnd w:id="296"/>
    <w:p>
      <w:pPr>
        <w:ind w:right="160" w:firstLine="1296"/>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Restricted Stock Awards.</w:t>
      </w:r>
      <w:r>
        <w:rPr>
          <w:rFonts w:ascii="Arial" w:cs="Arial" w:eastAsia="Arial" w:hAnsi="Arial"/>
          <w:sz w:val="22"/>
          <w:szCs w:val="22"/>
          <w:color w:val="auto"/>
        </w:rPr>
        <w:t xml:space="preserve"> The Board in its discretion may grant Restricted Stock Awards, entitling the recipient to acquire, for a purchase price determined by the Board, shares of Class A Common Stock subject to such restrictions and conditions as the Board may determine at the time of grant (“</w:t>
      </w:r>
      <w:r>
        <w:rPr>
          <w:rFonts w:ascii="Arial" w:cs="Arial" w:eastAsia="Arial" w:hAnsi="Arial"/>
          <w:sz w:val="22"/>
          <w:szCs w:val="22"/>
          <w:u w:val="single" w:color="auto"/>
          <w:color w:val="auto"/>
        </w:rPr>
        <w:t>Restricted Stock</w:t>
      </w:r>
      <w:r>
        <w:rPr>
          <w:rFonts w:ascii="Arial" w:cs="Arial" w:eastAsia="Arial" w:hAnsi="Arial"/>
          <w:sz w:val="22"/>
          <w:szCs w:val="22"/>
          <w:color w:val="auto"/>
        </w:rPr>
        <w:t>”), including continued employment and/or achievement of pre-established performance goals and objectives.</w:t>
      </w:r>
    </w:p>
    <w:p>
      <w:pPr>
        <w:spacing w:after="0" w:line="180"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color w:val="auto"/>
        </w:rPr>
        <w:t>Administration.</w:t>
      </w:r>
      <w:r>
        <w:rPr>
          <w:rFonts w:ascii="Arial" w:cs="Arial" w:eastAsia="Arial" w:hAnsi="Arial"/>
          <w:sz w:val="19"/>
          <w:szCs w:val="19"/>
          <w:color w:val="auto"/>
        </w:rPr>
        <w:t xml:space="preserve"> The Plan shall be administered by the Board, whose construction and interpretation of the terms and provisions of the Plan shall be final and conclusive. The Board may in its sole discretion authorize issuance of Restricted Stock, the grant of Options and the issuance of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Arial" w:cs="Arial" w:eastAsia="Arial" w:hAnsi="Arial"/>
          <w:sz w:val="19"/>
          <w:szCs w:val="19"/>
          <w:u w:val="single" w:color="auto"/>
          <w:color w:val="auto"/>
        </w:rPr>
        <w:t>Committee</w:t>
      </w:r>
      <w:r>
        <w:rPr>
          <w:rFonts w:ascii="Arial" w:cs="Arial" w:eastAsia="Arial" w:hAnsi="Arial"/>
          <w:sz w:val="19"/>
          <w:szCs w:val="19"/>
          <w:color w:val="auto"/>
        </w:rPr>
        <w:t>”) appointed by the Board, and if the Committee is so appointed, to the extent of such delegation, all references to the Board in the Plan shall mean and relate to such Committee, other than references to the Board in this sentence and in Section 18 (as to amendment or termination of the Plan) and Section 22.</w:t>
      </w:r>
    </w:p>
    <w:p>
      <w:pPr>
        <w:spacing w:after="0" w:line="162"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6" w:lineRule="exact"/>
        <w:rPr>
          <w:sz w:val="20"/>
          <w:szCs w:val="20"/>
          <w:color w:val="auto"/>
        </w:rPr>
      </w:pPr>
    </w:p>
    <w:p>
      <w:pPr>
        <w:ind w:right="320" w:firstLine="648"/>
        <w:spacing w:after="0" w:line="271" w:lineRule="auto"/>
        <w:rPr>
          <w:sz w:val="20"/>
          <w:szCs w:val="20"/>
          <w:color w:val="auto"/>
        </w:rPr>
      </w:pPr>
      <w:r>
        <w:rPr>
          <w:rFonts w:ascii="Arial" w:cs="Arial" w:eastAsia="Arial" w:hAnsi="Arial"/>
          <w:sz w:val="21"/>
          <w:szCs w:val="21"/>
          <w:color w:val="auto"/>
        </w:rPr>
        <w:t xml:space="preserve">Options may be granted, and Restricted Stock may be issued, to persons who are, at the time of such grant or issuance, employees, officers or directors of, or consultants or advisors to,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class of persons to whom Incentive Stock Options may be granted shall be limited to employees of the Company.</w:t>
      </w:r>
    </w:p>
    <w:p>
      <w:pPr>
        <w:spacing w:after="0" w:line="161"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10% Shareholder</w:t>
      </w:r>
      <w:r>
        <w:rPr>
          <w:rFonts w:ascii="Arial" w:cs="Arial" w:eastAsia="Arial" w:hAnsi="Arial"/>
          <w:sz w:val="22"/>
          <w:szCs w:val="22"/>
          <w:color w:val="auto"/>
        </w:rPr>
        <w:t>. If any employee to whom an Incentive Stock Option is to be granted is, at the time of the grant of such Option, the owner of stock possessing more than 10% of the total combined voting power of all classes of stock of the Company (after taking into account the attribution of stock ownership rules of Section 424(d) of the Code) (a “</w:t>
      </w:r>
      <w:r>
        <w:rPr>
          <w:rFonts w:ascii="Arial" w:cs="Arial" w:eastAsia="Arial" w:hAnsi="Arial"/>
          <w:sz w:val="22"/>
          <w:szCs w:val="22"/>
          <w:u w:val="single" w:color="auto"/>
          <w:color w:val="auto"/>
        </w:rPr>
        <w:t>Greater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Than 10% Shareholder</w:t>
      </w:r>
      <w:r>
        <w:rPr>
          <w:rFonts w:ascii="Arial" w:cs="Arial" w:eastAsia="Arial" w:hAnsi="Arial"/>
          <w:sz w:val="22"/>
          <w:szCs w:val="22"/>
          <w:color w:val="auto"/>
        </w:rPr>
        <w:t>”), any Incentive Stock Option granted to such individual must: (i) have an exercise price per share of not less than 110% of the fair market value of one share of Class A Common Stock at the time of grant; and (ii) expire by its terms not more than five years from the date of grant.</w:t>
      </w:r>
    </w:p>
    <w:p>
      <w:pPr>
        <w:spacing w:after="0" w:line="187"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Stock Subject to Plan.</w:t>
      </w:r>
    </w:p>
    <w:p>
      <w:pPr>
        <w:spacing w:after="0" w:line="226"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Subject to adjustment as provided in Section 14.2 below, the maximum number of shares of Class A Common Stock which may be issued under the Plan is 25,283,351 shares, all of</w:t>
      </w:r>
    </w:p>
    <w:p>
      <w:pPr>
        <w:sectPr>
          <w:pgSz w:w="11900" w:h="16838" w:orient="portrait"/>
          <w:cols w:equalWidth="0" w:num="1">
            <w:col w:w="11220"/>
          </w:cols>
          <w:pgMar w:left="320" w:top="1422" w:right="359" w:bottom="1440" w:gutter="0" w:footer="0" w:header="0"/>
        </w:sectPr>
      </w:pPr>
    </w:p>
    <w:bookmarkStart w:id="297" w:name="page298"/>
    <w:bookmarkEnd w:id="297"/>
    <w:p>
      <w:pPr>
        <w:spacing w:after="0" w:line="292" w:lineRule="auto"/>
        <w:rPr>
          <w:sz w:val="20"/>
          <w:szCs w:val="20"/>
          <w:color w:val="auto"/>
        </w:rPr>
      </w:pPr>
      <w:r>
        <w:rPr>
          <w:rFonts w:ascii="Arial" w:cs="Arial" w:eastAsia="Arial" w:hAnsi="Arial"/>
          <w:sz w:val="19"/>
          <w:szCs w:val="19"/>
          <w:color w:val="auto"/>
        </w:rPr>
        <w:t>which may be issued with respect to Incentive Stock Options.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otherwise issuable upon exercise of an Option are withheld by the Company in payment of the exercise price of an Option or to satisfy tax withholding obligations with respect to such exercise, such withheld shares shall again be available for subsequent Option grants or Restricted Stock Awards under the Plan.</w:t>
      </w:r>
    </w:p>
    <w:p>
      <w:pPr>
        <w:spacing w:after="0" w:line="145"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Forms of Restricted Stock Agreements and Option Agreements.</w:t>
      </w:r>
    </w:p>
    <w:p>
      <w:pPr>
        <w:spacing w:after="0" w:line="220" w:lineRule="exact"/>
        <w:rPr>
          <w:sz w:val="20"/>
          <w:szCs w:val="20"/>
          <w:color w:val="auto"/>
        </w:rPr>
      </w:pPr>
    </w:p>
    <w:p>
      <w:pPr>
        <w:ind w:right="80" w:firstLine="1296"/>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Option Agreement.</w:t>
      </w:r>
      <w:r>
        <w:rPr>
          <w:rFonts w:ascii="Arial" w:cs="Arial" w:eastAsia="Arial" w:hAnsi="Arial"/>
          <w:sz w:val="22"/>
          <w:szCs w:val="22"/>
          <w:color w:val="auto"/>
        </w:rPr>
        <w:t xml:space="preserve"> Each recipient of an Option shall execute an option agreement (“</w:t>
      </w:r>
      <w:r>
        <w:rPr>
          <w:rFonts w:ascii="Arial" w:cs="Arial" w:eastAsia="Arial" w:hAnsi="Arial"/>
          <w:sz w:val="22"/>
          <w:szCs w:val="22"/>
          <w:u w:val="single" w:color="auto"/>
          <w:color w:val="auto"/>
        </w:rPr>
        <w:t>Option Agreement</w:t>
      </w:r>
      <w:r>
        <w:rPr>
          <w:rFonts w:ascii="Arial" w:cs="Arial" w:eastAsia="Arial" w:hAnsi="Arial"/>
          <w:sz w:val="22"/>
          <w:szCs w:val="22"/>
          <w:color w:val="auto"/>
        </w:rPr>
        <w:t>”) in such form not inconsistent with the Plan as may be approved by the Board of Directors. Such Option Agreements may differ among recipients.</w:t>
      </w:r>
    </w:p>
    <w:p>
      <w:pPr>
        <w:spacing w:after="0" w:line="176" w:lineRule="exact"/>
        <w:rPr>
          <w:sz w:val="20"/>
          <w:szCs w:val="20"/>
          <w:color w:val="auto"/>
        </w:rPr>
      </w:pPr>
    </w:p>
    <w:p>
      <w:pPr>
        <w:ind w:right="120" w:firstLine="1296"/>
        <w:spacing w:after="0" w:line="25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Restricted Stock Agreement.</w:t>
      </w:r>
      <w:r>
        <w:rPr>
          <w:rFonts w:ascii="Arial" w:cs="Arial" w:eastAsia="Arial" w:hAnsi="Arial"/>
          <w:sz w:val="22"/>
          <w:szCs w:val="22"/>
          <w:color w:val="auto"/>
        </w:rPr>
        <w:t xml:space="preserve"> Each recipient of a grant of Restricted Stock shall execute an agreement (“</w:t>
      </w:r>
      <w:r>
        <w:rPr>
          <w:rFonts w:ascii="Arial" w:cs="Arial" w:eastAsia="Arial" w:hAnsi="Arial"/>
          <w:sz w:val="22"/>
          <w:szCs w:val="22"/>
          <w:u w:val="single" w:color="auto"/>
          <w:color w:val="auto"/>
        </w:rPr>
        <w:t>Restricted Stock Agreement</w:t>
      </w:r>
      <w:r>
        <w:rPr>
          <w:rFonts w:ascii="Arial" w:cs="Arial" w:eastAsia="Arial" w:hAnsi="Arial"/>
          <w:sz w:val="22"/>
          <w:szCs w:val="22"/>
          <w:color w:val="auto"/>
        </w:rPr>
        <w:t>”) in such form not inconsistent with the Plan as may be approved by the Board of Directors. Such Restricted Stock Agreements may differ among recipients.</w:t>
      </w:r>
    </w:p>
    <w:p>
      <w:pPr>
        <w:spacing w:after="0" w:line="176" w:lineRule="exact"/>
        <w:rPr>
          <w:sz w:val="20"/>
          <w:szCs w:val="20"/>
          <w:color w:val="auto"/>
        </w:rPr>
      </w:pPr>
    </w:p>
    <w:p>
      <w:pPr>
        <w:ind w:right="40" w:firstLine="1296"/>
        <w:spacing w:after="0" w:line="29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“Lock-Up” Agreement.</w:t>
      </w:r>
      <w:r>
        <w:rPr>
          <w:rFonts w:ascii="Arial" w:cs="Arial" w:eastAsia="Arial" w:hAnsi="Arial"/>
          <w:sz w:val="19"/>
          <w:szCs w:val="19"/>
          <w:color w:val="auto"/>
        </w:rPr>
        <w:t xml:space="preserve"> Unless the Board specifies otherwise, each Restricted Stock Agreement and Option Agreement shall provide that upon the request of the Company or the managing underwriter(s) of any offering of securities of the Company that is the subject of a registration statement filed under the United States Securities Act of 1933, as amended from time to time (the “</w:t>
      </w:r>
      <w:r>
        <w:rPr>
          <w:rFonts w:ascii="Arial" w:cs="Arial" w:eastAsia="Arial" w:hAnsi="Arial"/>
          <w:sz w:val="19"/>
          <w:szCs w:val="19"/>
          <w:u w:val="single" w:color="auto"/>
          <w:color w:val="auto"/>
        </w:rPr>
        <w:t>Act</w:t>
      </w:r>
      <w:r>
        <w:rPr>
          <w:rFonts w:ascii="Arial" w:cs="Arial" w:eastAsia="Arial" w:hAnsi="Arial"/>
          <w:sz w:val="19"/>
          <w:szCs w:val="19"/>
          <w:color w:val="auto"/>
        </w:rPr>
        <w:t>”), the holder of any Option or the purchaser of any Restricted Stock shall, in connection therewith, agree in writing (in such form as the Company or such managing underwriter(s) shall request) to the general effect that for a period of time (not to exceed 180 days) from the effective date of the registration statement under the Act for such offering, the holder or purchaser will not sell, make any short sale of, loan, grant any option for the purchase of, or otherwise dispose of any shares of the common stock of the Company owned or controlled by him or her.</w:t>
      </w:r>
    </w:p>
    <w:p>
      <w:pPr>
        <w:spacing w:after="0" w:line="149"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Purchase Price.</w:t>
      </w:r>
    </w:p>
    <w:p>
      <w:pPr>
        <w:spacing w:after="0" w:line="220" w:lineRule="exact"/>
        <w:rPr>
          <w:sz w:val="20"/>
          <w:szCs w:val="20"/>
          <w:color w:val="auto"/>
        </w:rPr>
      </w:pPr>
    </w:p>
    <w:p>
      <w:pPr>
        <w:ind w:right="20" w:firstLine="1296"/>
        <w:spacing w:after="0" w:line="30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General.</w:t>
      </w:r>
      <w:r>
        <w:rPr>
          <w:rFonts w:ascii="Arial" w:cs="Arial" w:eastAsia="Arial" w:hAnsi="Arial"/>
          <w:sz w:val="19"/>
          <w:szCs w:val="19"/>
          <w:color w:val="auto"/>
        </w:rPr>
        <w:t xml:space="preserve"> The purchase price per share of Restricted Stock and per share of stock deliverable upon the exercise of an Option shall be determined by the Board, 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35" w:lineRule="exact"/>
        <w:rPr>
          <w:sz w:val="20"/>
          <w:szCs w:val="20"/>
          <w:color w:val="auto"/>
        </w:rPr>
      </w:pPr>
    </w:p>
    <w:p>
      <w:pPr>
        <w:ind w:right="360" w:firstLine="1296"/>
        <w:spacing w:after="0" w:line="269"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Payment of Purchase Price.</w:t>
      </w:r>
      <w:r>
        <w:rPr>
          <w:rFonts w:ascii="Arial" w:cs="Arial" w:eastAsia="Arial" w:hAnsi="Arial"/>
          <w:sz w:val="22"/>
          <w:szCs w:val="22"/>
          <w:color w:val="auto"/>
        </w:rPr>
        <w:t xml:space="preserve"> Option Agreements may provide for the payment of the exercise price by delivery of cash or a check to the order of the Company in an</w:t>
      </w:r>
    </w:p>
    <w:p>
      <w:pPr>
        <w:sectPr>
          <w:pgSz w:w="11900" w:h="16838" w:orient="portrait"/>
          <w:cols w:equalWidth="0" w:num="1">
            <w:col w:w="11240"/>
          </w:cols>
          <w:pgMar w:left="320" w:top="1428" w:right="339" w:bottom="1440" w:gutter="0" w:footer="0" w:header="0"/>
        </w:sectPr>
      </w:pPr>
    </w:p>
    <w:bookmarkStart w:id="298" w:name="page299"/>
    <w:bookmarkEnd w:id="298"/>
    <w:p>
      <w:pPr>
        <w:ind w:right="140"/>
        <w:spacing w:after="0" w:line="263" w:lineRule="auto"/>
        <w:rPr>
          <w:sz w:val="20"/>
          <w:szCs w:val="20"/>
          <w:color w:val="auto"/>
        </w:rPr>
      </w:pPr>
      <w:r>
        <w:rPr>
          <w:rFonts w:ascii="Arial" w:cs="Arial" w:eastAsia="Arial" w:hAnsi="Arial"/>
          <w:sz w:val="22"/>
          <w:szCs w:val="22"/>
          <w:color w:val="auto"/>
        </w:rPr>
        <w:t>amount equal to the exercise price of such Options, or, to the extent provided in the applicable Option Agreement, by one of the following methods:</w:t>
      </w:r>
    </w:p>
    <w:p>
      <w:pPr>
        <w:spacing w:after="0" w:line="175" w:lineRule="exact"/>
        <w:rPr>
          <w:sz w:val="20"/>
          <w:szCs w:val="20"/>
          <w:color w:val="auto"/>
        </w:rPr>
      </w:pPr>
    </w:p>
    <w:p>
      <w:pPr>
        <w:jc w:val="both"/>
        <w:ind w:left="660" w:right="260" w:firstLine="1292"/>
        <w:spacing w:after="0" w:line="253" w:lineRule="auto"/>
        <w:tabs>
          <w:tab w:leader="none" w:pos="259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with the consent of the Board, by delivery to the Company of shares of the Company’s common stock; such surrendered shares shall have a fair market value equal in amount to the exercise price of the Options being exercised,</w:t>
      </w:r>
    </w:p>
    <w:p>
      <w:pPr>
        <w:spacing w:after="0" w:line="185" w:lineRule="exact"/>
        <w:rPr>
          <w:rFonts w:ascii="Arial" w:cs="Arial" w:eastAsia="Arial" w:hAnsi="Arial"/>
          <w:sz w:val="22"/>
          <w:szCs w:val="22"/>
          <w:color w:val="auto"/>
        </w:rPr>
      </w:pPr>
    </w:p>
    <w:p>
      <w:pPr>
        <w:jc w:val="both"/>
        <w:ind w:left="660" w:firstLine="1292"/>
        <w:spacing w:after="0" w:line="302" w:lineRule="auto"/>
        <w:tabs>
          <w:tab w:leader="none" w:pos="2598" w:val="left"/>
        </w:tabs>
        <w:numPr>
          <w:ilvl w:val="0"/>
          <w:numId w:val="231"/>
        </w:numPr>
        <w:rPr>
          <w:rFonts w:ascii="Arial" w:cs="Arial" w:eastAsia="Arial" w:hAnsi="Arial"/>
          <w:sz w:val="19"/>
          <w:szCs w:val="19"/>
          <w:color w:val="auto"/>
        </w:rPr>
      </w:pPr>
      <w:r>
        <w:rPr>
          <w:rFonts w:ascii="Arial" w:cs="Arial" w:eastAsia="Arial" w:hAnsi="Arial"/>
          <w:sz w:val="19"/>
          <w:szCs w:val="19"/>
          <w:color w:val="auto"/>
        </w:rPr>
        <w:t>with the consent of the Board, a personal recourse note issued by the optionee to the Company in a principal amount equal to such aggregate exercise price and with such other terms, including interest rate and maturity, as the Company may determine in its discretion; provided, however, that the interest rate borne by such note shall not be less than the lowest applicable federal rate, as defined in Section 1274(d) of the Code,</w:t>
      </w:r>
    </w:p>
    <w:p>
      <w:pPr>
        <w:spacing w:after="0" w:line="142" w:lineRule="exact"/>
        <w:rPr>
          <w:rFonts w:ascii="Arial" w:cs="Arial" w:eastAsia="Arial" w:hAnsi="Arial"/>
          <w:sz w:val="19"/>
          <w:szCs w:val="19"/>
          <w:color w:val="auto"/>
        </w:rPr>
      </w:pPr>
    </w:p>
    <w:p>
      <w:pPr>
        <w:ind w:left="660" w:firstLine="1292"/>
        <w:spacing w:after="0" w:line="265" w:lineRule="auto"/>
        <w:tabs>
          <w:tab w:leader="none" w:pos="2604" w:val="left"/>
        </w:tabs>
        <w:numPr>
          <w:ilvl w:val="0"/>
          <w:numId w:val="231"/>
        </w:numPr>
        <w:rPr>
          <w:rFonts w:ascii="Arial" w:cs="Arial" w:eastAsia="Arial" w:hAnsi="Arial"/>
          <w:sz w:val="21"/>
          <w:szCs w:val="21"/>
          <w:color w:val="auto"/>
        </w:rPr>
      </w:pPr>
      <w:r>
        <w:rPr>
          <w:rFonts w:ascii="Arial" w:cs="Arial" w:eastAsia="Arial" w:hAnsi="Arial"/>
          <w:sz w:val="21"/>
          <w:szCs w:val="21"/>
          <w:color w:val="auto"/>
        </w:rPr>
        <w:t>with the consent of the Board, if the Class A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175" w:lineRule="exact"/>
        <w:rPr>
          <w:rFonts w:ascii="Arial" w:cs="Arial" w:eastAsia="Arial" w:hAnsi="Arial"/>
          <w:sz w:val="21"/>
          <w:szCs w:val="21"/>
          <w:color w:val="auto"/>
        </w:rPr>
      </w:pPr>
    </w:p>
    <w:p>
      <w:pPr>
        <w:jc w:val="both"/>
        <w:ind w:left="660" w:right="180" w:firstLine="1292"/>
        <w:spacing w:after="0" w:line="253" w:lineRule="auto"/>
        <w:tabs>
          <w:tab w:leader="none" w:pos="259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with the consent of the Board, by reducing the number of Option shares otherwise issuable to the optionee upon exercise of the Option by a number of shares of Class A Common Stock having a fair market value equal to such aggregate exercise price,</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with the consent of the Board, by any combination of such methods of payment.</w:t>
      </w:r>
    </w:p>
    <w:p>
      <w:pPr>
        <w:spacing w:after="0" w:line="220"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fair market value of any shares of Class A Common Stock or other non-cash consideration which may be delivered upon exercise of an Option shall be determined by the Board of Directors. Restricted Stock Agreements may provide for the payment of any purchase price in any manner approved by the Board of Directors at the time of authorizing the issuance thereof.</w:t>
      </w:r>
    </w:p>
    <w:p>
      <w:pPr>
        <w:spacing w:after="0" w:line="127"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color w:val="auto"/>
        </w:rPr>
        <w:t>Option Period.</w:t>
      </w:r>
    </w:p>
    <w:p>
      <w:pPr>
        <w:spacing w:after="0" w:line="226"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ectPr>
          <w:pgSz w:w="11900" w:h="16838" w:orient="portrait"/>
          <w:cols w:equalWidth="0" w:num="1">
            <w:col w:w="11200"/>
          </w:cols>
          <w:pgMar w:left="320" w:top="1428" w:right="379" w:bottom="1440" w:gutter="0" w:footer="0" w:header="0"/>
        </w:sectPr>
      </w:pPr>
    </w:p>
    <w:bookmarkStart w:id="299" w:name="page300"/>
    <w:bookmarkEnd w:id="299"/>
    <w:p>
      <w:pPr>
        <w:ind w:left="1300" w:hanging="644"/>
        <w:spacing w:after="0"/>
        <w:tabs>
          <w:tab w:leader="none" w:pos="130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Options.</w:t>
      </w:r>
    </w:p>
    <w:p>
      <w:pPr>
        <w:spacing w:after="0" w:line="220" w:lineRule="exact"/>
        <w:rPr>
          <w:sz w:val="20"/>
          <w:szCs w:val="20"/>
          <w:color w:val="auto"/>
        </w:rPr>
      </w:pPr>
    </w:p>
    <w:p>
      <w:pPr>
        <w:ind w:right="100" w:firstLine="1296"/>
        <w:spacing w:after="0" w:line="252"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General.</w:t>
      </w:r>
      <w:r>
        <w:rPr>
          <w:rFonts w:ascii="Arial" w:cs="Arial" w:eastAsia="Arial" w:hAnsi="Arial"/>
          <w:sz w:val="22"/>
          <w:szCs w:val="22"/>
          <w:color w:val="auto"/>
        </w:rPr>
        <w:t xml:space="preserve"> Each Option shall be exercisable either in full or in installments at such time or times and during such period as shall be set forth in the Option Agreement 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80"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Notice of Exercise.</w:t>
      </w:r>
      <w:r>
        <w:rPr>
          <w:rFonts w:ascii="Arial" w:cs="Arial" w:eastAsia="Arial" w:hAnsi="Arial"/>
          <w:sz w:val="21"/>
          <w:szCs w:val="21"/>
          <w:color w:val="auto"/>
        </w:rPr>
        <w:t xml:space="preserve"> An Option may be exercised by the optionee by delivering to the Company on any business day a written notice specifying the number of shares of Class A Common Stock the optionee then desires to purchase and specifying the address to which the certificates for such shares are to be mailed (the “</w:t>
      </w:r>
      <w:r>
        <w:rPr>
          <w:rFonts w:ascii="Arial" w:cs="Arial" w:eastAsia="Arial" w:hAnsi="Arial"/>
          <w:sz w:val="21"/>
          <w:szCs w:val="21"/>
          <w:u w:val="single" w:color="auto"/>
          <w:color w:val="auto"/>
        </w:rPr>
        <w:t>Notice</w:t>
      </w:r>
      <w:r>
        <w:rPr>
          <w:rFonts w:ascii="Arial" w:cs="Arial" w:eastAsia="Arial" w:hAnsi="Arial"/>
          <w:sz w:val="21"/>
          <w:szCs w:val="21"/>
          <w:color w:val="auto"/>
        </w:rPr>
        <w:t>”), accompanied by payment for such shares. In addition, the Company may require any individual to whom an Option is granted, as a condition of exercising such Option, to give written assurances (the “</w:t>
      </w:r>
      <w:r>
        <w:rPr>
          <w:rFonts w:ascii="Arial" w:cs="Arial" w:eastAsia="Arial" w:hAnsi="Arial"/>
          <w:sz w:val="21"/>
          <w:szCs w:val="21"/>
          <w:u w:val="single" w:color="auto"/>
          <w:color w:val="auto"/>
        </w:rPr>
        <w:t>Investment Letter</w:t>
      </w:r>
      <w:r>
        <w:rPr>
          <w:rFonts w:ascii="Arial" w:cs="Arial" w:eastAsia="Arial" w:hAnsi="Arial"/>
          <w:sz w:val="21"/>
          <w:szCs w:val="21"/>
          <w:color w:val="auto"/>
        </w:rPr>
        <w:t>”) in a substance and form satisfactory to the Company to the effect that such individual is acquiring the Class A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75" w:lineRule="exact"/>
        <w:rPr>
          <w:sz w:val="20"/>
          <w:szCs w:val="20"/>
          <w:color w:val="auto"/>
        </w:rPr>
      </w:pPr>
    </w:p>
    <w:p>
      <w:pPr>
        <w:ind w:right="180" w:firstLine="1296"/>
        <w:spacing w:after="0" w:line="264"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b w:val="1"/>
          <w:bCs w:val="1"/>
          <w:color w:val="auto"/>
        </w:rPr>
        <w:t>Delivery.</w:t>
      </w:r>
      <w:r>
        <w:rPr>
          <w:rFonts w:ascii="Arial" w:cs="Arial" w:eastAsia="Arial" w:hAnsi="Arial"/>
          <w:sz w:val="21"/>
          <w:szCs w:val="21"/>
          <w:color w:val="auto"/>
        </w:rPr>
        <w:t xml:space="preserve"> As promptly as practicable after receipt of the Notice, the Investment Letter (if required) and payment, the Company shall deliver or cause to be delivered to the optionee 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170"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226"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No Option shall be assignable or transferable by the person to whom it is granted, either voluntarily or by operation of law, except by will or the laws of descent and distribution. During the life of an optionee, an Option shall be exercisable only by the optionee.</w:t>
      </w:r>
    </w:p>
    <w:p>
      <w:pPr>
        <w:spacing w:after="0" w:line="179" w:lineRule="exact"/>
        <w:rPr>
          <w:sz w:val="20"/>
          <w:szCs w:val="20"/>
          <w:color w:val="auto"/>
        </w:rPr>
      </w:pPr>
    </w:p>
    <w:p>
      <w:pPr>
        <w:ind w:right="340" w:firstLine="656"/>
        <w:spacing w:after="0" w:line="269" w:lineRule="auto"/>
        <w:tabs>
          <w:tab w:leader="none" w:pos="1296"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Disability; Death. </w:t>
      </w:r>
      <w:r>
        <w:rPr>
          <w:rFonts w:ascii="Arial" w:cs="Arial" w:eastAsia="Arial" w:hAnsi="Arial"/>
          <w:sz w:val="22"/>
          <w:szCs w:val="22"/>
          <w:color w:val="auto"/>
        </w:rPr>
        <w:t>Except as may be otherwise expressly provided in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of the Option Agreement, Options shall terminate on the earliest to occur of:</w:t>
      </w:r>
    </w:p>
    <w:p>
      <w:pPr>
        <w:spacing w:after="0" w:line="167" w:lineRule="exact"/>
        <w:rPr>
          <w:rFonts w:ascii="Arial" w:cs="Arial" w:eastAsia="Arial" w:hAnsi="Arial"/>
          <w:sz w:val="22"/>
          <w:szCs w:val="22"/>
          <w:b w:val="1"/>
          <w:bCs w:val="1"/>
          <w:color w:val="auto"/>
        </w:rPr>
      </w:pPr>
    </w:p>
    <w:p>
      <w:pPr>
        <w:ind w:left="1940" w:hanging="636"/>
        <w:spacing w:after="0"/>
        <w:tabs>
          <w:tab w:leader="none" w:pos="194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date of expiration thereof;</w:t>
      </w:r>
    </w:p>
    <w:p>
      <w:pPr>
        <w:spacing w:after="0" w:line="219" w:lineRule="exact"/>
        <w:rPr>
          <w:rFonts w:ascii="Arial" w:cs="Arial" w:eastAsia="Arial" w:hAnsi="Arial"/>
          <w:sz w:val="22"/>
          <w:szCs w:val="22"/>
          <w:color w:val="auto"/>
        </w:rPr>
      </w:pPr>
    </w:p>
    <w:p>
      <w:pPr>
        <w:ind w:left="1960" w:hanging="656"/>
        <w:spacing w:after="0" w:line="263" w:lineRule="auto"/>
        <w:tabs>
          <w:tab w:leader="none" w:pos="195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immediately upon termination of the optionee’s employment with, or provision of services to, the Company by the Company for Cause (as hereinafter defined);</w:t>
      </w:r>
    </w:p>
    <w:p>
      <w:pPr>
        <w:spacing w:after="0" w:line="174" w:lineRule="exact"/>
        <w:rPr>
          <w:rFonts w:ascii="Arial" w:cs="Arial" w:eastAsia="Arial" w:hAnsi="Arial"/>
          <w:sz w:val="22"/>
          <w:szCs w:val="22"/>
          <w:color w:val="auto"/>
        </w:rPr>
      </w:pPr>
    </w:p>
    <w:p>
      <w:pPr>
        <w:ind w:left="1960" w:right="60" w:hanging="656"/>
        <w:spacing w:after="0" w:line="263" w:lineRule="auto"/>
        <w:tabs>
          <w:tab w:leader="none" w:pos="196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90 days after the date of voluntary termination of the optionee’s employment with, or provision of services to, the Company by the</w:t>
      </w:r>
    </w:p>
    <w:p>
      <w:pPr>
        <w:sectPr>
          <w:pgSz w:w="11900" w:h="16838" w:orient="portrait"/>
          <w:cols w:equalWidth="0" w:num="1">
            <w:col w:w="11240"/>
          </w:cols>
          <w:pgMar w:left="320" w:top="1422" w:right="339" w:bottom="1440" w:gutter="0" w:footer="0" w:header="0"/>
        </w:sectPr>
      </w:pPr>
    </w:p>
    <w:bookmarkStart w:id="300" w:name="page301"/>
    <w:bookmarkEnd w:id="300"/>
    <w:p>
      <w:pPr>
        <w:ind w:left="1960"/>
        <w:spacing w:after="0"/>
        <w:rPr>
          <w:sz w:val="20"/>
          <w:szCs w:val="20"/>
          <w:color w:val="auto"/>
        </w:rPr>
      </w:pPr>
      <w:r>
        <w:rPr>
          <w:rFonts w:ascii="Arial" w:cs="Arial" w:eastAsia="Arial" w:hAnsi="Arial"/>
          <w:sz w:val="22"/>
          <w:szCs w:val="22"/>
          <w:color w:val="auto"/>
        </w:rPr>
        <w:t>optionee (other than for death or permanent disability as defined below); or</w:t>
      </w:r>
    </w:p>
    <w:p>
      <w:pPr>
        <w:spacing w:after="0" w:line="220" w:lineRule="exact"/>
        <w:rPr>
          <w:sz w:val="20"/>
          <w:szCs w:val="20"/>
          <w:color w:val="auto"/>
        </w:rPr>
      </w:pPr>
    </w:p>
    <w:p>
      <w:pPr>
        <w:ind w:left="1960" w:hanging="656"/>
        <w:spacing w:after="0" w:line="343" w:lineRule="auto"/>
        <w:tabs>
          <w:tab w:leader="none" w:pos="194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90 days after the date of termination of the optionee’s employment with, or provision of services to, the Company by the Company without Cause (other than for death or permanent disability as defined below).</w:t>
      </w:r>
    </w:p>
    <w:p>
      <w:pPr>
        <w:spacing w:after="0" w:line="104"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Until the date on which the Option so expires, the optionee may exercise that portion of his or her Option which is exercisable at the time of termination of the employment or service relationship.</w:t>
      </w:r>
    </w:p>
    <w:p>
      <w:pPr>
        <w:spacing w:after="0" w:line="175"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75"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For purposes of this Section 10,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(a) any material breach by the optionee of any agreement to which the optionee and the Company are both parties, (b) 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 An optionee’s employment shall be deemed to have been terminated for Cause if the Company determines within thirty (30) days of the termination of employment (whether such termination was voluntary or involuntary) that termination for Cause was warranted.</w:t>
      </w:r>
    </w:p>
    <w:p>
      <w:pPr>
        <w:spacing w:after="0" w:line="151" w:lineRule="exact"/>
        <w:rPr>
          <w:sz w:val="20"/>
          <w:szCs w:val="20"/>
          <w:color w:val="auto"/>
        </w:rPr>
      </w:pPr>
    </w:p>
    <w:p>
      <w:pPr>
        <w:ind w:right="160" w:firstLine="648"/>
        <w:spacing w:after="0" w:line="289" w:lineRule="auto"/>
        <w:rPr>
          <w:sz w:val="20"/>
          <w:szCs w:val="20"/>
          <w:color w:val="auto"/>
        </w:rPr>
      </w:pPr>
      <w:r>
        <w:rPr>
          <w:rFonts w:ascii="Arial" w:cs="Arial" w:eastAsia="Arial" w:hAnsi="Arial"/>
          <w:sz w:val="19"/>
          <w:szCs w:val="19"/>
          <w:color w:val="auto"/>
        </w:rPr>
        <w:t>In the event of the permanent and total disability or death of an optionee while in an employment or other relationship with the Company, any Option held by such optionee shall terminate on the earlier of the date of expiration of the Option or 180 days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 of an Option ,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 continuous period of not less than 12 months; permanent and total disability shall be determined in accordance with Section 22(e)(3) of the Code and the regulations issued thereunder.</w:t>
      </w:r>
    </w:p>
    <w:p>
      <w:pPr>
        <w:spacing w:after="0" w:line="151" w:lineRule="exact"/>
        <w:rPr>
          <w:sz w:val="20"/>
          <w:szCs w:val="20"/>
          <w:color w:val="auto"/>
        </w:rPr>
      </w:pPr>
    </w:p>
    <w:p>
      <w:pPr>
        <w:ind w:right="100" w:firstLine="656"/>
        <w:spacing w:after="0" w:line="315" w:lineRule="auto"/>
        <w:tabs>
          <w:tab w:leader="none" w:pos="1284" w:val="left"/>
        </w:tabs>
        <w:numPr>
          <w:ilvl w:val="0"/>
          <w:numId w:val="2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Shareholder. </w:t>
      </w:r>
      <w:r>
        <w:rPr>
          <w:rFonts w:ascii="Arial" w:cs="Arial" w:eastAsia="Arial" w:hAnsi="Arial"/>
          <w:sz w:val="19"/>
          <w:szCs w:val="19"/>
          <w:color w:val="auto"/>
        </w:rPr>
        <w:t>The holder of an Option shall have no rights as a shareholder with respect to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by the Option (including, without limitation, any rights to receive dividends or non-cash distributions with respect to such shares) until the date of issue of a stock certificate to him or her for such shares. No adjustment shall be made for</w:t>
      </w:r>
    </w:p>
    <w:p>
      <w:pPr>
        <w:sectPr>
          <w:pgSz w:w="11900" w:h="16838" w:orient="portrait"/>
          <w:cols w:equalWidth="0" w:num="1">
            <w:col w:w="11240"/>
          </w:cols>
          <w:pgMar w:left="320" w:top="1428" w:right="339"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color w:val="auto"/>
        </w:rPr>
        <w:t>dividends or other rights for which the record date is prior to the date such stock certificate is issued.</w:t>
      </w:r>
    </w:p>
    <w:p>
      <w:pPr>
        <w:spacing w:after="0" w:line="214" w:lineRule="exact"/>
        <w:rPr>
          <w:sz w:val="20"/>
          <w:szCs w:val="20"/>
          <w:color w:val="auto"/>
        </w:rPr>
      </w:pPr>
    </w:p>
    <w:p>
      <w:pPr>
        <w:ind w:right="60" w:firstLine="656"/>
        <w:spacing w:after="0" w:line="293" w:lineRule="auto"/>
        <w:tabs>
          <w:tab w:leader="none" w:pos="1296" w:val="left"/>
        </w:tabs>
        <w:numPr>
          <w:ilvl w:val="0"/>
          <w:numId w:val="2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Provisions. </w:t>
      </w:r>
      <w:r>
        <w:rPr>
          <w:rFonts w:ascii="Arial" w:cs="Arial" w:eastAsia="Arial" w:hAnsi="Arial"/>
          <w:sz w:val="19"/>
          <w:szCs w:val="19"/>
          <w:color w:val="auto"/>
        </w:rPr>
        <w:t>The Board of Directors may, in its sole discretion, include additional provisions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Agreements and Option Agreements, including, without limitation, restrictions on transfer, rights of the Company to repurchase shares of Restricted Stock or shares of Class A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44" w:lineRule="exact"/>
        <w:rPr>
          <w:rFonts w:ascii="Arial" w:cs="Arial" w:eastAsia="Arial" w:hAnsi="Arial"/>
          <w:sz w:val="19"/>
          <w:szCs w:val="19"/>
          <w:b w:val="1"/>
          <w:bCs w:val="1"/>
          <w:color w:val="auto"/>
        </w:rPr>
      </w:pPr>
    </w:p>
    <w:p>
      <w:pPr>
        <w:ind w:right="40" w:firstLine="656"/>
        <w:spacing w:after="0" w:line="256" w:lineRule="auto"/>
        <w:tabs>
          <w:tab w:leader="none" w:pos="1296"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Acceleration, Extension, Etc. </w:t>
      </w:r>
      <w:r>
        <w:rPr>
          <w:rFonts w:ascii="Arial" w:cs="Arial" w:eastAsia="Arial" w:hAnsi="Arial"/>
          <w:sz w:val="22"/>
          <w:szCs w:val="22"/>
          <w:color w:val="auto"/>
        </w:rPr>
        <w:t>The Board of Directors may, in its sole discretion, (i) accelerate the date or dates</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all or any particular Option or Options may be exercised or (ii) extend the period or periods of time during which all, or any particular, Option or Options may be exercised.</w:t>
      </w:r>
    </w:p>
    <w:p>
      <w:pPr>
        <w:spacing w:after="0" w:line="17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Upon Changes in Capitalization</w:t>
      </w:r>
    </w:p>
    <w:p>
      <w:pPr>
        <w:spacing w:after="0" w:line="220" w:lineRule="exact"/>
        <w:rPr>
          <w:sz w:val="20"/>
          <w:szCs w:val="20"/>
          <w:color w:val="auto"/>
        </w:rPr>
      </w:pPr>
    </w:p>
    <w:p>
      <w:pPr>
        <w:ind w:right="60" w:firstLine="1296"/>
        <w:spacing w:after="0" w:line="295"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No Effect of Options upon Certain Corporate Transactions.</w:t>
      </w:r>
      <w:r>
        <w:rPr>
          <w:rFonts w:ascii="Arial" w:cs="Arial" w:eastAsia="Arial" w:hAnsi="Arial"/>
          <w:sz w:val="19"/>
          <w:szCs w:val="19"/>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Class A Common Stock, or any issue of bonds, debentures, preferred or prior preference stock ahead of or affecting the Class A Common Stock or the rights thereof, or the dissolution or liquidation of the Company, or any sale or transfer of all or any part of its assets or business, or any other corporate act or proceeding, whether of a similar character or otherwise.</w:t>
      </w:r>
    </w:p>
    <w:p>
      <w:pPr>
        <w:spacing w:after="0" w:line="144"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b w:val="1"/>
          <w:bCs w:val="1"/>
          <w:color w:val="auto"/>
        </w:rPr>
        <w:t>Adjustment Provisions.</w:t>
      </w:r>
      <w:r>
        <w:rPr>
          <w:rFonts w:ascii="Arial" w:cs="Arial" w:eastAsia="Arial" w:hAnsi="Arial"/>
          <w:sz w:val="19"/>
          <w:szCs w:val="19"/>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Class A Common Stock are increased, decreased or exchanged for a different number or kind of shares or other securities of the Company, or (ii) additional shares or new or different shares or other securities of the Company or other non-cash assets are distributed with respect to such shares of Class A Common Stock or other securities, an appropriate 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Class A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Class A Common Stock immediately prior to the event requiring adjustment would own as a result of the event. If any such event shall occur, appropriate</w:t>
      </w:r>
    </w:p>
    <w:p>
      <w:pPr>
        <w:sectPr>
          <w:pgSz w:w="11900" w:h="16838" w:orient="portrait"/>
          <w:cols w:equalWidth="0" w:num="1">
            <w:col w:w="11240"/>
          </w:cols>
          <w:pgMar w:left="320" w:top="1428" w:right="339" w:bottom="1440" w:gutter="0" w:footer="0" w:header="0"/>
        </w:sectPr>
      </w:pPr>
    </w:p>
    <w:bookmarkStart w:id="302" w:name="page303"/>
    <w:bookmarkEnd w:id="302"/>
    <w:p>
      <w:pPr>
        <w:jc w:val="both"/>
        <w:ind w:right="200"/>
        <w:spacing w:after="0" w:line="271" w:lineRule="auto"/>
        <w:rPr>
          <w:sz w:val="20"/>
          <w:szCs w:val="20"/>
          <w:color w:val="auto"/>
        </w:rPr>
      </w:pPr>
      <w:r>
        <w:rPr>
          <w:rFonts w:ascii="Arial" w:cs="Arial" w:eastAsia="Arial" w:hAnsi="Arial"/>
          <w:sz w:val="21"/>
          <w:szCs w:val="21"/>
          <w:color w:val="auto"/>
        </w:rPr>
        <w:t>adjustment shall also be made in the application of the provisions of this Section 14 and Section 15 with respect to Options and the rights of optionees after the event so that the provisions of such Sections shall be applicable after the event and be as nearly equivalent as practicable in operation after the event as they were before the event.</w:t>
      </w:r>
    </w:p>
    <w:p>
      <w:pPr>
        <w:spacing w:after="0" w:line="161" w:lineRule="exact"/>
        <w:rPr>
          <w:sz w:val="20"/>
          <w:szCs w:val="20"/>
          <w:color w:val="auto"/>
        </w:rPr>
      </w:pPr>
    </w:p>
    <w:p>
      <w:pPr>
        <w:ind w:right="100" w:firstLine="1296"/>
        <w:spacing w:after="0" w:line="298"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color w:val="auto"/>
        </w:rPr>
        <w:t>No Adjustment in Certain Cases.</w:t>
      </w:r>
      <w:r>
        <w:rPr>
          <w:rFonts w:ascii="Arial" w:cs="Arial" w:eastAsia="Arial" w:hAnsi="Arial"/>
          <w:sz w:val="19"/>
          <w:szCs w:val="19"/>
          <w:color w:val="auto"/>
        </w:rPr>
        <w:t xml:space="preserve"> Except as hereinbefore 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price of shares of Class A Common Stock then subject to outstanding options.</w:t>
      </w:r>
    </w:p>
    <w:p>
      <w:pPr>
        <w:spacing w:after="0" w:line="142" w:lineRule="exact"/>
        <w:rPr>
          <w:sz w:val="20"/>
          <w:szCs w:val="20"/>
          <w:color w:val="auto"/>
        </w:rPr>
      </w:pPr>
    </w:p>
    <w:p>
      <w:pPr>
        <w:ind w:right="40" w:firstLine="1296"/>
        <w:spacing w:after="0" w:line="274"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b w:val="1"/>
          <w:bCs w:val="1"/>
          <w:color w:val="auto"/>
        </w:rPr>
        <w:t>Board Authority to Make Adjustments.</w:t>
      </w:r>
      <w:r>
        <w:rPr>
          <w:rFonts w:ascii="Arial" w:cs="Arial" w:eastAsia="Arial" w:hAnsi="Arial"/>
          <w:sz w:val="21"/>
          <w:szCs w:val="21"/>
          <w:color w:val="auto"/>
        </w:rPr>
        <w:t xml:space="preserve"> Any adjustments under this Section 14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58"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Certain Transactions</w:t>
      </w:r>
    </w:p>
    <w:p>
      <w:pPr>
        <w:spacing w:after="0" w:line="220"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b w:val="1"/>
          <w:bCs w:val="1"/>
          <w:color w:val="auto"/>
        </w:rPr>
        <w:t>General.</w:t>
      </w:r>
      <w:r>
        <w:rPr>
          <w:rFonts w:ascii="Arial" w:cs="Arial" w:eastAsia="Arial" w:hAnsi="Arial"/>
          <w:sz w:val="19"/>
          <w:szCs w:val="19"/>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w:t>
      </w:r>
      <w:r>
        <w:rPr>
          <w:rFonts w:ascii="Arial" w:cs="Arial" w:eastAsia="Arial" w:hAnsi="Arial"/>
          <w:sz w:val="19"/>
          <w:szCs w:val="19"/>
          <w:u w:val="single" w:color="auto"/>
          <w:color w:val="auto"/>
        </w:rPr>
        <w:t>Change in Control Transaction</w:t>
      </w:r>
      <w:r>
        <w:rPr>
          <w:rFonts w:ascii="Arial" w:cs="Arial" w:eastAsia="Arial" w:hAnsi="Arial"/>
          <w:sz w:val="19"/>
          <w:szCs w:val="19"/>
          <w:color w:val="auto"/>
        </w:rPr>
        <w:t xml:space="preserve">”),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such Options substituted for Incentive Stock Options shall meet the requirements of Section 424(a) of the Code, (ii) upon written notice to the optionees, provide that all unexercised Options (whether vested or unvested)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Class A Common Stock will receive upon consummation of the Change in Control Transaction (the “</w:t>
      </w:r>
      <w:r>
        <w:rPr>
          <w:rFonts w:ascii="Arial" w:cs="Arial" w:eastAsia="Arial" w:hAnsi="Arial"/>
          <w:sz w:val="19"/>
          <w:szCs w:val="19"/>
          <w:u w:val="single" w:color="auto"/>
          <w:color w:val="auto"/>
        </w:rPr>
        <w:t>Per Share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 Price</w:t>
      </w:r>
      <w:r>
        <w:rPr>
          <w:rFonts w:ascii="Arial" w:cs="Arial" w:eastAsia="Arial" w:hAnsi="Arial"/>
          <w:sz w:val="19"/>
          <w:szCs w:val="19"/>
          <w:color w:val="auto"/>
        </w:rPr>
        <w:t>”) times the number of shares of Class A Common Stock subject to outstanding vested Options (to the</w:t>
      </w:r>
    </w:p>
    <w:p>
      <w:pPr>
        <w:sectPr>
          <w:pgSz w:w="11900" w:h="16838" w:orient="portrait"/>
          <w:cols w:equalWidth="0" w:num="1">
            <w:col w:w="11200"/>
          </w:cols>
          <w:pgMar w:left="320" w:top="1428" w:right="379" w:bottom="1440" w:gutter="0" w:footer="0" w:header="0"/>
        </w:sectPr>
      </w:pPr>
    </w:p>
    <w:bookmarkStart w:id="303" w:name="page304"/>
    <w:bookmarkEnd w:id="303"/>
    <w:p>
      <w:pPr>
        <w:ind w:right="20"/>
        <w:spacing w:after="0" w:line="259" w:lineRule="auto"/>
        <w:rPr>
          <w:sz w:val="20"/>
          <w:szCs w:val="20"/>
          <w:color w:val="auto"/>
        </w:rPr>
      </w:pPr>
      <w:r>
        <w:rPr>
          <w:rFonts w:ascii="Arial" w:cs="Arial" w:eastAsia="Arial" w:hAnsi="Arial"/>
          <w:sz w:val="21"/>
          <w:szCs w:val="21"/>
          <w:color w:val="auto"/>
        </w:rPr>
        <w:t>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Arial" w:cs="Arial" w:eastAsia="Arial" w:hAnsi="Arial"/>
          <w:sz w:val="21"/>
          <w:szCs w:val="21"/>
          <w:u w:val="single" w:color="auto"/>
          <w:color w:val="auto"/>
        </w:rPr>
        <w:t>Unrelated Third Party</w:t>
      </w:r>
      <w:r>
        <w:rPr>
          <w:rFonts w:ascii="Arial" w:cs="Arial" w:eastAsia="Arial" w:hAnsi="Arial"/>
          <w:sz w:val="21"/>
          <w:szCs w:val="21"/>
          <w:color w:val="auto"/>
        </w:rPr>
        <w:t>” shall mean any person who is not, on the date of adoption of this Plan by the Board, a holder of stock of any class or preference or any stock option of the Company</w:t>
      </w:r>
      <w:r>
        <w:rPr>
          <w:rFonts w:ascii="Arial" w:cs="Arial" w:eastAsia="Arial" w:hAnsi="Arial"/>
          <w:sz w:val="21"/>
          <w:szCs w:val="21"/>
          <w:b w:val="1"/>
          <w:bCs w:val="1"/>
          <w:color w:val="auto"/>
        </w:rPr>
        <w:t>.</w:t>
      </w:r>
    </w:p>
    <w:p>
      <w:pPr>
        <w:spacing w:after="0" w:line="177" w:lineRule="exact"/>
        <w:rPr>
          <w:sz w:val="20"/>
          <w:szCs w:val="20"/>
          <w:color w:val="auto"/>
        </w:rPr>
      </w:pPr>
    </w:p>
    <w:p>
      <w:pPr>
        <w:ind w:right="80" w:firstLine="1296"/>
        <w:spacing w:after="0" w:line="298"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b w:val="1"/>
          <w:bCs w:val="1"/>
          <w:color w:val="auto"/>
        </w:rPr>
        <w:t>Substitute Options.</w:t>
      </w:r>
      <w:r>
        <w:rPr>
          <w:rFonts w:ascii="Arial" w:cs="Arial" w:eastAsia="Arial" w:hAnsi="Arial"/>
          <w:sz w:val="19"/>
          <w:szCs w:val="19"/>
          <w:color w:val="auto"/>
        </w:rPr>
        <w:t xml:space="preserve"> The Company may grant Options in substitution for options held by employees, officers or directors of, or consultants or advisors to, another corporation who become employees, officers or directors of, or consultants or advisors to, the Company, 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42" w:lineRule="exact"/>
        <w:rPr>
          <w:sz w:val="20"/>
          <w:szCs w:val="20"/>
          <w:color w:val="auto"/>
        </w:rPr>
      </w:pPr>
    </w:p>
    <w:p>
      <w:pPr>
        <w:ind w:firstLine="1296"/>
        <w:spacing w:after="0" w:line="264" w:lineRule="auto"/>
        <w:rPr>
          <w:sz w:val="20"/>
          <w:szCs w:val="20"/>
          <w:color w:val="auto"/>
        </w:rPr>
      </w:pPr>
      <w:r>
        <w:rPr>
          <w:rFonts w:ascii="Arial" w:cs="Arial" w:eastAsia="Arial" w:hAnsi="Arial"/>
          <w:sz w:val="21"/>
          <w:szCs w:val="21"/>
          <w:color w:val="auto"/>
        </w:rPr>
        <w:t xml:space="preserve">15.3 </w:t>
      </w:r>
      <w:r>
        <w:rPr>
          <w:rFonts w:ascii="Arial" w:cs="Arial" w:eastAsia="Arial" w:hAnsi="Arial"/>
          <w:sz w:val="21"/>
          <w:szCs w:val="21"/>
          <w:b w:val="1"/>
          <w:bCs w:val="1"/>
          <w:color w:val="auto"/>
        </w:rPr>
        <w:t>Restricted Stock.</w:t>
      </w:r>
      <w:r>
        <w:rPr>
          <w:rFonts w:ascii="Arial" w:cs="Arial" w:eastAsia="Arial" w:hAnsi="Arial"/>
          <w:sz w:val="21"/>
          <w:szCs w:val="21"/>
          <w:color w:val="auto"/>
        </w:rPr>
        <w:t xml:space="preserve"> In the event of a business combination or other transaction of the type detailed in Section 15.1, any securities, cash or other property received in 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70" w:lineRule="exact"/>
        <w:rPr>
          <w:sz w:val="20"/>
          <w:szCs w:val="20"/>
          <w:color w:val="auto"/>
        </w:rPr>
      </w:pPr>
    </w:p>
    <w:p>
      <w:pPr>
        <w:ind w:right="40" w:firstLine="656"/>
        <w:spacing w:after="0" w:line="252" w:lineRule="auto"/>
        <w:tabs>
          <w:tab w:leader="none" w:pos="1296"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Special Employment Rights. </w:t>
      </w:r>
      <w:r>
        <w:rPr>
          <w:rFonts w:ascii="Arial" w:cs="Arial" w:eastAsia="Arial" w:hAnsi="Arial"/>
          <w:sz w:val="22"/>
          <w:szCs w:val="22"/>
          <w:color w:val="auto"/>
        </w:rPr>
        <w:t>Nothing contained in the Plan or in any Option Agreement or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confer upon any optionee or holder of Restricted Stock any right with respect to the continuation of his or her employment by the Company or interfere in any way with the right of the Company at any time to terminate such employment or to increase or decrease his or her compensation.</w:t>
      </w:r>
    </w:p>
    <w:p>
      <w:pPr>
        <w:spacing w:after="0" w:line="179" w:lineRule="exact"/>
        <w:rPr>
          <w:rFonts w:ascii="Arial" w:cs="Arial" w:eastAsia="Arial" w:hAnsi="Arial"/>
          <w:sz w:val="22"/>
          <w:szCs w:val="22"/>
          <w:b w:val="1"/>
          <w:bCs w:val="1"/>
          <w:color w:val="auto"/>
        </w:rPr>
      </w:pPr>
    </w:p>
    <w:p>
      <w:pPr>
        <w:ind w:right="40" w:firstLine="656"/>
        <w:spacing w:after="0" w:line="298" w:lineRule="auto"/>
        <w:tabs>
          <w:tab w:leader="none" w:pos="1296" w:val="left"/>
        </w:tabs>
        <w:numPr>
          <w:ilvl w:val="0"/>
          <w:numId w:val="2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Employee Benefits. </w:t>
      </w:r>
      <w:r>
        <w:rPr>
          <w:rFonts w:ascii="Arial" w:cs="Arial" w:eastAsia="Arial" w:hAnsi="Arial"/>
          <w:sz w:val="19"/>
          <w:szCs w:val="19"/>
          <w:color w:val="auto"/>
        </w:rPr>
        <w:t>The amount of any compensation deemed to be received by an employee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of Restricted Stock or the grant or exercise of an Option or the sale of shares received upon issuance of a Restricted Stock Award or exercise of an Option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4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w:t>
      </w:r>
    </w:p>
    <w:p>
      <w:pPr>
        <w:spacing w:after="0" w:line="226"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w:t>
      </w:r>
    </w:p>
    <w:p>
      <w:pPr>
        <w:sectPr>
          <w:pgSz w:w="11900" w:h="16838" w:orient="portrait"/>
          <w:cols w:equalWidth="0" w:num="1">
            <w:col w:w="11220"/>
          </w:cols>
          <w:pgMar w:left="320" w:top="1428" w:right="359" w:bottom="1440" w:gutter="0" w:footer="0" w:header="0"/>
        </w:sectPr>
      </w:pPr>
    </w:p>
    <w:bookmarkStart w:id="304" w:name="page305"/>
    <w:bookmarkEnd w:id="304"/>
    <w:p>
      <w:pPr>
        <w:ind w:right="160"/>
        <w:spacing w:after="0" w:line="343" w:lineRule="auto"/>
        <w:rPr>
          <w:sz w:val="20"/>
          <w:szCs w:val="20"/>
          <w:color w:val="auto"/>
        </w:rPr>
      </w:pPr>
      <w:r>
        <w:rPr>
          <w:rFonts w:ascii="Arial" w:cs="Arial" w:eastAsia="Arial" w:hAnsi="Arial"/>
          <w:sz w:val="19"/>
          <w:szCs w:val="19"/>
          <w:color w:val="auto"/>
        </w:rPr>
        <w:t>class of persons eligible to receive Options under the Plan, no Options granted pursuant to such amendments shall be deemed to be Incentive Stock Options and no Incentive Stock Options shall be issued pursuant to such amendments thereafter.</w:t>
      </w:r>
    </w:p>
    <w:p>
      <w:pPr>
        <w:spacing w:after="0" w:line="104"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169" w:lineRule="exact"/>
        <w:rPr>
          <w:sz w:val="20"/>
          <w:szCs w:val="20"/>
          <w:color w:val="auto"/>
        </w:rPr>
      </w:pPr>
    </w:p>
    <w:p>
      <w:pPr>
        <w:ind w:firstLine="656"/>
        <w:spacing w:after="0" w:line="258" w:lineRule="auto"/>
        <w:tabs>
          <w:tab w:leader="none" w:pos="1296" w:val="left"/>
        </w:tabs>
        <w:numPr>
          <w:ilvl w:val="0"/>
          <w:numId w:val="2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w:t>
      </w:r>
      <w:r>
        <w:rPr>
          <w:rFonts w:ascii="Arial" w:cs="Arial" w:eastAsia="Arial" w:hAnsi="Arial"/>
          <w:sz w:val="21"/>
          <w:szCs w:val="21"/>
          <w:color w:val="auto"/>
        </w:rPr>
        <w:t>The Company shall have the right to deduct from payments of any kind otherwise due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optionee or recipient of Restricted Stock, any federal, state or local taxes of any kind required by law to be withheld with respect to issuance of any shares of Restricted Stock or shares issued upon exercise of Options. Prior to delivery of any Class A Common Stock pursuant to the terms of this Plan, the Board has the right to require that the optionee or recipient of Restricted Stock remit to the Company an amount sufficient to satisfy any minimum tax withholding obligation. Subject to the prior approval of the Company, which may be withheld by the Company in its sole discretion, the obligor may elect to satisfy any minimum withholding obligations, in whole or in part, (i) by causing the Company to withhold shares of Class A Common Stock otherwise issuable, or (ii) by delivering to the Company a sufficient number of shares of Class A Common Stock. The shares so withheld shall have a fair market value equal to such minimum withholding obligation. The fair market value of the shares used to satisfy such minimum withholding obligation shall be determined by the Company as of the date that the amount of tax to be withheld is to be determined. A person who has made an election pursuant to this Section 19 may only satisfy his or her withholding obligation with shares of Class A Common Stock which are not subject to any repurchase, forfeiture, unfulfilled vesting or other similar restrictions.</w:t>
      </w:r>
    </w:p>
    <w:p>
      <w:pPr>
        <w:spacing w:after="0" w:line="175"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and Duration of the Plan.</w:t>
      </w:r>
    </w:p>
    <w:p>
      <w:pPr>
        <w:spacing w:after="0" w:line="220" w:lineRule="exact"/>
        <w:rPr>
          <w:sz w:val="20"/>
          <w:szCs w:val="20"/>
          <w:color w:val="auto"/>
        </w:rPr>
      </w:pPr>
    </w:p>
    <w:p>
      <w:pPr>
        <w:jc w:val="both"/>
        <w:ind w:right="220" w:firstLine="1296"/>
        <w:spacing w:after="0" w:line="290"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The Plan shall become effective when adopted by the Board of Directors. If shareholder approval is not obtained within twelve months after the date of the Board’s adoption of the Plan, no Options previously granted under the Plan shall be deemed to be Incentive Stock Options and no Incentive Stock Options shall be granted thereafter.</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188" w:lineRule="exact"/>
        <w:rPr>
          <w:sz w:val="20"/>
          <w:szCs w:val="20"/>
          <w:color w:val="auto"/>
        </w:rPr>
      </w:pPr>
    </w:p>
    <w:p>
      <w:pPr>
        <w:ind w:right="120" w:firstLine="1296"/>
        <w:spacing w:after="0" w:line="349"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b w:val="1"/>
          <w:bCs w:val="1"/>
          <w:color w:val="auto"/>
        </w:rPr>
        <w:t>Termination.</w:t>
      </w:r>
      <w:r>
        <w:rPr>
          <w:rFonts w:ascii="Arial" w:cs="Arial" w:eastAsia="Arial" w:hAnsi="Arial"/>
          <w:sz w:val="19"/>
          <w:szCs w:val="19"/>
          <w:color w:val="auto"/>
        </w:rPr>
        <w:t xml:space="preserve"> Unless sooner terminated by action of the Board of Directors, the Plan shall terminate upon the close of business on the day next preceding the tenth anniversary of the date of its adoption by the Board of Directors.</w:t>
      </w:r>
    </w:p>
    <w:p>
      <w:pPr>
        <w:sectPr>
          <w:pgSz w:w="11900" w:h="16838" w:orient="portrait"/>
          <w:cols w:equalWidth="0" w:num="1">
            <w:col w:w="11220"/>
          </w:cols>
          <w:pgMar w:left="320" w:top="1428" w:right="359" w:bottom="1440" w:gutter="0" w:footer="0" w:header="0"/>
        </w:sectPr>
      </w:pPr>
    </w:p>
    <w:bookmarkStart w:id="305" w:name="page306"/>
    <w:bookmarkEnd w:id="305"/>
    <w:p>
      <w:pPr>
        <w:jc w:val="both"/>
        <w:ind w:left="-656" w:firstLine="656"/>
        <w:spacing w:after="0" w:line="304" w:lineRule="auto"/>
        <w:tabs>
          <w:tab w:leader="none" w:pos="640"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Provision for Foreign Participants. </w:t>
      </w:r>
      <w:r>
        <w:rPr>
          <w:rFonts w:ascii="Arial" w:cs="Arial" w:eastAsia="Arial" w:hAnsi="Arial"/>
          <w:sz w:val="19"/>
          <w:szCs w:val="19"/>
          <w:color w:val="auto"/>
        </w:rPr>
        <w:t>The Board of Directors may, without amending the Plan, modify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Agreements or Restricted Stock Agreements to differ from those specified in the Plan with respect to participants who are foreign nationals or employed outside the United States to recognize differences in laws, rules, regulations or customs of such foreign jurisdictions with respect to tax, securities, currency, employee benefit or other matters.</w:t>
      </w:r>
    </w:p>
    <w:p>
      <w:pPr>
        <w:spacing w:after="0" w:line="135" w:lineRule="exact"/>
        <w:rPr>
          <w:rFonts w:ascii="Arial" w:cs="Arial" w:eastAsia="Arial" w:hAnsi="Arial"/>
          <w:sz w:val="19"/>
          <w:szCs w:val="19"/>
          <w:b w:val="1"/>
          <w:bCs w:val="1"/>
          <w:color w:val="auto"/>
        </w:rPr>
      </w:pPr>
    </w:p>
    <w:p>
      <w:pPr>
        <w:ind w:left="-656" w:right="40" w:firstLine="656"/>
        <w:spacing w:after="0" w:line="286" w:lineRule="auto"/>
        <w:tabs>
          <w:tab w:leader="none" w:pos="640"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Requirements of Law. </w:t>
      </w:r>
      <w:r>
        <w:rPr>
          <w:rFonts w:ascii="Arial" w:cs="Arial" w:eastAsia="Arial" w:hAnsi="Arial"/>
          <w:sz w:val="19"/>
          <w:szCs w:val="19"/>
          <w:color w:val="auto"/>
        </w:rPr>
        <w:t>The Company shall not be required to sell or issue any shares under any Option or</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Award if the issuance of such shares shall constitute a violation by the optionee, the Restricted Stock Award recipient, or by the Company of any provision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 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the grant of any Restricted Stock Award or the issuance of shares pursuant thereto to comply with any law or regulation of any governmental authority.</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left="-656" w:right="20" w:firstLine="656"/>
        <w:spacing w:after="0" w:line="288" w:lineRule="auto"/>
        <w:tabs>
          <w:tab w:leader="none" w:pos="640"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Conversion of Incentive Stock Options into Non-Qualified Options; Termination. </w:t>
      </w:r>
      <w:r>
        <w:rPr>
          <w:rFonts w:ascii="Arial" w:cs="Arial" w:eastAsia="Arial" w:hAnsi="Arial"/>
          <w:sz w:val="19"/>
          <w:szCs w:val="19"/>
          <w:color w:val="auto"/>
        </w:rPr>
        <w:t>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consent of any optionee, may in its discretion take such actions as may be necessary to convert such optionee’s Incentive Stock Options (or any installments or portions of installments thereof) that have not been exercised on the date of conversion into non-statutory Options at any time prior to the expiration of such Incentive Stock Options, regardless of whether the optionee is an employee of the Company or a parent or subsidiary of the Company at the time of such conversion. At the time of such conversion, the Board of Directors (with the consent of the optionee) may impose such conditions on the exercise of the resulting non-statutory Options as the Board of Directors in its discretion may determine, provided that such conditions shall not be inconsistent with this Plan. Nothing in this Plan shall be deemed to give any optionee the right to have such optionee’s Incentive Stock Options converted into non-statutory Options, and no such conversion shall occur until and unless the Board of Directors takes appropriate action. The Board of Directors, with the consent of the optionee, may also terminate any portion of any Incentive Stock Option that has not been exercised at the time of such termination.</w:t>
      </w:r>
    </w:p>
    <w:p>
      <w:pPr>
        <w:spacing w:after="0" w:line="153" w:lineRule="exact"/>
        <w:rPr>
          <w:rFonts w:ascii="Arial" w:cs="Arial" w:eastAsia="Arial" w:hAnsi="Arial"/>
          <w:sz w:val="19"/>
          <w:szCs w:val="19"/>
          <w:b w:val="1"/>
          <w:bCs w:val="1"/>
          <w:color w:val="auto"/>
        </w:rPr>
      </w:pPr>
    </w:p>
    <w:p>
      <w:pPr>
        <w:ind w:left="-656" w:right="180" w:firstLine="656"/>
        <w:spacing w:after="0" w:line="269" w:lineRule="auto"/>
        <w:tabs>
          <w:tab w:leader="none" w:pos="64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Non-Exclusivity of this Plan; Non-Uniform Determinations. </w:t>
      </w:r>
      <w:r>
        <w:rPr>
          <w:rFonts w:ascii="Arial" w:cs="Arial" w:eastAsia="Arial" w:hAnsi="Arial"/>
          <w:sz w:val="22"/>
          <w:szCs w:val="22"/>
          <w:color w:val="auto"/>
        </w:rPr>
        <w:t>Neither the adoption of this Plan by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nor the approval of this Plan by the stockholders</w:t>
      </w:r>
    </w:p>
    <w:p>
      <w:pPr>
        <w:sectPr>
          <w:pgSz w:w="11900" w:h="16838" w:orient="portrait"/>
          <w:cols w:equalWidth="0" w:num="1">
            <w:col w:w="10584"/>
          </w:cols>
          <w:pgMar w:left="976" w:top="1422" w:right="339" w:bottom="1440" w:gutter="0" w:footer="0" w:header="0"/>
        </w:sectPr>
      </w:pPr>
    </w:p>
    <w:bookmarkStart w:id="306" w:name="page307"/>
    <w:bookmarkEnd w:id="306"/>
    <w:p>
      <w:pPr>
        <w:spacing w:after="0" w:line="253" w:lineRule="auto"/>
        <w:rPr>
          <w:sz w:val="20"/>
          <w:szCs w:val="20"/>
          <w:color w:val="auto"/>
        </w:rPr>
      </w:pPr>
      <w:r>
        <w:rPr>
          <w:rFonts w:ascii="Arial" w:cs="Arial" w:eastAsia="Arial" w:hAnsi="Arial"/>
          <w:sz w:val="22"/>
          <w:szCs w:val="22"/>
          <w:color w:val="auto"/>
        </w:rPr>
        <w:t>of 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88" w:lineRule="exact"/>
        <w:rPr>
          <w:sz w:val="20"/>
          <w:szCs w:val="20"/>
          <w:color w:val="auto"/>
        </w:rPr>
      </w:pPr>
    </w:p>
    <w:p>
      <w:pPr>
        <w:ind w:right="600" w:firstLine="656"/>
        <w:spacing w:after="0" w:line="269" w:lineRule="auto"/>
        <w:tabs>
          <w:tab w:leader="none" w:pos="1296"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Plan and each Option or Restricted Stock Award shall be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Commonwealth of Massachusetts, without regard to its principles of conflicts of law.</w:t>
      </w:r>
    </w:p>
    <w:p>
      <w:pPr>
        <w:sectPr>
          <w:pgSz w:w="11900" w:h="16838" w:orient="portrait"/>
          <w:cols w:equalWidth="0" w:num="1">
            <w:col w:w="11240"/>
          </w:cols>
          <w:pgMar w:left="320" w:top="1428" w:right="339" w:bottom="1440" w:gutter="0" w:footer="0" w:header="0"/>
        </w:sectPr>
      </w:pPr>
    </w:p>
    <w:bookmarkStart w:id="307" w:name="page308"/>
    <w:bookmarkEnd w:id="307"/>
    <w:p>
      <w:pPr>
        <w:jc w:val="center"/>
        <w:ind w:right="-299"/>
        <w:spacing w:after="0"/>
        <w:rPr>
          <w:sz w:val="20"/>
          <w:szCs w:val="20"/>
          <w:color w:val="auto"/>
        </w:rPr>
      </w:pPr>
      <w:r>
        <w:rPr>
          <w:rFonts w:ascii="Arial" w:cs="Arial" w:eastAsia="Arial" w:hAnsi="Arial"/>
          <w:sz w:val="22"/>
          <w:szCs w:val="22"/>
          <w:b w:val="1"/>
          <w:bCs w:val="1"/>
          <w:color w:val="auto"/>
        </w:rPr>
        <w:t>INCENTIVE STOCK OPTION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Granted by</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Seer,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Under the 2017 Stock Incentive Plan</w:t>
      </w:r>
    </w:p>
    <w:p>
      <w:pPr>
        <w:spacing w:after="0" w:line="200" w:lineRule="exact"/>
        <w:rPr>
          <w:sz w:val="20"/>
          <w:szCs w:val="20"/>
          <w:color w:val="auto"/>
        </w:rPr>
      </w:pPr>
    </w:p>
    <w:p>
      <w:pPr>
        <w:spacing w:after="0" w:line="23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This Option is and shall be subject in every respect to the provisions of the Company’s 2017 Stock Incentive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is incorporated herein by reference and made a part hereof. The holder of this Option (the “</w:t>
      </w:r>
      <w:r>
        <w:rPr>
          <w:rFonts w:ascii="Arial" w:cs="Arial" w:eastAsia="Arial" w:hAnsi="Arial"/>
          <w:sz w:val="21"/>
          <w:szCs w:val="21"/>
          <w:u w:val="single" w:color="auto"/>
          <w:color w:val="auto"/>
        </w:rPr>
        <w:t>Holder</w:t>
      </w:r>
      <w:r>
        <w:rPr>
          <w:rFonts w:ascii="Arial" w:cs="Arial" w:eastAsia="Arial" w:hAnsi="Arial"/>
          <w:sz w:val="21"/>
          <w:szCs w:val="21"/>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74"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 xml:space="preserve">Name of Holder: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 xml:space="preserve">Date of Grant: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Vesting Start Date</w:t>
      </w:r>
      <w:r>
        <w:rPr>
          <w:rFonts w:ascii="Arial" w:cs="Arial" w:eastAsia="Arial" w:hAnsi="Arial"/>
          <w:sz w:val="22"/>
          <w:szCs w:val="22"/>
          <w:color w:val="auto"/>
        </w:rPr>
        <w:t>: [See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Maximum number of shares for</w:t>
      </w:r>
    </w:p>
    <w:p>
      <w:pPr>
        <w:spacing w:after="0" w:line="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 xml:space="preserve">which this Option is exercisable: </w:t>
      </w:r>
      <w:r>
        <w:rPr>
          <w:rFonts w:ascii="Arial" w:cs="Arial" w:eastAsia="Arial" w:hAnsi="Arial"/>
          <w:sz w:val="22"/>
          <w:szCs w:val="22"/>
          <w:color w:val="auto"/>
        </w:rPr>
        <w:t>[See Carta]</w:t>
      </w:r>
    </w:p>
    <w:p>
      <w:pPr>
        <w:spacing w:after="0" w:line="195"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 xml:space="preserve">Exercise (purchase) price per share: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right="120" w:hanging="652"/>
        <w:spacing w:after="0" w:line="256" w:lineRule="auto"/>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 xml:space="preserve">Method of Exercise: </w:t>
      </w:r>
      <w:r>
        <w:rPr>
          <w:rFonts w:ascii="Arial" w:cs="Arial" w:eastAsia="Arial" w:hAnsi="Arial"/>
          <w:sz w:val="22"/>
          <w:szCs w:val="22"/>
          <w:color w:val="auto"/>
        </w:rPr>
        <w:t>This Option may be exercised by the delivery of written notice to the Company setting forth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shares with respect to which the Option is to be exercised, together with payment by one of the following methods:</w:t>
      </w:r>
    </w:p>
    <w:p>
      <w:pPr>
        <w:spacing w:after="0" w:line="182" w:lineRule="exact"/>
        <w:rPr>
          <w:sz w:val="20"/>
          <w:szCs w:val="20"/>
          <w:color w:val="auto"/>
        </w:rPr>
      </w:pPr>
    </w:p>
    <w:p>
      <w:pPr>
        <w:ind w:left="1300" w:right="520"/>
        <w:spacing w:after="0" w:line="263" w:lineRule="auto"/>
        <w:rPr>
          <w:sz w:val="20"/>
          <w:szCs w:val="20"/>
          <w:color w:val="auto"/>
        </w:rPr>
      </w:pPr>
      <w:r>
        <w:rPr>
          <w:rFonts w:ascii="Arial" w:cs="Arial" w:eastAsia="Arial" w:hAnsi="Arial"/>
          <w:sz w:val="22"/>
          <w:szCs w:val="22"/>
          <w:color w:val="auto"/>
        </w:rPr>
        <w:t>cash or a personal, certified or bank check or postal money order payable to the order of the Company for an amount equal to the exercise price of the shares being purchased; or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the consent of the Company, any of the other methods set forth in the Plan.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an additional condition to exercise of this Option:</w:t>
      </w:r>
    </w:p>
    <w:p>
      <w:pPr>
        <w:spacing w:after="0" w:line="220" w:lineRule="exact"/>
        <w:rPr>
          <w:sz w:val="20"/>
          <w:szCs w:val="20"/>
          <w:color w:val="auto"/>
        </w:rPr>
      </w:pPr>
    </w:p>
    <w:p>
      <w:pPr>
        <w:ind w:left="1300" w:right="360" w:hanging="644"/>
        <w:spacing w:after="0" w:line="343" w:lineRule="auto"/>
        <w:tabs>
          <w:tab w:leader="none" w:pos="128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if and to the extent the Holder is purchasing any unvested shares, the terms and conditions of such purchase shall be as set forth in a restricted stock purchase agreement signed by the Holder and the Company; and</w:t>
      </w:r>
    </w:p>
    <w:p>
      <w:pPr>
        <w:spacing w:after="0" w:line="104" w:lineRule="exact"/>
        <w:rPr>
          <w:rFonts w:ascii="Arial" w:cs="Arial" w:eastAsia="Arial" w:hAnsi="Arial"/>
          <w:sz w:val="19"/>
          <w:szCs w:val="19"/>
          <w:color w:val="auto"/>
        </w:rPr>
      </w:pPr>
    </w:p>
    <w:p>
      <w:pPr>
        <w:ind w:left="1300" w:right="480" w:hanging="644"/>
        <w:spacing w:after="0" w:line="263" w:lineRule="auto"/>
        <w:tabs>
          <w:tab w:leader="none" w:pos="1294" w:val="left"/>
        </w:tabs>
        <w:numPr>
          <w:ilvl w:val="0"/>
          <w:numId w:val="245"/>
        </w:numPr>
        <w:rPr>
          <w:rFonts w:ascii="Arial" w:cs="Arial" w:eastAsia="Arial" w:hAnsi="Arial"/>
          <w:sz w:val="22"/>
          <w:szCs w:val="22"/>
          <w:color w:val="auto"/>
        </w:rPr>
      </w:pPr>
      <w:r>
        <w:rPr>
          <w:rFonts w:ascii="Arial" w:cs="Arial" w:eastAsia="Arial" w:hAnsi="Arial"/>
          <w:sz w:val="22"/>
          <w:szCs w:val="22"/>
          <w:color w:val="auto"/>
        </w:rPr>
        <w:t>if and to the extent the Holder is purchasing any vested shares, the Holder shall deliver to the Company an investment letter in form and substance satisfactory to</w:t>
      </w:r>
    </w:p>
    <w:p>
      <w:pPr>
        <w:sectPr>
          <w:pgSz w:w="11900" w:h="16838" w:orient="portrait"/>
          <w:cols w:equalWidth="0" w:num="1">
            <w:col w:w="10960"/>
          </w:cols>
          <w:pgMar w:left="320" w:top="1422" w:right="619" w:bottom="1440" w:gutter="0" w:footer="0" w:header="0"/>
        </w:sectPr>
      </w:pPr>
    </w:p>
    <w:bookmarkStart w:id="308" w:name="page309"/>
    <w:bookmarkEnd w:id="308"/>
    <w:p>
      <w:pPr>
        <w:ind w:left="1292" w:right="300"/>
        <w:spacing w:after="0" w:line="271" w:lineRule="auto"/>
        <w:rPr>
          <w:sz w:val="20"/>
          <w:szCs w:val="20"/>
          <w:color w:val="auto"/>
        </w:rPr>
      </w:pPr>
      <w:r>
        <w:rPr>
          <w:rFonts w:ascii="Arial" w:cs="Arial" w:eastAsia="Arial" w:hAnsi="Arial"/>
          <w:sz w:val="21"/>
          <w:szCs w:val="21"/>
          <w:color w:val="auto"/>
        </w:rPr>
        <w:t>the Company and its counsel. No such investment letter shall be required as a condition to such exercise at any time when there shall be an effective registration statement under the Securities Act of 1933, as amended (the “</w:t>
      </w:r>
      <w:r>
        <w:rPr>
          <w:rFonts w:ascii="Arial" w:cs="Arial" w:eastAsia="Arial" w:hAnsi="Arial"/>
          <w:sz w:val="21"/>
          <w:szCs w:val="21"/>
          <w:u w:val="single" w:color="auto"/>
          <w:color w:val="auto"/>
        </w:rPr>
        <w:t>Act</w:t>
      </w:r>
      <w:r>
        <w:rPr>
          <w:rFonts w:ascii="Arial" w:cs="Arial" w:eastAsia="Arial" w:hAnsi="Arial"/>
          <w:sz w:val="21"/>
          <w:szCs w:val="21"/>
          <w:color w:val="auto"/>
        </w:rPr>
        <w:t>”) covering the vested shares for which this Option may be exercised.</w:t>
      </w:r>
    </w:p>
    <w:p>
      <w:pPr>
        <w:spacing w:after="0" w:line="161" w:lineRule="exact"/>
        <w:rPr>
          <w:sz w:val="20"/>
          <w:szCs w:val="20"/>
          <w:color w:val="auto"/>
        </w:rPr>
      </w:pPr>
    </w:p>
    <w:p>
      <w:pPr>
        <w:ind w:left="652" w:right="140" w:hanging="652"/>
        <w:spacing w:after="0" w:line="269" w:lineRule="auto"/>
        <w:tabs>
          <w:tab w:leader="none" w:pos="652" w:val="left"/>
        </w:tabs>
        <w:numPr>
          <w:ilvl w:val="0"/>
          <w:numId w:val="246"/>
        </w:numPr>
        <w:rPr>
          <w:rFonts w:ascii="Arial" w:cs="Arial" w:eastAsia="Arial" w:hAnsi="Arial"/>
          <w:sz w:val="22"/>
          <w:szCs w:val="22"/>
          <w:color w:val="auto"/>
        </w:rPr>
      </w:pPr>
      <w:r>
        <w:rPr>
          <w:rFonts w:ascii="Arial" w:cs="Arial" w:eastAsia="Arial" w:hAnsi="Arial"/>
          <w:sz w:val="22"/>
          <w:szCs w:val="22"/>
          <w:b w:val="1"/>
          <w:bCs w:val="1"/>
          <w:color w:val="auto"/>
        </w:rPr>
        <w:t>Expiration Date of Option</w:t>
      </w:r>
      <w:r>
        <w:rPr>
          <w:rFonts w:ascii="Arial" w:cs="Arial" w:eastAsia="Arial" w:hAnsi="Arial"/>
          <w:sz w:val="22"/>
          <w:szCs w:val="22"/>
          <w:color w:val="auto"/>
        </w:rPr>
        <w:t>: [See Carta] [Note: for ISO, cannot be longer than 10 years from date of grant, or 5 years in</w:t>
      </w:r>
      <w:r>
        <w:rPr>
          <w:rFonts w:ascii="Arial" w:cs="Arial" w:eastAsia="Arial" w:hAnsi="Arial"/>
          <w:sz w:val="22"/>
          <w:szCs w:val="22"/>
          <w:b w:val="1"/>
          <w:bCs w:val="1"/>
          <w:color w:val="auto"/>
        </w:rPr>
        <w:t xml:space="preserve"> </w:t>
      </w:r>
      <w:r>
        <w:rPr>
          <w:rFonts w:ascii="Arial" w:cs="Arial" w:eastAsia="Arial" w:hAnsi="Arial"/>
          <w:sz w:val="22"/>
          <w:szCs w:val="22"/>
          <w:color w:val="auto"/>
        </w:rPr>
        <w:t>case of a Greater Than 10% Shareholder]</w:t>
      </w:r>
    </w:p>
    <w:p>
      <w:pPr>
        <w:spacing w:after="0" w:line="161" w:lineRule="exact"/>
        <w:rPr>
          <w:rFonts w:ascii="Arial" w:cs="Arial" w:eastAsia="Arial" w:hAnsi="Arial"/>
          <w:sz w:val="22"/>
          <w:szCs w:val="22"/>
          <w:color w:val="auto"/>
        </w:rPr>
      </w:pPr>
    </w:p>
    <w:p>
      <w:pPr>
        <w:ind w:left="652" w:hanging="652"/>
        <w:spacing w:after="0"/>
        <w:tabs>
          <w:tab w:leader="none" w:pos="652" w:val="left"/>
        </w:tabs>
        <w:numPr>
          <w:ilvl w:val="0"/>
          <w:numId w:val="246"/>
        </w:numPr>
        <w:rPr>
          <w:rFonts w:ascii="Arial" w:cs="Arial" w:eastAsia="Arial" w:hAnsi="Arial"/>
          <w:sz w:val="22"/>
          <w:szCs w:val="22"/>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Carta]</w:t>
      </w:r>
    </w:p>
    <w:p>
      <w:pPr>
        <w:spacing w:after="0" w:line="220" w:lineRule="exact"/>
        <w:rPr>
          <w:sz w:val="20"/>
          <w:szCs w:val="20"/>
          <w:color w:val="auto"/>
        </w:rPr>
      </w:pPr>
    </w:p>
    <w:p>
      <w:pPr>
        <w:ind w:left="652" w:firstLine="648"/>
        <w:spacing w:after="0" w:line="287" w:lineRule="auto"/>
        <w:rPr>
          <w:sz w:val="20"/>
          <w:szCs w:val="20"/>
          <w:color w:val="auto"/>
        </w:rPr>
      </w:pPr>
      <w:r>
        <w:rPr>
          <w:rFonts w:ascii="Arial" w:cs="Arial" w:eastAsia="Arial" w:hAnsi="Arial"/>
          <w:sz w:val="19"/>
          <w:szCs w:val="19"/>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agreement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Arial" w:cs="Arial" w:eastAsia="Arial" w:hAnsi="Arial"/>
          <w:sz w:val="19"/>
          <w:szCs w:val="19"/>
          <w:u w:val="single" w:color="auto"/>
          <w:color w:val="auto"/>
        </w:rPr>
        <w:t>83(b) Election</w:t>
      </w:r>
      <w:r>
        <w:rPr>
          <w:rFonts w:ascii="Arial" w:cs="Arial" w:eastAsia="Arial" w:hAnsi="Arial"/>
          <w:sz w:val="19"/>
          <w:szCs w:val="19"/>
          <w:color w:val="auto"/>
        </w:rPr>
        <w:t xml:space="preserve">”) with respect to the unvested shares to be issued, and that if he or she chooses to make such election, it must be made </w:t>
      </w:r>
      <w:r>
        <w:rPr>
          <w:rFonts w:ascii="Arial" w:cs="Arial" w:eastAsia="Arial" w:hAnsi="Arial"/>
          <w:sz w:val="19"/>
          <w:szCs w:val="19"/>
          <w:u w:val="single" w:color="auto"/>
          <w:color w:val="auto"/>
        </w:rPr>
        <w:t>within 30 days</w:t>
      </w:r>
      <w:r>
        <w:rPr>
          <w:rFonts w:ascii="Arial" w:cs="Arial" w:eastAsia="Arial" w:hAnsi="Arial"/>
          <w:sz w:val="19"/>
          <w:szCs w:val="19"/>
          <w:color w:val="auto"/>
        </w:rPr>
        <w:t xml:space="preserve"> of the date of execution of such restricted stock agreement, and such filing will be solely the Holder’s responsibility. </w:t>
      </w:r>
      <w:r>
        <w:rPr>
          <w:rFonts w:ascii="Arial" w:cs="Arial" w:eastAsia="Arial" w:hAnsi="Arial"/>
          <w:sz w:val="19"/>
          <w:szCs w:val="19"/>
          <w:b w:val="1"/>
          <w:bCs w:val="1"/>
          <w:i w:val="1"/>
          <w:iCs w:val="1"/>
          <w:color w:val="auto"/>
        </w:rPr>
        <w:t>If this option is an incentive stock option at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the time of exercise, however, an 83(b) Election will be effective only with respect to the “alternative minimum tax” and </w:t>
      </w:r>
      <w:r>
        <w:rPr>
          <w:rFonts w:ascii="Arial" w:cs="Arial" w:eastAsia="Arial" w:hAnsi="Arial"/>
          <w:sz w:val="19"/>
          <w:szCs w:val="19"/>
          <w:b w:val="1"/>
          <w:bCs w:val="1"/>
          <w:i w:val="1"/>
          <w:iCs w:val="1"/>
          <w:u w:val="single" w:color="auto"/>
          <w:color w:val="auto"/>
        </w:rPr>
        <w:t>not</w:t>
      </w:r>
      <w:r>
        <w:rPr>
          <w:rFonts w:ascii="Arial" w:cs="Arial" w:eastAsia="Arial" w:hAnsi="Arial"/>
          <w:sz w:val="19"/>
          <w:szCs w:val="19"/>
          <w:b w:val="1"/>
          <w:bCs w:val="1"/>
          <w:i w:val="1"/>
          <w:iCs w:val="1"/>
          <w:color w:val="auto"/>
        </w:rPr>
        <w:t xml:space="preserve"> with respect to income tax. </w:t>
      </w:r>
      <w:r>
        <w:rPr>
          <w:rFonts w:ascii="Arial" w:cs="Arial" w:eastAsia="Arial" w:hAnsi="Arial"/>
          <w:sz w:val="19"/>
          <w:szCs w:val="19"/>
          <w:color w:val="auto"/>
        </w:rPr>
        <w:t>The Holder is advised to consult a personal tax adviser with respect to the tax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consequences of early exercise of an ISO, including filing or not filing an 83(b) Election.</w:t>
      </w:r>
    </w:p>
    <w:p>
      <w:pPr>
        <w:spacing w:after="0" w:line="153" w:lineRule="exact"/>
        <w:rPr>
          <w:sz w:val="20"/>
          <w:szCs w:val="20"/>
          <w:color w:val="auto"/>
        </w:rPr>
      </w:pPr>
    </w:p>
    <w:p>
      <w:pPr>
        <w:ind w:left="652" w:hanging="652"/>
        <w:spacing w:after="0"/>
        <w:tabs>
          <w:tab w:leader="none" w:pos="652" w:val="left"/>
        </w:tabs>
        <w:numPr>
          <w:ilvl w:val="0"/>
          <w:numId w:val="247"/>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This Option shall terminate on the earliest to occur of:</w:t>
      </w:r>
    </w:p>
    <w:p>
      <w:pPr>
        <w:spacing w:after="0" w:line="225" w:lineRule="exact"/>
        <w:rPr>
          <w:rFonts w:ascii="Arial" w:cs="Arial" w:eastAsia="Arial" w:hAnsi="Arial"/>
          <w:sz w:val="22"/>
          <w:szCs w:val="22"/>
          <w:color w:val="auto"/>
        </w:rPr>
      </w:pPr>
    </w:p>
    <w:p>
      <w:pPr>
        <w:ind w:left="2572" w:hanging="628"/>
        <w:spacing w:after="0"/>
        <w:tabs>
          <w:tab w:leader="none" w:pos="257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date of expiration hereof;</w:t>
      </w:r>
    </w:p>
    <w:p>
      <w:pPr>
        <w:spacing w:after="0" w:line="219" w:lineRule="exact"/>
        <w:rPr>
          <w:rFonts w:ascii="Arial" w:cs="Arial" w:eastAsia="Arial" w:hAnsi="Arial"/>
          <w:sz w:val="22"/>
          <w:szCs w:val="22"/>
          <w:color w:val="auto"/>
        </w:rPr>
      </w:pPr>
    </w:p>
    <w:p>
      <w:pPr>
        <w:ind w:left="2592" w:right="40" w:hanging="648"/>
        <w:spacing w:after="0" w:line="263" w:lineRule="auto"/>
        <w:tabs>
          <w:tab w:leader="none" w:pos="2586" w:val="left"/>
        </w:tabs>
        <w:numPr>
          <w:ilvl w:val="1"/>
          <w:numId w:val="247"/>
        </w:numPr>
        <w:rPr>
          <w:rFonts w:ascii="Arial" w:cs="Arial" w:eastAsia="Arial" w:hAnsi="Arial"/>
          <w:sz w:val="22"/>
          <w:szCs w:val="22"/>
          <w:color w:val="auto"/>
        </w:rPr>
      </w:pPr>
      <w:r>
        <w:rPr>
          <w:rFonts w:ascii="Arial" w:cs="Arial" w:eastAsia="Arial" w:hAnsi="Arial"/>
          <w:sz w:val="22"/>
          <w:szCs w:val="22"/>
          <w:color w:val="auto"/>
        </w:rPr>
        <w:t>immediately upon termination of the Holder’s employment with the Company by the Company for Cause (as defined in the Plan);</w:t>
      </w:r>
    </w:p>
    <w:p>
      <w:pPr>
        <w:spacing w:after="0" w:line="174" w:lineRule="exact"/>
        <w:rPr>
          <w:rFonts w:ascii="Arial" w:cs="Arial" w:eastAsia="Arial" w:hAnsi="Arial"/>
          <w:sz w:val="22"/>
          <w:szCs w:val="22"/>
          <w:color w:val="auto"/>
        </w:rPr>
      </w:pPr>
    </w:p>
    <w:p>
      <w:pPr>
        <w:ind w:left="2592" w:right="140" w:hanging="648"/>
        <w:spacing w:after="0" w:line="263" w:lineRule="auto"/>
        <w:tabs>
          <w:tab w:leader="none" w:pos="259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90 days after the date of voluntary termination of employment by the Holder (other than for death or permanent and total disability as defined in the Plan);</w:t>
      </w:r>
    </w:p>
    <w:p>
      <w:pPr>
        <w:spacing w:after="0" w:line="174" w:lineRule="exact"/>
        <w:rPr>
          <w:rFonts w:ascii="Arial" w:cs="Arial" w:eastAsia="Arial" w:hAnsi="Arial"/>
          <w:sz w:val="22"/>
          <w:szCs w:val="22"/>
          <w:color w:val="auto"/>
        </w:rPr>
      </w:pPr>
    </w:p>
    <w:p>
      <w:pPr>
        <w:ind w:left="2592" w:right="280" w:hanging="648"/>
        <w:spacing w:after="0" w:line="253" w:lineRule="auto"/>
        <w:tabs>
          <w:tab w:leader="none" w:pos="258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90 days after the date of termination of the Holder’s employment with the Company by the Company without Cause (other than for death or permanent and total disability as defined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72"/>
          </w:cols>
          <w:pgMar w:left="328" w:top="1428" w:right="399" w:bottom="1440" w:gutter="0" w:footer="0" w:header="0"/>
        </w:sectPr>
      </w:pPr>
    </w:p>
    <w:bookmarkStart w:id="309" w:name="page310"/>
    <w:bookmarkEnd w:id="309"/>
    <w:p>
      <w:pPr>
        <w:ind w:left="2592" w:right="80" w:hanging="648"/>
        <w:spacing w:after="0" w:line="263" w:lineRule="auto"/>
        <w:tabs>
          <w:tab w:leader="none" w:pos="2587" w:val="left"/>
        </w:tabs>
        <w:numPr>
          <w:ilvl w:val="2"/>
          <w:numId w:val="248"/>
        </w:numPr>
        <w:rPr>
          <w:rFonts w:ascii="Arial" w:cs="Arial" w:eastAsia="Arial" w:hAnsi="Arial"/>
          <w:sz w:val="22"/>
          <w:szCs w:val="22"/>
          <w:color w:val="auto"/>
        </w:rPr>
      </w:pPr>
      <w:r>
        <w:rPr>
          <w:rFonts w:ascii="Arial" w:cs="Arial" w:eastAsia="Arial" w:hAnsi="Arial"/>
          <w:sz w:val="22"/>
          <w:szCs w:val="22"/>
          <w:color w:val="auto"/>
        </w:rPr>
        <w:t>180 days after the “permanent and total disability”(as defined at Section 10 of the Plan) or death of the Holder.</w:t>
      </w:r>
    </w:p>
    <w:p>
      <w:pPr>
        <w:spacing w:after="0" w:line="168" w:lineRule="exact"/>
        <w:rPr>
          <w:rFonts w:ascii="Arial" w:cs="Arial" w:eastAsia="Arial" w:hAnsi="Arial"/>
          <w:sz w:val="22"/>
          <w:szCs w:val="22"/>
          <w:color w:val="auto"/>
        </w:rPr>
      </w:pPr>
    </w:p>
    <w:p>
      <w:pPr>
        <w:ind w:left="652" w:right="380" w:hanging="652"/>
        <w:spacing w:after="0" w:line="256" w:lineRule="auto"/>
        <w:tabs>
          <w:tab w:leader="none" w:pos="652"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Company’s Right of First Refusal</w:t>
      </w:r>
      <w:r>
        <w:rPr>
          <w:rFonts w:ascii="Arial" w:cs="Arial" w:eastAsia="Arial" w:hAnsi="Arial"/>
          <w:sz w:val="22"/>
          <w:szCs w:val="22"/>
          <w:color w:val="auto"/>
        </w:rPr>
        <w:t>. Prior to the effective date of a registration statement under the Act, any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 issued pursuant to exercise of this Option shall be subject to the Company’s right of first refusal as set forth at Appendix A.</w:t>
      </w:r>
    </w:p>
    <w:p>
      <w:pPr>
        <w:spacing w:after="0" w:line="176" w:lineRule="exact"/>
        <w:rPr>
          <w:rFonts w:ascii="Arial" w:cs="Arial" w:eastAsia="Arial" w:hAnsi="Arial"/>
          <w:sz w:val="22"/>
          <w:szCs w:val="22"/>
          <w:color w:val="auto"/>
        </w:rPr>
      </w:pPr>
    </w:p>
    <w:p>
      <w:pPr>
        <w:ind w:left="652" w:hanging="652"/>
        <w:spacing w:after="0" w:line="248" w:lineRule="auto"/>
        <w:tabs>
          <w:tab w:leader="none" w:pos="644"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Lock-Up Agreement</w:t>
      </w:r>
      <w:r>
        <w:rPr>
          <w:rFonts w:ascii="Arial" w:cs="Arial" w:eastAsia="Arial" w:hAnsi="Arial"/>
          <w:sz w:val="22"/>
          <w:szCs w:val="22"/>
          <w:color w:val="auto"/>
        </w:rPr>
        <w:t>. The Holder agrees that upon the request of the Company or the managing underwriter(s)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securities of the 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86" w:lineRule="exact"/>
        <w:rPr>
          <w:rFonts w:ascii="Arial" w:cs="Arial" w:eastAsia="Arial" w:hAnsi="Arial"/>
          <w:sz w:val="22"/>
          <w:szCs w:val="22"/>
          <w:color w:val="auto"/>
        </w:rPr>
      </w:pPr>
    </w:p>
    <w:p>
      <w:pPr>
        <w:ind w:left="652" w:right="120" w:hanging="652"/>
        <w:spacing w:after="0" w:line="285" w:lineRule="auto"/>
        <w:tabs>
          <w:tab w:leader="none" w:pos="652" w:val="left"/>
        </w:tabs>
        <w:numPr>
          <w:ilvl w:val="0"/>
          <w:numId w:val="249"/>
        </w:numPr>
        <w:rPr>
          <w:rFonts w:ascii="Arial" w:cs="Arial" w:eastAsia="Arial" w:hAnsi="Arial"/>
          <w:sz w:val="19"/>
          <w:szCs w:val="19"/>
          <w:color w:val="auto"/>
        </w:rPr>
      </w:pPr>
      <w:r>
        <w:rPr>
          <w:rFonts w:ascii="Arial" w:cs="Arial" w:eastAsia="Arial" w:hAnsi="Arial"/>
          <w:sz w:val="19"/>
          <w:szCs w:val="19"/>
          <w:b w:val="1"/>
          <w:bCs w:val="1"/>
          <w:color w:val="auto"/>
        </w:rPr>
        <w:t>Incentive Stock Option; Disqualifying Disposition</w:t>
      </w:r>
      <w:r>
        <w:rPr>
          <w:rFonts w:ascii="Arial" w:cs="Arial" w:eastAsia="Arial" w:hAnsi="Arial"/>
          <w:sz w:val="19"/>
          <w:szCs w:val="19"/>
          <w:color w:val="auto"/>
        </w:rPr>
        <w:t>. Although this Option is intended to qualify as an incentive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 under the Internal Revenue Code of 1986 (the “Code”), the Company makes no representation as to the tax treatment upon exercise of this Option or sale or other disposition of the shares covered by this Option, and the Holder is advised to consult a personal tax advisor. Upon a Disqualifying Disposition of shares received upon exercise of this Option, the Holder will forfeit the favorable income tax treatment otherwise available with respect to the exercise of this Option. A “Disqualifying Disposition” shall have the meaning specified in Section 421(b) of the Code; as of the date of grant of this Option a Disqualifying Disposition is any disposition (including any sale) of such shares before the later of</w:t>
      </w:r>
    </w:p>
    <w:p>
      <w:pPr>
        <w:spacing w:after="0" w:line="3" w:lineRule="exact"/>
        <w:rPr>
          <w:rFonts w:ascii="Arial" w:cs="Arial" w:eastAsia="Arial" w:hAnsi="Arial"/>
          <w:sz w:val="19"/>
          <w:szCs w:val="19"/>
          <w:color w:val="auto"/>
        </w:rPr>
      </w:pPr>
    </w:p>
    <w:p>
      <w:pPr>
        <w:ind w:left="652" w:right="100" w:hanging="4"/>
        <w:spacing w:after="0" w:line="292" w:lineRule="auto"/>
        <w:tabs>
          <w:tab w:leader="none" w:pos="94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the second anniversary of the date of grant of this Option and (b) the first anniversary of the date on which the Holder acquired such shares by exercising this Option, provided that such holding period requirements terminate upon the death of the Holder. The Holder shall notify the Company in writing immediately upon making a Disqualifying Disposition of any shares of Class A Common Stock received pursuant to the exercise of this Option, and shall provide the Company with any information that the Company shall request concerning any such Disqualifying Disposition.</w:t>
      </w:r>
    </w:p>
    <w:p>
      <w:pPr>
        <w:spacing w:after="0" w:line="145" w:lineRule="exact"/>
        <w:rPr>
          <w:rFonts w:ascii="Arial" w:cs="Arial" w:eastAsia="Arial" w:hAnsi="Arial"/>
          <w:sz w:val="19"/>
          <w:szCs w:val="19"/>
          <w:color w:val="auto"/>
        </w:rPr>
      </w:pPr>
    </w:p>
    <w:p>
      <w:pPr>
        <w:ind w:left="652" w:right="200" w:hanging="652"/>
        <w:spacing w:after="0" w:line="274" w:lineRule="auto"/>
        <w:tabs>
          <w:tab w:leader="none" w:pos="652" w:val="left"/>
        </w:tabs>
        <w:numPr>
          <w:ilvl w:val="0"/>
          <w:numId w:val="249"/>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Any notice to be given to the Company hereunder shall be deemed sufficient if addressed to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to the office of the Company, Seer, Inc., 3800 Bridge Parkway, Suite 102, Redwood City, CA 94065, attention of the President, or such other address as the Company may hereafter designate.</w:t>
      </w:r>
    </w:p>
    <w:p>
      <w:pPr>
        <w:spacing w:after="0" w:line="164" w:lineRule="exact"/>
        <w:rPr>
          <w:rFonts w:ascii="Arial" w:cs="Arial" w:eastAsia="Arial" w:hAnsi="Arial"/>
          <w:sz w:val="21"/>
          <w:szCs w:val="21"/>
          <w:color w:val="auto"/>
        </w:rPr>
      </w:pPr>
    </w:p>
    <w:p>
      <w:pPr>
        <w:jc w:val="both"/>
        <w:ind w:left="652" w:right="240"/>
        <w:spacing w:after="0" w:line="253" w:lineRule="auto"/>
        <w:rPr>
          <w:rFonts w:ascii="Arial" w:cs="Arial" w:eastAsia="Arial" w:hAnsi="Arial"/>
          <w:sz w:val="21"/>
          <w:szCs w:val="21"/>
          <w:color w:val="auto"/>
        </w:rPr>
      </w:pPr>
      <w:r>
        <w:rPr>
          <w:rFonts w:ascii="Arial" w:cs="Arial" w:eastAsia="Arial" w:hAnsi="Arial"/>
          <w:sz w:val="22"/>
          <w:szCs w:val="22"/>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12"/>
          </w:cols>
          <w:pgMar w:left="328" w:top="1428" w:right="359" w:bottom="1440" w:gutter="0" w:footer="0" w:header="0"/>
        </w:sectPr>
      </w:pPr>
    </w:p>
    <w:bookmarkStart w:id="310" w:name="page311"/>
    <w:bookmarkEnd w:id="310"/>
    <w:p>
      <w:pPr>
        <w:ind w:left="660"/>
        <w:spacing w:after="0"/>
        <w:rPr>
          <w:sz w:val="20"/>
          <w:szCs w:val="20"/>
          <w:color w:val="auto"/>
        </w:rPr>
      </w:pPr>
      <w:r>
        <w:rPr>
          <w:rFonts w:ascii="Arial" w:cs="Arial" w:eastAsia="Arial" w:hAnsi="Arial"/>
          <w:sz w:val="19"/>
          <w:szCs w:val="19"/>
          <w:color w:val="auto"/>
        </w:rPr>
        <w:t>IN WITNESS WHEREOF, the parties have executed this Option, or caused this Option to be executed, as of the Date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3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auto"/>
        </w:rPr>
        <w:t>SEER, INC.</w:t>
      </w:r>
    </w:p>
    <w:p>
      <w:pPr>
        <w:spacing w:after="0" w:line="200" w:lineRule="exact"/>
        <w:rPr>
          <w:sz w:val="20"/>
          <w:szCs w:val="20"/>
          <w:color w:val="auto"/>
        </w:rPr>
      </w:pPr>
    </w:p>
    <w:p>
      <w:pPr>
        <w:spacing w:after="0" w:line="390"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24130</wp:posOffset>
            </wp:positionV>
            <wp:extent cx="2922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4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768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[Seer, Inc. ISO Option Grant]</w:t>
      </w:r>
    </w:p>
    <w:p>
      <w:pPr>
        <w:sectPr>
          <w:pgSz w:w="11900" w:h="16838" w:orient="portrait"/>
          <w:cols w:equalWidth="0" w:num="1">
            <w:col w:w="11040"/>
          </w:cols>
          <w:pgMar w:left="320" w:top="1428" w:right="539" w:bottom="1440" w:gutter="0" w:footer="0" w:header="0"/>
        </w:sectPr>
      </w:pPr>
    </w:p>
    <w:bookmarkStart w:id="311" w:name="page312"/>
    <w:bookmarkEnd w:id="311"/>
    <w:p>
      <w:pPr>
        <w:jc w:val="right"/>
        <w:spacing w:after="0"/>
        <w:rPr>
          <w:sz w:val="20"/>
          <w:szCs w:val="20"/>
          <w:color w:val="auto"/>
        </w:rPr>
      </w:pPr>
      <w:r>
        <w:rPr>
          <w:rFonts w:ascii="Arial" w:cs="Arial" w:eastAsia="Arial" w:hAnsi="Arial"/>
          <w:sz w:val="22"/>
          <w:szCs w:val="22"/>
          <w:color w:val="auto"/>
        </w:rPr>
        <w:t>APPENDIX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Refusal</w:t>
      </w:r>
    </w:p>
    <w:p>
      <w:pPr>
        <w:spacing w:after="0" w:line="200" w:lineRule="exact"/>
        <w:rPr>
          <w:sz w:val="20"/>
          <w:szCs w:val="20"/>
          <w:color w:val="auto"/>
        </w:rPr>
      </w:pPr>
    </w:p>
    <w:p>
      <w:pPr>
        <w:spacing w:after="0" w:line="236" w:lineRule="exact"/>
        <w:rPr>
          <w:sz w:val="20"/>
          <w:szCs w:val="20"/>
          <w:color w:val="auto"/>
        </w:rPr>
      </w:pPr>
    </w:p>
    <w:p>
      <w:pPr>
        <w:ind w:right="220" w:firstLine="1304"/>
        <w:spacing w:after="0" w:line="293" w:lineRule="auto"/>
        <w:tabs>
          <w:tab w:leader="none" w:pos="1944" w:val="left"/>
        </w:tabs>
        <w:numPr>
          <w:ilvl w:val="0"/>
          <w:numId w:val="2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Prior to the effective date of a registration statement under the Securities Act of 1933,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(the “</w:t>
      </w:r>
      <w:r>
        <w:rPr>
          <w:rFonts w:ascii="Arial" w:cs="Arial" w:eastAsia="Arial" w:hAnsi="Arial"/>
          <w:sz w:val="19"/>
          <w:szCs w:val="19"/>
          <w:u w:val="single" w:color="auto"/>
          <w:color w:val="auto"/>
        </w:rPr>
        <w:t>Act</w:t>
      </w:r>
      <w:r>
        <w:rPr>
          <w:rFonts w:ascii="Arial" w:cs="Arial" w:eastAsia="Arial" w:hAnsi="Arial"/>
          <w:sz w:val="19"/>
          <w:szCs w:val="19"/>
          <w:color w:val="auto"/>
        </w:rPr>
        <w:t>”), covering 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44" w:lineRule="exact"/>
        <w:rPr>
          <w:rFonts w:ascii="Arial" w:cs="Arial" w:eastAsia="Arial" w:hAnsi="Arial"/>
          <w:sz w:val="19"/>
          <w:szCs w:val="19"/>
          <w:b w:val="1"/>
          <w:bCs w:val="1"/>
          <w:color w:val="auto"/>
        </w:rPr>
      </w:pPr>
    </w:p>
    <w:p>
      <w:pPr>
        <w:ind w:right="20" w:firstLine="1304"/>
        <w:spacing w:after="0" w:line="267" w:lineRule="auto"/>
        <w:tabs>
          <w:tab w:leader="none" w:pos="1944" w:val="left"/>
        </w:tabs>
        <w:numPr>
          <w:ilvl w:val="0"/>
          <w:numId w:val="2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of Intended Transfer. </w:t>
      </w:r>
      <w:r>
        <w:rPr>
          <w:rFonts w:ascii="Arial" w:cs="Arial" w:eastAsia="Arial" w:hAnsi="Arial"/>
          <w:sz w:val="21"/>
          <w:szCs w:val="21"/>
          <w:color w:val="auto"/>
        </w:rPr>
        <w:t>The notice shall state the number of shares offered, the name of the person</w:t>
      </w:r>
      <w:r>
        <w:rPr>
          <w:rFonts w:ascii="Arial" w:cs="Arial" w:eastAsia="Arial" w:hAnsi="Arial"/>
          <w:sz w:val="21"/>
          <w:szCs w:val="21"/>
          <w:b w:val="1"/>
          <w:bCs w:val="1"/>
          <w:color w:val="auto"/>
        </w:rPr>
        <w:t xml:space="preserve"> </w:t>
      </w:r>
      <w:r>
        <w:rPr>
          <w:rFonts w:ascii="Arial" w:cs="Arial" w:eastAsia="Arial" w:hAnsi="Arial"/>
          <w:sz w:val="21"/>
          <w:szCs w:val="21"/>
          <w:color w:val="auto"/>
        </w:rPr>
        <w:t>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67" w:lineRule="exact"/>
        <w:rPr>
          <w:rFonts w:ascii="Arial" w:cs="Arial" w:eastAsia="Arial" w:hAnsi="Arial"/>
          <w:sz w:val="21"/>
          <w:szCs w:val="21"/>
          <w:b w:val="1"/>
          <w:bCs w:val="1"/>
          <w:color w:val="auto"/>
        </w:rPr>
      </w:pPr>
    </w:p>
    <w:p>
      <w:pPr>
        <w:ind w:right="20" w:firstLine="1304"/>
        <w:spacing w:after="0" w:line="259" w:lineRule="auto"/>
        <w:tabs>
          <w:tab w:leader="none" w:pos="1944" w:val="left"/>
        </w:tabs>
        <w:numPr>
          <w:ilvl w:val="0"/>
          <w:numId w:val="2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Company to Accept or Decline Within 30 Days. </w:t>
      </w:r>
      <w:r>
        <w:rPr>
          <w:rFonts w:ascii="Arial" w:cs="Arial" w:eastAsia="Arial" w:hAnsi="Arial"/>
          <w:sz w:val="21"/>
          <w:szCs w:val="21"/>
          <w:color w:val="auto"/>
        </w:rPr>
        <w:t>The Company may accept the offer as to all, but not less</w:t>
      </w:r>
      <w:r>
        <w:rPr>
          <w:rFonts w:ascii="Arial" w:cs="Arial" w:eastAsia="Arial" w:hAnsi="Arial"/>
          <w:sz w:val="21"/>
          <w:szCs w:val="21"/>
          <w:b w:val="1"/>
          <w:bCs w:val="1"/>
          <w:color w:val="auto"/>
        </w:rPr>
        <w:t xml:space="preserve"> </w:t>
      </w:r>
      <w:r>
        <w:rPr>
          <w:rFonts w:ascii="Arial" w:cs="Arial" w:eastAsia="Arial" w:hAnsi="Arial"/>
          <w:sz w:val="21"/>
          <w:szCs w:val="21"/>
          <w:color w:val="auto"/>
        </w:rPr>
        <w:t>than all, such shares by 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79" w:lineRule="exact"/>
        <w:rPr>
          <w:rFonts w:ascii="Arial" w:cs="Arial" w:eastAsia="Arial" w:hAnsi="Arial"/>
          <w:sz w:val="21"/>
          <w:szCs w:val="21"/>
          <w:b w:val="1"/>
          <w:bCs w:val="1"/>
          <w:color w:val="auto"/>
        </w:rPr>
      </w:pPr>
    </w:p>
    <w:p>
      <w:pPr>
        <w:ind w:right="180" w:firstLine="1304"/>
        <w:spacing w:after="0" w:line="252" w:lineRule="auto"/>
        <w:tabs>
          <w:tab w:leader="none" w:pos="1944"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Transferred Shares to Remain Subject to Right of First Refusal. </w:t>
      </w:r>
      <w:r>
        <w:rPr>
          <w:rFonts w:ascii="Arial" w:cs="Arial" w:eastAsia="Arial" w:hAnsi="Arial"/>
          <w:sz w:val="22"/>
          <w:szCs w:val="22"/>
          <w:color w:val="auto"/>
        </w:rPr>
        <w:t>Shares that are so transferred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79" w:lineRule="exact"/>
        <w:rPr>
          <w:rFonts w:ascii="Arial" w:cs="Arial" w:eastAsia="Arial" w:hAnsi="Arial"/>
          <w:sz w:val="22"/>
          <w:szCs w:val="22"/>
          <w:b w:val="1"/>
          <w:bCs w:val="1"/>
          <w:color w:val="auto"/>
        </w:rPr>
      </w:pPr>
    </w:p>
    <w:p>
      <w:pPr>
        <w:jc w:val="both"/>
        <w:ind w:right="140" w:firstLine="1304"/>
        <w:spacing w:after="0" w:line="304" w:lineRule="auto"/>
        <w:tabs>
          <w:tab w:leader="none" w:pos="1944" w:val="left"/>
        </w:tabs>
        <w:numPr>
          <w:ilvl w:val="0"/>
          <w:numId w:val="2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Remedies of Company. </w:t>
      </w:r>
      <w:r>
        <w:rPr>
          <w:rFonts w:ascii="Arial" w:cs="Arial" w:eastAsia="Arial" w:hAnsi="Arial"/>
          <w:sz w:val="19"/>
          <w:szCs w:val="19"/>
          <w:color w:val="auto"/>
        </w:rPr>
        <w:t>No sale, assignment, pledge or other transfer of any of the shares covered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w:t>
      </w:r>
    </w:p>
    <w:p>
      <w:pPr>
        <w:sectPr>
          <w:pgSz w:w="11900" w:h="16838" w:orient="portrait"/>
          <w:cols w:equalWidth="0" w:num="1">
            <w:col w:w="11240"/>
          </w:cols>
          <w:pgMar w:left="320" w:top="1428" w:right="339" w:bottom="1440" w:gutter="0" w:footer="0" w:header="0"/>
        </w:sectPr>
      </w:pPr>
    </w:p>
    <w:bookmarkStart w:id="312" w:name="page313"/>
    <w:bookmarkEnd w:id="312"/>
    <w:p>
      <w:pPr>
        <w:spacing w:after="0" w:line="247" w:lineRule="auto"/>
        <w:rPr>
          <w:sz w:val="20"/>
          <w:szCs w:val="20"/>
          <w:color w:val="auto"/>
        </w:rPr>
      </w:pPr>
      <w:r>
        <w:rPr>
          <w:rFonts w:ascii="Arial" w:cs="Arial" w:eastAsia="Arial" w:hAnsi="Arial"/>
          <w:sz w:val="22"/>
          <w:szCs w:val="22"/>
          <w:color w:val="auto"/>
        </w:rPr>
        <w:t>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87" w:lineRule="exact"/>
        <w:rPr>
          <w:sz w:val="20"/>
          <w:szCs w:val="20"/>
          <w:color w:val="auto"/>
        </w:rPr>
      </w:pPr>
    </w:p>
    <w:p>
      <w:pPr>
        <w:ind w:right="140" w:firstLine="1304"/>
        <w:spacing w:after="0" w:line="298" w:lineRule="auto"/>
        <w:tabs>
          <w:tab w:leader="none" w:pos="1944"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Shares Subject to Right of First Refusal. </w:t>
      </w:r>
      <w:r>
        <w:rPr>
          <w:rFonts w:ascii="Arial" w:cs="Arial" w:eastAsia="Arial" w:hAnsi="Arial"/>
          <w:sz w:val="19"/>
          <w:szCs w:val="19"/>
          <w:color w:val="auto"/>
        </w:rPr>
        <w:t>For purposes of the Right of First Refusal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Appendix A, the term “</w:t>
      </w:r>
      <w:r>
        <w:rPr>
          <w:rFonts w:ascii="Arial" w:cs="Arial" w:eastAsia="Arial" w:hAnsi="Arial"/>
          <w:sz w:val="19"/>
          <w:szCs w:val="19"/>
          <w:u w:val="single" w:color="auto"/>
          <w:color w:val="auto"/>
        </w:rPr>
        <w:t>shares</w:t>
      </w:r>
      <w:r>
        <w:rPr>
          <w:rFonts w:ascii="Arial" w:cs="Arial" w:eastAsia="Arial" w:hAnsi="Arial"/>
          <w:sz w:val="19"/>
          <w:szCs w:val="19"/>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42" w:lineRule="exact"/>
        <w:rPr>
          <w:rFonts w:ascii="Arial" w:cs="Arial" w:eastAsia="Arial" w:hAnsi="Arial"/>
          <w:sz w:val="19"/>
          <w:szCs w:val="19"/>
          <w:b w:val="1"/>
          <w:bCs w:val="1"/>
          <w:color w:val="auto"/>
        </w:rPr>
      </w:pPr>
    </w:p>
    <w:p>
      <w:pPr>
        <w:ind w:right="240" w:firstLine="1304"/>
        <w:spacing w:after="0" w:line="269" w:lineRule="auto"/>
        <w:tabs>
          <w:tab w:leader="none" w:pos="1944"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Legends on Stock Certificates. </w:t>
      </w:r>
      <w:r>
        <w:rPr>
          <w:rFonts w:ascii="Arial" w:cs="Arial" w:eastAsia="Arial" w:hAnsi="Arial"/>
          <w:sz w:val="22"/>
          <w:szCs w:val="22"/>
          <w:color w:val="auto"/>
        </w:rPr>
        <w:t>Any certificate representing shares of stock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Appendix A may have endorsed thereon one or more legends, substantially as follows:</w:t>
      </w:r>
    </w:p>
    <w:p>
      <w:pPr>
        <w:spacing w:after="0" w:line="168" w:lineRule="exact"/>
        <w:rPr>
          <w:sz w:val="20"/>
          <w:szCs w:val="20"/>
          <w:color w:val="auto"/>
        </w:rPr>
      </w:pPr>
    </w:p>
    <w:p>
      <w:pPr>
        <w:ind w:left="1960" w:right="320" w:hanging="656"/>
        <w:spacing w:after="0" w:line="302" w:lineRule="auto"/>
        <w:tabs>
          <w:tab w:leader="none" w:pos="194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42" w:lineRule="exact"/>
        <w:rPr>
          <w:rFonts w:ascii="Arial" w:cs="Arial" w:eastAsia="Arial" w:hAnsi="Arial"/>
          <w:sz w:val="19"/>
          <w:szCs w:val="19"/>
          <w:color w:val="auto"/>
        </w:rPr>
      </w:pPr>
    </w:p>
    <w:p>
      <w:pPr>
        <w:ind w:left="1960" w:right="180" w:hanging="656"/>
        <w:spacing w:after="0" w:line="263" w:lineRule="auto"/>
        <w:tabs>
          <w:tab w:leader="none" w:pos="1954"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69" w:lineRule="exact"/>
        <w:rPr>
          <w:sz w:val="20"/>
          <w:szCs w:val="20"/>
          <w:color w:val="auto"/>
        </w:rPr>
      </w:pPr>
    </w:p>
    <w:p>
      <w:pPr>
        <w:ind w:right="60" w:firstLine="1304"/>
        <w:spacing w:after="0" w:line="256" w:lineRule="auto"/>
        <w:tabs>
          <w:tab w:leader="none" w:pos="1944"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 of First Refusal to Lapse Upon Registration. </w:t>
      </w:r>
      <w:r>
        <w:rPr>
          <w:rFonts w:ascii="Arial" w:cs="Arial" w:eastAsia="Arial" w:hAnsi="Arial"/>
          <w:sz w:val="22"/>
          <w:szCs w:val="22"/>
          <w:color w:val="auto"/>
        </w:rPr>
        <w:t>The restrictions imposed by this Appendix A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in all respects upon the effective date of a registration statement under the Act covering any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Appendix A</w:t>
      </w:r>
    </w:p>
    <w:p>
      <w:pPr>
        <w:sectPr>
          <w:pgSz w:w="11900" w:h="16838" w:orient="portrait"/>
          <w:cols w:equalWidth="0" w:num="1">
            <w:col w:w="11180"/>
          </w:cols>
          <w:pgMar w:left="320" w:top="1428" w:right="399" w:bottom="1440" w:gutter="0" w:footer="0" w:header="0"/>
        </w:sectPr>
      </w:pPr>
    </w:p>
    <w:bookmarkStart w:id="313" w:name="page314"/>
    <w:bookmarkEnd w:id="313"/>
    <w:p>
      <w:pPr>
        <w:jc w:val="center"/>
        <w:ind w:right="-299"/>
        <w:spacing w:after="0"/>
        <w:rPr>
          <w:sz w:val="20"/>
          <w:szCs w:val="20"/>
          <w:color w:val="auto"/>
        </w:rPr>
      </w:pPr>
      <w:r>
        <w:rPr>
          <w:rFonts w:ascii="Arial" w:cs="Arial" w:eastAsia="Arial" w:hAnsi="Arial"/>
          <w:sz w:val="22"/>
          <w:szCs w:val="22"/>
          <w:b w:val="1"/>
          <w:bCs w:val="1"/>
          <w:color w:val="auto"/>
        </w:rPr>
        <w:t>NON-STATUTORY STOCK OPTION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Granted by</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Seer,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Under the 2017 Stock Incentive Plan</w:t>
      </w:r>
    </w:p>
    <w:p>
      <w:pPr>
        <w:spacing w:after="0" w:line="200" w:lineRule="exact"/>
        <w:rPr>
          <w:sz w:val="20"/>
          <w:szCs w:val="20"/>
          <w:color w:val="auto"/>
        </w:rPr>
      </w:pPr>
    </w:p>
    <w:p>
      <w:pPr>
        <w:spacing w:after="0" w:line="23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This Option is and shall be subject in every respect to the provisions of the Company’s 2017 Stock Incentive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is incorporated herein by reference and made a part hereof. The holder of this Option (the “</w:t>
      </w:r>
      <w:r>
        <w:rPr>
          <w:rFonts w:ascii="Arial" w:cs="Arial" w:eastAsia="Arial" w:hAnsi="Arial"/>
          <w:sz w:val="21"/>
          <w:szCs w:val="21"/>
          <w:u w:val="single" w:color="auto"/>
          <w:color w:val="auto"/>
        </w:rPr>
        <w:t>Holder</w:t>
      </w:r>
      <w:r>
        <w:rPr>
          <w:rFonts w:ascii="Arial" w:cs="Arial" w:eastAsia="Arial" w:hAnsi="Arial"/>
          <w:sz w:val="21"/>
          <w:szCs w:val="21"/>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74"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Name of Holder: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Date of Grant: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Vesting Start Date: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Maximum number of shares for</w:t>
      </w:r>
    </w:p>
    <w:p>
      <w:pPr>
        <w:spacing w:after="0" w:line="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 xml:space="preserve">which this Option is exercisable: </w:t>
      </w:r>
      <w:r>
        <w:rPr>
          <w:rFonts w:ascii="Arial" w:cs="Arial" w:eastAsia="Arial" w:hAnsi="Arial"/>
          <w:sz w:val="22"/>
          <w:szCs w:val="22"/>
          <w:color w:val="auto"/>
        </w:rPr>
        <w:t>[See Carta]</w:t>
      </w:r>
    </w:p>
    <w:p>
      <w:pPr>
        <w:spacing w:after="0" w:line="195" w:lineRule="exact"/>
        <w:rPr>
          <w:rFonts w:ascii="Arial" w:cs="Arial" w:eastAsia="Arial" w:hAnsi="Arial"/>
          <w:sz w:val="22"/>
          <w:szCs w:val="22"/>
          <w:color w:val="auto"/>
        </w:rPr>
      </w:pPr>
    </w:p>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Exercise (purchase) price per share: </w:t>
      </w:r>
      <w:r>
        <w:rPr>
          <w:rFonts w:ascii="Arial" w:cs="Arial" w:eastAsia="Arial" w:hAnsi="Arial"/>
          <w:sz w:val="22"/>
          <w:szCs w:val="22"/>
          <w:color w:val="auto"/>
        </w:rPr>
        <w:t>$[See Carta]</w:t>
      </w:r>
    </w:p>
    <w:p>
      <w:pPr>
        <w:spacing w:after="0" w:line="219" w:lineRule="exact"/>
        <w:rPr>
          <w:rFonts w:ascii="Arial" w:cs="Arial" w:eastAsia="Arial" w:hAnsi="Arial"/>
          <w:sz w:val="22"/>
          <w:szCs w:val="22"/>
          <w:color w:val="auto"/>
        </w:rPr>
      </w:pPr>
    </w:p>
    <w:p>
      <w:pPr>
        <w:ind w:left="660" w:right="120" w:hanging="652"/>
        <w:spacing w:after="0" w:line="256" w:lineRule="auto"/>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Method of Exercise</w:t>
      </w:r>
      <w:r>
        <w:rPr>
          <w:rFonts w:ascii="Arial" w:cs="Arial" w:eastAsia="Arial" w:hAnsi="Arial"/>
          <w:sz w:val="22"/>
          <w:szCs w:val="22"/>
          <w:color w:val="auto"/>
        </w:rPr>
        <w:t>: This Option may be exercised by the delivery of written notice to the Company setting forth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shares with respect to which the Option is to be exercised, together with payment by one of the following methods:</w:t>
      </w:r>
    </w:p>
    <w:p>
      <w:pPr>
        <w:spacing w:after="0" w:line="182" w:lineRule="exact"/>
        <w:rPr>
          <w:sz w:val="20"/>
          <w:szCs w:val="20"/>
          <w:color w:val="auto"/>
        </w:rPr>
      </w:pPr>
    </w:p>
    <w:p>
      <w:pPr>
        <w:ind w:left="1300" w:right="520"/>
        <w:spacing w:after="0" w:line="263" w:lineRule="auto"/>
        <w:rPr>
          <w:sz w:val="20"/>
          <w:szCs w:val="20"/>
          <w:color w:val="auto"/>
        </w:rPr>
      </w:pPr>
      <w:r>
        <w:rPr>
          <w:rFonts w:ascii="Arial" w:cs="Arial" w:eastAsia="Arial" w:hAnsi="Arial"/>
          <w:sz w:val="22"/>
          <w:szCs w:val="22"/>
          <w:color w:val="auto"/>
        </w:rPr>
        <w:t>cash or a personal, certified or bank check or postal money order payable to the order of the Company for an amount equal to the exercise price of the shares being purchased; or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the consent of the Company, any of the other methods set forth in the Plan.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an additional condition to exercise of this Option:</w:t>
      </w:r>
    </w:p>
    <w:p>
      <w:pPr>
        <w:spacing w:after="0" w:line="220" w:lineRule="exact"/>
        <w:rPr>
          <w:sz w:val="20"/>
          <w:szCs w:val="20"/>
          <w:color w:val="auto"/>
        </w:rPr>
      </w:pPr>
    </w:p>
    <w:p>
      <w:pPr>
        <w:ind w:left="1300" w:right="360" w:hanging="644"/>
        <w:spacing w:after="0" w:line="343" w:lineRule="auto"/>
        <w:tabs>
          <w:tab w:leader="none" w:pos="1288"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and to the extent the Holder is purchasing any unvested shares, the terms and conditions of such purchase shall be as set forth in a restricted stock purchase agreement signed by the Holder and the Company; and</w:t>
      </w:r>
    </w:p>
    <w:p>
      <w:pPr>
        <w:spacing w:after="0" w:line="104" w:lineRule="exact"/>
        <w:rPr>
          <w:rFonts w:ascii="Arial" w:cs="Arial" w:eastAsia="Arial" w:hAnsi="Arial"/>
          <w:sz w:val="19"/>
          <w:szCs w:val="19"/>
          <w:color w:val="auto"/>
        </w:rPr>
      </w:pPr>
    </w:p>
    <w:p>
      <w:pPr>
        <w:ind w:left="1300" w:right="480" w:hanging="644"/>
        <w:spacing w:after="0" w:line="263" w:lineRule="auto"/>
        <w:tabs>
          <w:tab w:leader="none" w:pos="1294"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if and to the extent the Holder is purchasing any vested shares, the Holder shall deliver to the Company an investment letter in form and substance satisfactory to</w:t>
      </w:r>
    </w:p>
    <w:p>
      <w:pPr>
        <w:sectPr>
          <w:pgSz w:w="11900" w:h="16838" w:orient="portrait"/>
          <w:cols w:equalWidth="0" w:num="1">
            <w:col w:w="10960"/>
          </w:cols>
          <w:pgMar w:left="320" w:top="1422" w:right="619" w:bottom="1440" w:gutter="0" w:footer="0" w:header="0"/>
        </w:sectPr>
      </w:pPr>
    </w:p>
    <w:bookmarkStart w:id="314" w:name="page315"/>
    <w:bookmarkEnd w:id="314"/>
    <w:p>
      <w:pPr>
        <w:ind w:left="1292" w:right="320"/>
        <w:spacing w:after="0" w:line="271" w:lineRule="auto"/>
        <w:rPr>
          <w:sz w:val="20"/>
          <w:szCs w:val="20"/>
          <w:color w:val="auto"/>
        </w:rPr>
      </w:pPr>
      <w:r>
        <w:rPr>
          <w:rFonts w:ascii="Arial" w:cs="Arial" w:eastAsia="Arial" w:hAnsi="Arial"/>
          <w:sz w:val="21"/>
          <w:szCs w:val="21"/>
          <w:color w:val="auto"/>
        </w:rPr>
        <w:t>the Company and its counsel. No such investment letter shall be required as a condition to such exercise at any time when there shall be an effective registration statement under the Securities Act of 1933, as amended (the “</w:t>
      </w:r>
      <w:r>
        <w:rPr>
          <w:rFonts w:ascii="Arial" w:cs="Arial" w:eastAsia="Arial" w:hAnsi="Arial"/>
          <w:sz w:val="21"/>
          <w:szCs w:val="21"/>
          <w:u w:val="single" w:color="auto"/>
          <w:color w:val="auto"/>
        </w:rPr>
        <w:t>Act</w:t>
      </w:r>
      <w:r>
        <w:rPr>
          <w:rFonts w:ascii="Arial" w:cs="Arial" w:eastAsia="Arial" w:hAnsi="Arial"/>
          <w:sz w:val="21"/>
          <w:szCs w:val="21"/>
          <w:color w:val="auto"/>
        </w:rPr>
        <w:t>”) covering the vested shares for which this Option may be exercised.</w:t>
      </w:r>
    </w:p>
    <w:p>
      <w:pPr>
        <w:spacing w:after="0" w:line="161" w:lineRule="exact"/>
        <w:rPr>
          <w:sz w:val="20"/>
          <w:szCs w:val="20"/>
          <w:color w:val="auto"/>
        </w:rPr>
      </w:pPr>
    </w:p>
    <w:p>
      <w:pPr>
        <w:ind w:left="652" w:hanging="652"/>
        <w:spacing w:after="0"/>
        <w:tabs>
          <w:tab w:leader="none" w:pos="652"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Expiration Date of Option: [See Carta]</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Carta]</w:t>
      </w:r>
    </w:p>
    <w:p>
      <w:pPr>
        <w:spacing w:after="0" w:line="220" w:lineRule="exact"/>
        <w:rPr>
          <w:sz w:val="20"/>
          <w:szCs w:val="20"/>
          <w:color w:val="auto"/>
        </w:rPr>
      </w:pPr>
    </w:p>
    <w:p>
      <w:pPr>
        <w:ind w:left="652" w:right="20" w:firstLine="648"/>
        <w:spacing w:after="0" w:line="288" w:lineRule="auto"/>
        <w:rPr>
          <w:sz w:val="20"/>
          <w:szCs w:val="20"/>
          <w:color w:val="auto"/>
        </w:rPr>
      </w:pPr>
      <w:r>
        <w:rPr>
          <w:rFonts w:ascii="Arial" w:cs="Arial" w:eastAsia="Arial" w:hAnsi="Arial"/>
          <w:sz w:val="19"/>
          <w:szCs w:val="19"/>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Arial" w:cs="Arial" w:eastAsia="Arial" w:hAnsi="Arial"/>
          <w:sz w:val="19"/>
          <w:szCs w:val="19"/>
          <w:u w:val="single" w:color="auto"/>
          <w:color w:val="auto"/>
        </w:rPr>
        <w:t>83(b) Election</w:t>
      </w:r>
      <w:r>
        <w:rPr>
          <w:rFonts w:ascii="Arial" w:cs="Arial" w:eastAsia="Arial" w:hAnsi="Arial"/>
          <w:sz w:val="19"/>
          <w:szCs w:val="19"/>
          <w:color w:val="auto"/>
        </w:rPr>
        <w:t xml:space="preserve">”) with respect to the unvested shares to be issued, and that if he or she chooses to make such election, it must be made </w:t>
      </w:r>
      <w:r>
        <w:rPr>
          <w:rFonts w:ascii="Arial" w:cs="Arial" w:eastAsia="Arial" w:hAnsi="Arial"/>
          <w:sz w:val="19"/>
          <w:szCs w:val="19"/>
          <w:u w:val="single" w:color="auto"/>
          <w:color w:val="auto"/>
        </w:rPr>
        <w:t>within 30 days</w:t>
      </w:r>
      <w:r>
        <w:rPr>
          <w:rFonts w:ascii="Arial" w:cs="Arial" w:eastAsia="Arial" w:hAnsi="Arial"/>
          <w:sz w:val="19"/>
          <w:szCs w:val="19"/>
          <w:color w:val="auto"/>
        </w:rPr>
        <w:t xml:space="preserve"> of the date of execution of such restricted stock agreement. The Holder is advised to consult a personal tax adviser with respect to the tax consequences of filing or not filing an 83(b) Election, and understands that such filing is solely the Holder’s responsibility.</w:t>
      </w:r>
    </w:p>
    <w:p>
      <w:pPr>
        <w:spacing w:after="0" w:line="153" w:lineRule="exact"/>
        <w:rPr>
          <w:sz w:val="20"/>
          <w:szCs w:val="20"/>
          <w:color w:val="auto"/>
        </w:rPr>
      </w:pPr>
    </w:p>
    <w:p>
      <w:pPr>
        <w:ind w:left="652" w:hanging="652"/>
        <w:spacing w:after="0"/>
        <w:tabs>
          <w:tab w:leader="none" w:pos="652"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Option. </w:t>
      </w:r>
      <w:r>
        <w:rPr>
          <w:rFonts w:ascii="Arial" w:cs="Arial" w:eastAsia="Arial" w:hAnsi="Arial"/>
          <w:sz w:val="22"/>
          <w:szCs w:val="22"/>
          <w:color w:val="auto"/>
        </w:rPr>
        <w:t>This Option shall terminate on the earliest to occur of:</w:t>
      </w:r>
    </w:p>
    <w:p>
      <w:pPr>
        <w:spacing w:after="0" w:line="225" w:lineRule="exact"/>
        <w:rPr>
          <w:rFonts w:ascii="Arial" w:cs="Arial" w:eastAsia="Arial" w:hAnsi="Arial"/>
          <w:sz w:val="22"/>
          <w:szCs w:val="22"/>
          <w:color w:val="auto"/>
        </w:rPr>
      </w:pPr>
    </w:p>
    <w:p>
      <w:pPr>
        <w:ind w:left="2572" w:hanging="628"/>
        <w:spacing w:after="0"/>
        <w:tabs>
          <w:tab w:leader="none" w:pos="257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date of expiration hereof;</w:t>
      </w:r>
    </w:p>
    <w:p>
      <w:pPr>
        <w:spacing w:after="0" w:line="219" w:lineRule="exact"/>
        <w:rPr>
          <w:rFonts w:ascii="Arial" w:cs="Arial" w:eastAsia="Arial" w:hAnsi="Arial"/>
          <w:sz w:val="22"/>
          <w:szCs w:val="22"/>
          <w:color w:val="auto"/>
        </w:rPr>
      </w:pPr>
    </w:p>
    <w:p>
      <w:pPr>
        <w:ind w:left="2592" w:right="60" w:hanging="648"/>
        <w:spacing w:after="0" w:line="263" w:lineRule="auto"/>
        <w:tabs>
          <w:tab w:leader="none" w:pos="2586" w:val="left"/>
        </w:tabs>
        <w:numPr>
          <w:ilvl w:val="1"/>
          <w:numId w:val="257"/>
        </w:numPr>
        <w:rPr>
          <w:rFonts w:ascii="Arial" w:cs="Arial" w:eastAsia="Arial" w:hAnsi="Arial"/>
          <w:sz w:val="22"/>
          <w:szCs w:val="22"/>
          <w:color w:val="auto"/>
        </w:rPr>
      </w:pPr>
      <w:r>
        <w:rPr>
          <w:rFonts w:ascii="Arial" w:cs="Arial" w:eastAsia="Arial" w:hAnsi="Arial"/>
          <w:sz w:val="22"/>
          <w:szCs w:val="22"/>
          <w:color w:val="auto"/>
        </w:rPr>
        <w:t>immediately upon termination of the Holder’s employment with or services to the Company by the Company for Cause (as defined in the Plan);</w:t>
      </w:r>
    </w:p>
    <w:p>
      <w:pPr>
        <w:spacing w:after="0" w:line="174" w:lineRule="exact"/>
        <w:rPr>
          <w:rFonts w:ascii="Arial" w:cs="Arial" w:eastAsia="Arial" w:hAnsi="Arial"/>
          <w:sz w:val="22"/>
          <w:szCs w:val="22"/>
          <w:color w:val="auto"/>
        </w:rPr>
      </w:pPr>
    </w:p>
    <w:p>
      <w:pPr>
        <w:ind w:left="2592" w:hanging="648"/>
        <w:spacing w:after="0" w:line="263" w:lineRule="auto"/>
        <w:tabs>
          <w:tab w:leader="none" w:pos="259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90 days after the date of voluntary termination of employment or services by the Holder (other than for death or permanent and total disability as defined in the Plan);</w:t>
      </w:r>
    </w:p>
    <w:p>
      <w:pPr>
        <w:spacing w:after="0" w:line="174" w:lineRule="exact"/>
        <w:rPr>
          <w:rFonts w:ascii="Arial" w:cs="Arial" w:eastAsia="Arial" w:hAnsi="Arial"/>
          <w:sz w:val="22"/>
          <w:szCs w:val="22"/>
          <w:color w:val="auto"/>
        </w:rPr>
      </w:pPr>
    </w:p>
    <w:p>
      <w:pPr>
        <w:ind w:left="2592" w:right="40" w:hanging="648"/>
        <w:spacing w:after="0" w:line="253" w:lineRule="auto"/>
        <w:tabs>
          <w:tab w:leader="none" w:pos="25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90 days after the date of termination of the Holder’s employment with or services to the Company by the Company without Cause (other than for death or permanent and total disability as defined in the Plan); or</w:t>
      </w:r>
    </w:p>
    <w:p>
      <w:pPr>
        <w:spacing w:after="0" w:line="185" w:lineRule="exact"/>
        <w:rPr>
          <w:rFonts w:ascii="Arial" w:cs="Arial" w:eastAsia="Arial" w:hAnsi="Arial"/>
          <w:sz w:val="22"/>
          <w:szCs w:val="22"/>
          <w:color w:val="auto"/>
        </w:rPr>
      </w:pPr>
    </w:p>
    <w:p>
      <w:pPr>
        <w:ind w:left="2592" w:hanging="648"/>
        <w:spacing w:after="0" w:line="263" w:lineRule="auto"/>
        <w:tabs>
          <w:tab w:leader="none" w:pos="2587" w:val="left"/>
        </w:tabs>
        <w:numPr>
          <w:ilvl w:val="1"/>
          <w:numId w:val="257"/>
        </w:numPr>
        <w:rPr>
          <w:rFonts w:ascii="Arial" w:cs="Arial" w:eastAsia="Arial" w:hAnsi="Arial"/>
          <w:sz w:val="22"/>
          <w:szCs w:val="22"/>
          <w:color w:val="auto"/>
        </w:rPr>
      </w:pPr>
      <w:r>
        <w:rPr>
          <w:rFonts w:ascii="Arial" w:cs="Arial" w:eastAsia="Arial" w:hAnsi="Arial"/>
          <w:sz w:val="22"/>
          <w:szCs w:val="22"/>
          <w:color w:val="auto"/>
        </w:rPr>
        <w:t>180 days after the “permanent and total disability” (as defined at Section 10 of the Plan) or death of the Holder.</w:t>
      </w:r>
    </w:p>
    <w:p>
      <w:pPr>
        <w:sectPr>
          <w:pgSz w:w="11900" w:h="16838" w:orient="portrait"/>
          <w:cols w:equalWidth="0" w:num="1">
            <w:col w:w="11192"/>
          </w:cols>
          <w:pgMar w:left="328" w:top="1428" w:right="379" w:bottom="1440" w:gutter="0" w:footer="0" w:header="0"/>
        </w:sectPr>
      </w:pPr>
    </w:p>
    <w:bookmarkStart w:id="315" w:name="page316"/>
    <w:bookmarkEnd w:id="315"/>
    <w:p>
      <w:pPr>
        <w:ind w:left="652" w:right="380" w:hanging="652"/>
        <w:spacing w:after="0" w:line="256" w:lineRule="auto"/>
        <w:tabs>
          <w:tab w:leader="none" w:pos="652" w:val="left"/>
        </w:tabs>
        <w:numPr>
          <w:ilvl w:val="0"/>
          <w:numId w:val="258"/>
        </w:numPr>
        <w:rPr>
          <w:rFonts w:ascii="Arial" w:cs="Arial" w:eastAsia="Arial" w:hAnsi="Arial"/>
          <w:sz w:val="22"/>
          <w:szCs w:val="22"/>
          <w:color w:val="auto"/>
        </w:rPr>
      </w:pPr>
      <w:r>
        <w:rPr>
          <w:rFonts w:ascii="Arial" w:cs="Arial" w:eastAsia="Arial" w:hAnsi="Arial"/>
          <w:sz w:val="22"/>
          <w:szCs w:val="22"/>
          <w:b w:val="1"/>
          <w:bCs w:val="1"/>
          <w:color w:val="auto"/>
        </w:rPr>
        <w:t xml:space="preserve">Company’s Right of First Refusal. </w:t>
      </w:r>
      <w:r>
        <w:rPr>
          <w:rFonts w:ascii="Arial" w:cs="Arial" w:eastAsia="Arial" w:hAnsi="Arial"/>
          <w:sz w:val="22"/>
          <w:szCs w:val="22"/>
          <w:color w:val="auto"/>
        </w:rPr>
        <w:t>Prior to the effective date of a registration statement under the Act, any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 issued pursuant to exercise of this Option shall be subject to the Company’s right of first refusal as set forth at Appendix A.</w:t>
      </w:r>
    </w:p>
    <w:p>
      <w:pPr>
        <w:spacing w:after="0" w:line="176" w:lineRule="exact"/>
        <w:rPr>
          <w:rFonts w:ascii="Arial" w:cs="Arial" w:eastAsia="Arial" w:hAnsi="Arial"/>
          <w:sz w:val="22"/>
          <w:szCs w:val="22"/>
          <w:color w:val="auto"/>
        </w:rPr>
      </w:pPr>
    </w:p>
    <w:p>
      <w:pPr>
        <w:ind w:left="652" w:hanging="652"/>
        <w:spacing w:after="0" w:line="248" w:lineRule="auto"/>
        <w:tabs>
          <w:tab w:leader="none" w:pos="644" w:val="left"/>
        </w:tabs>
        <w:numPr>
          <w:ilvl w:val="0"/>
          <w:numId w:val="258"/>
        </w:numPr>
        <w:rPr>
          <w:rFonts w:ascii="Arial" w:cs="Arial" w:eastAsia="Arial" w:hAnsi="Arial"/>
          <w:sz w:val="22"/>
          <w:szCs w:val="22"/>
          <w:color w:val="auto"/>
        </w:rPr>
      </w:pPr>
      <w:r>
        <w:rPr>
          <w:rFonts w:ascii="Arial" w:cs="Arial" w:eastAsia="Arial" w:hAnsi="Arial"/>
          <w:sz w:val="22"/>
          <w:szCs w:val="22"/>
          <w:b w:val="1"/>
          <w:bCs w:val="1"/>
          <w:color w:val="auto"/>
        </w:rPr>
        <w:t>Lock-Up Agreement</w:t>
      </w:r>
      <w:r>
        <w:rPr>
          <w:rFonts w:ascii="Arial" w:cs="Arial" w:eastAsia="Arial" w:hAnsi="Arial"/>
          <w:sz w:val="22"/>
          <w:szCs w:val="22"/>
          <w:color w:val="auto"/>
        </w:rPr>
        <w:t>. The Holder agrees that upon the request of the Company or the managing underwriter(s)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securities of the 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86" w:lineRule="exact"/>
        <w:rPr>
          <w:rFonts w:ascii="Arial" w:cs="Arial" w:eastAsia="Arial" w:hAnsi="Arial"/>
          <w:sz w:val="22"/>
          <w:szCs w:val="22"/>
          <w:color w:val="auto"/>
        </w:rPr>
      </w:pPr>
    </w:p>
    <w:p>
      <w:pPr>
        <w:ind w:left="652" w:right="60" w:hanging="652"/>
        <w:spacing w:after="0" w:line="269" w:lineRule="auto"/>
        <w:tabs>
          <w:tab w:leader="none" w:pos="652" w:val="left"/>
        </w:tabs>
        <w:numPr>
          <w:ilvl w:val="0"/>
          <w:numId w:val="258"/>
        </w:numPr>
        <w:rPr>
          <w:rFonts w:ascii="Arial" w:cs="Arial" w:eastAsia="Arial" w:hAnsi="Arial"/>
          <w:sz w:val="22"/>
          <w:szCs w:val="22"/>
          <w:color w:val="auto"/>
        </w:rPr>
      </w:pPr>
      <w:r>
        <w:rPr>
          <w:rFonts w:ascii="Arial" w:cs="Arial" w:eastAsia="Arial" w:hAnsi="Arial"/>
          <w:sz w:val="22"/>
          <w:szCs w:val="22"/>
          <w:b w:val="1"/>
          <w:bCs w:val="1"/>
          <w:color w:val="auto"/>
        </w:rPr>
        <w:t>Tax Withholding</w:t>
      </w:r>
      <w:r>
        <w:rPr>
          <w:rFonts w:ascii="Arial" w:cs="Arial" w:eastAsia="Arial" w:hAnsi="Arial"/>
          <w:sz w:val="22"/>
          <w:szCs w:val="22"/>
          <w:color w:val="auto"/>
        </w:rPr>
        <w:t>. The Company’s obligation to deliver shares shall be subject to the Holder’s satisfaction of any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and local income and employment tax withholding requirements.</w:t>
      </w:r>
    </w:p>
    <w:p>
      <w:pPr>
        <w:spacing w:after="0" w:line="161" w:lineRule="exact"/>
        <w:rPr>
          <w:rFonts w:ascii="Arial" w:cs="Arial" w:eastAsia="Arial" w:hAnsi="Arial"/>
          <w:sz w:val="22"/>
          <w:szCs w:val="22"/>
          <w:color w:val="auto"/>
        </w:rPr>
      </w:pPr>
    </w:p>
    <w:p>
      <w:pPr>
        <w:ind w:left="652" w:right="200" w:hanging="652"/>
        <w:spacing w:after="0" w:line="274" w:lineRule="auto"/>
        <w:tabs>
          <w:tab w:leader="none" w:pos="652" w:val="left"/>
        </w:tabs>
        <w:numPr>
          <w:ilvl w:val="0"/>
          <w:numId w:val="258"/>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Any notice to be given to the Company hereunder shall be deemed sufficient if addressed to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to the office of the Company, Seer, Inc., 3800 Bridge Parkway, Suite 102, Redwood City, CA 94065, attention of the President, or such other address as the Company may hereafter designate.</w:t>
      </w:r>
    </w:p>
    <w:p>
      <w:pPr>
        <w:spacing w:after="0" w:line="164" w:lineRule="exact"/>
        <w:rPr>
          <w:rFonts w:ascii="Arial" w:cs="Arial" w:eastAsia="Arial" w:hAnsi="Arial"/>
          <w:sz w:val="21"/>
          <w:szCs w:val="21"/>
          <w:color w:val="auto"/>
        </w:rPr>
      </w:pPr>
    </w:p>
    <w:p>
      <w:pPr>
        <w:jc w:val="both"/>
        <w:ind w:left="652" w:right="240"/>
        <w:spacing w:after="0" w:line="253" w:lineRule="auto"/>
        <w:rPr>
          <w:rFonts w:ascii="Arial" w:cs="Arial" w:eastAsia="Arial" w:hAnsi="Arial"/>
          <w:sz w:val="21"/>
          <w:szCs w:val="21"/>
          <w:color w:val="auto"/>
        </w:rPr>
      </w:pPr>
      <w:r>
        <w:rPr>
          <w:rFonts w:ascii="Arial" w:cs="Arial" w:eastAsia="Arial" w:hAnsi="Arial"/>
          <w:sz w:val="22"/>
          <w:szCs w:val="22"/>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ectPr>
          <w:pgSz w:w="11900" w:h="16838" w:orient="portrait"/>
          <w:cols w:equalWidth="0" w:num="1">
            <w:col w:w="11212"/>
          </w:cols>
          <w:pgMar w:left="328" w:top="1422" w:right="359" w:bottom="1440" w:gutter="0" w:footer="0" w:header="0"/>
        </w:sectPr>
      </w:pPr>
    </w:p>
    <w:bookmarkStart w:id="316" w:name="page317"/>
    <w:bookmarkEnd w:id="316"/>
    <w:p>
      <w:pPr>
        <w:ind w:left="660"/>
        <w:spacing w:after="0"/>
        <w:rPr>
          <w:sz w:val="20"/>
          <w:szCs w:val="20"/>
          <w:color w:val="auto"/>
        </w:rPr>
      </w:pPr>
      <w:r>
        <w:rPr>
          <w:rFonts w:ascii="Arial" w:cs="Arial" w:eastAsia="Arial" w:hAnsi="Arial"/>
          <w:sz w:val="19"/>
          <w:szCs w:val="19"/>
          <w:color w:val="auto"/>
        </w:rPr>
        <w:t>IN WITNESS WHEREOF, the parties have executed this Option, or caused this Option to be executed, as of the Date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3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auto"/>
        </w:rPr>
        <w:t>SEER, INC.</w:t>
      </w:r>
    </w:p>
    <w:p>
      <w:pPr>
        <w:spacing w:after="0" w:line="320"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24130</wp:posOffset>
            </wp:positionV>
            <wp:extent cx="2922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4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7686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[Seer, Inc. NSO Option Grant]</w:t>
      </w:r>
    </w:p>
    <w:p>
      <w:pPr>
        <w:sectPr>
          <w:pgSz w:w="11900" w:h="16838" w:orient="portrait"/>
          <w:cols w:equalWidth="0" w:num="1">
            <w:col w:w="11040"/>
          </w:cols>
          <w:pgMar w:left="320" w:top="1428" w:right="539" w:bottom="1440" w:gutter="0" w:footer="0" w:header="0"/>
        </w:sectPr>
      </w:pPr>
    </w:p>
    <w:bookmarkStart w:id="317" w:name="page318"/>
    <w:bookmarkEnd w:id="317"/>
    <w:p>
      <w:pPr>
        <w:jc w:val="right"/>
        <w:spacing w:after="0"/>
        <w:rPr>
          <w:sz w:val="20"/>
          <w:szCs w:val="20"/>
          <w:color w:val="auto"/>
        </w:rPr>
      </w:pPr>
      <w:r>
        <w:rPr>
          <w:rFonts w:ascii="Arial" w:cs="Arial" w:eastAsia="Arial" w:hAnsi="Arial"/>
          <w:sz w:val="22"/>
          <w:szCs w:val="22"/>
          <w:color w:val="auto"/>
        </w:rPr>
        <w:t>APPENDIX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Refusal</w:t>
      </w:r>
    </w:p>
    <w:p>
      <w:pPr>
        <w:spacing w:after="0" w:line="200" w:lineRule="exact"/>
        <w:rPr>
          <w:sz w:val="20"/>
          <w:szCs w:val="20"/>
          <w:color w:val="auto"/>
        </w:rPr>
      </w:pPr>
    </w:p>
    <w:p>
      <w:pPr>
        <w:spacing w:after="0" w:line="236" w:lineRule="exact"/>
        <w:rPr>
          <w:sz w:val="20"/>
          <w:szCs w:val="20"/>
          <w:color w:val="auto"/>
        </w:rPr>
      </w:pPr>
    </w:p>
    <w:p>
      <w:pPr>
        <w:ind w:right="220" w:firstLine="1385"/>
        <w:spacing w:after="0" w:line="293" w:lineRule="auto"/>
        <w:tabs>
          <w:tab w:leader="none" w:pos="1944" w:val="left"/>
        </w:tabs>
        <w:numPr>
          <w:ilvl w:val="0"/>
          <w:numId w:val="2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Prior to the effective date of a registration statement under the Securities Act of 1933,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(the “</w:t>
      </w:r>
      <w:r>
        <w:rPr>
          <w:rFonts w:ascii="Arial" w:cs="Arial" w:eastAsia="Arial" w:hAnsi="Arial"/>
          <w:sz w:val="19"/>
          <w:szCs w:val="19"/>
          <w:u w:val="single" w:color="auto"/>
          <w:color w:val="auto"/>
        </w:rPr>
        <w:t>Act</w:t>
      </w:r>
      <w:r>
        <w:rPr>
          <w:rFonts w:ascii="Arial" w:cs="Arial" w:eastAsia="Arial" w:hAnsi="Arial"/>
          <w:sz w:val="19"/>
          <w:szCs w:val="19"/>
          <w:color w:val="auto"/>
        </w:rPr>
        <w:t>”), covering 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44" w:lineRule="exact"/>
        <w:rPr>
          <w:rFonts w:ascii="Arial" w:cs="Arial" w:eastAsia="Arial" w:hAnsi="Arial"/>
          <w:sz w:val="19"/>
          <w:szCs w:val="19"/>
          <w:b w:val="1"/>
          <w:bCs w:val="1"/>
          <w:color w:val="auto"/>
        </w:rPr>
      </w:pPr>
    </w:p>
    <w:p>
      <w:pPr>
        <w:ind w:right="20" w:firstLine="1385"/>
        <w:spacing w:after="0" w:line="267" w:lineRule="auto"/>
        <w:tabs>
          <w:tab w:leader="none" w:pos="1944"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of Intended Transfer. </w:t>
      </w:r>
      <w:r>
        <w:rPr>
          <w:rFonts w:ascii="Arial" w:cs="Arial" w:eastAsia="Arial" w:hAnsi="Arial"/>
          <w:sz w:val="21"/>
          <w:szCs w:val="21"/>
          <w:color w:val="auto"/>
        </w:rPr>
        <w:t>The notice shall state the number of shares offered, the name of the person</w:t>
      </w:r>
      <w:r>
        <w:rPr>
          <w:rFonts w:ascii="Arial" w:cs="Arial" w:eastAsia="Arial" w:hAnsi="Arial"/>
          <w:sz w:val="21"/>
          <w:szCs w:val="21"/>
          <w:b w:val="1"/>
          <w:bCs w:val="1"/>
          <w:color w:val="auto"/>
        </w:rPr>
        <w:t xml:space="preserve"> </w:t>
      </w:r>
      <w:r>
        <w:rPr>
          <w:rFonts w:ascii="Arial" w:cs="Arial" w:eastAsia="Arial" w:hAnsi="Arial"/>
          <w:sz w:val="21"/>
          <w:szCs w:val="21"/>
          <w:color w:val="auto"/>
        </w:rPr>
        <w:t>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67" w:lineRule="exact"/>
        <w:rPr>
          <w:rFonts w:ascii="Arial" w:cs="Arial" w:eastAsia="Arial" w:hAnsi="Arial"/>
          <w:sz w:val="21"/>
          <w:szCs w:val="21"/>
          <w:b w:val="1"/>
          <w:bCs w:val="1"/>
          <w:color w:val="auto"/>
        </w:rPr>
      </w:pPr>
    </w:p>
    <w:p>
      <w:pPr>
        <w:ind w:right="20" w:firstLine="1385"/>
        <w:spacing w:after="0" w:line="259" w:lineRule="auto"/>
        <w:tabs>
          <w:tab w:leader="none" w:pos="1944"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Company to Accept or Decline Within 30 Days. </w:t>
      </w:r>
      <w:r>
        <w:rPr>
          <w:rFonts w:ascii="Arial" w:cs="Arial" w:eastAsia="Arial" w:hAnsi="Arial"/>
          <w:sz w:val="21"/>
          <w:szCs w:val="21"/>
          <w:color w:val="auto"/>
        </w:rPr>
        <w:t>The Company may accept the offer as to all, but not less</w:t>
      </w:r>
      <w:r>
        <w:rPr>
          <w:rFonts w:ascii="Arial" w:cs="Arial" w:eastAsia="Arial" w:hAnsi="Arial"/>
          <w:sz w:val="21"/>
          <w:szCs w:val="21"/>
          <w:b w:val="1"/>
          <w:bCs w:val="1"/>
          <w:color w:val="auto"/>
        </w:rPr>
        <w:t xml:space="preserve"> </w:t>
      </w:r>
      <w:r>
        <w:rPr>
          <w:rFonts w:ascii="Arial" w:cs="Arial" w:eastAsia="Arial" w:hAnsi="Arial"/>
          <w:sz w:val="21"/>
          <w:szCs w:val="21"/>
          <w:color w:val="auto"/>
        </w:rPr>
        <w:t>than all, such shares by 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79" w:lineRule="exact"/>
        <w:rPr>
          <w:rFonts w:ascii="Arial" w:cs="Arial" w:eastAsia="Arial" w:hAnsi="Arial"/>
          <w:sz w:val="21"/>
          <w:szCs w:val="21"/>
          <w:b w:val="1"/>
          <w:bCs w:val="1"/>
          <w:color w:val="auto"/>
        </w:rPr>
      </w:pPr>
    </w:p>
    <w:p>
      <w:pPr>
        <w:ind w:right="180" w:firstLine="1385"/>
        <w:spacing w:after="0" w:line="252" w:lineRule="auto"/>
        <w:tabs>
          <w:tab w:leader="none" w:pos="1944"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Transferred Shares to Remain Subject to Right of First Refusal. </w:t>
      </w:r>
      <w:r>
        <w:rPr>
          <w:rFonts w:ascii="Arial" w:cs="Arial" w:eastAsia="Arial" w:hAnsi="Arial"/>
          <w:sz w:val="22"/>
          <w:szCs w:val="22"/>
          <w:color w:val="auto"/>
        </w:rPr>
        <w:t>Shares that are so transferred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79" w:lineRule="exact"/>
        <w:rPr>
          <w:rFonts w:ascii="Arial" w:cs="Arial" w:eastAsia="Arial" w:hAnsi="Arial"/>
          <w:sz w:val="22"/>
          <w:szCs w:val="22"/>
          <w:b w:val="1"/>
          <w:bCs w:val="1"/>
          <w:color w:val="auto"/>
        </w:rPr>
      </w:pPr>
    </w:p>
    <w:p>
      <w:pPr>
        <w:jc w:val="both"/>
        <w:ind w:right="140" w:firstLine="1385"/>
        <w:spacing w:after="0" w:line="304" w:lineRule="auto"/>
        <w:tabs>
          <w:tab w:leader="none" w:pos="1944" w:val="left"/>
        </w:tabs>
        <w:numPr>
          <w:ilvl w:val="0"/>
          <w:numId w:val="2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Remedies of Company. </w:t>
      </w:r>
      <w:r>
        <w:rPr>
          <w:rFonts w:ascii="Arial" w:cs="Arial" w:eastAsia="Arial" w:hAnsi="Arial"/>
          <w:sz w:val="19"/>
          <w:szCs w:val="19"/>
          <w:color w:val="auto"/>
        </w:rPr>
        <w:t>No sale, assignment, pledge or other transfer of any of the shares covered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w:t>
      </w:r>
    </w:p>
    <w:p>
      <w:pPr>
        <w:sectPr>
          <w:pgSz w:w="11900" w:h="16838" w:orient="portrait"/>
          <w:cols w:equalWidth="0" w:num="1">
            <w:col w:w="11240"/>
          </w:cols>
          <w:pgMar w:left="320" w:top="1428" w:right="339" w:bottom="1440" w:gutter="0" w:footer="0" w:header="0"/>
        </w:sectPr>
      </w:pPr>
    </w:p>
    <w:bookmarkStart w:id="318" w:name="page319"/>
    <w:bookmarkEnd w:id="318"/>
    <w:p>
      <w:pPr>
        <w:spacing w:after="0" w:line="247" w:lineRule="auto"/>
        <w:rPr>
          <w:sz w:val="20"/>
          <w:szCs w:val="20"/>
          <w:color w:val="auto"/>
        </w:rPr>
      </w:pPr>
      <w:r>
        <w:rPr>
          <w:rFonts w:ascii="Arial" w:cs="Arial" w:eastAsia="Arial" w:hAnsi="Arial"/>
          <w:sz w:val="22"/>
          <w:szCs w:val="22"/>
          <w:color w:val="auto"/>
        </w:rPr>
        <w:t>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87" w:lineRule="exact"/>
        <w:rPr>
          <w:sz w:val="20"/>
          <w:szCs w:val="20"/>
          <w:color w:val="auto"/>
        </w:rPr>
      </w:pPr>
    </w:p>
    <w:p>
      <w:pPr>
        <w:ind w:right="140" w:firstLine="1385"/>
        <w:spacing w:after="0" w:line="298" w:lineRule="auto"/>
        <w:tabs>
          <w:tab w:leader="none" w:pos="1944" w:val="left"/>
        </w:tabs>
        <w:numPr>
          <w:ilvl w:val="1"/>
          <w:numId w:val="2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Shares Subject to Right of First Refusal. </w:t>
      </w:r>
      <w:r>
        <w:rPr>
          <w:rFonts w:ascii="Arial" w:cs="Arial" w:eastAsia="Arial" w:hAnsi="Arial"/>
          <w:sz w:val="19"/>
          <w:szCs w:val="19"/>
          <w:color w:val="auto"/>
        </w:rPr>
        <w:t>For purposes of the Right of First Refusal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Appendix A, the term “</w:t>
      </w:r>
      <w:r>
        <w:rPr>
          <w:rFonts w:ascii="Arial" w:cs="Arial" w:eastAsia="Arial" w:hAnsi="Arial"/>
          <w:sz w:val="19"/>
          <w:szCs w:val="19"/>
          <w:u w:val="single" w:color="auto"/>
          <w:color w:val="auto"/>
        </w:rPr>
        <w:t>shares</w:t>
      </w:r>
      <w:r>
        <w:rPr>
          <w:rFonts w:ascii="Arial" w:cs="Arial" w:eastAsia="Arial" w:hAnsi="Arial"/>
          <w:sz w:val="19"/>
          <w:szCs w:val="19"/>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42" w:lineRule="exact"/>
        <w:rPr>
          <w:rFonts w:ascii="Arial" w:cs="Arial" w:eastAsia="Arial" w:hAnsi="Arial"/>
          <w:sz w:val="19"/>
          <w:szCs w:val="19"/>
          <w:b w:val="1"/>
          <w:bCs w:val="1"/>
          <w:color w:val="auto"/>
        </w:rPr>
      </w:pPr>
    </w:p>
    <w:p>
      <w:pPr>
        <w:ind w:right="240" w:firstLine="1385"/>
        <w:spacing w:after="0" w:line="269" w:lineRule="auto"/>
        <w:tabs>
          <w:tab w:leader="none" w:pos="1944" w:val="left"/>
        </w:tabs>
        <w:numPr>
          <w:ilvl w:val="1"/>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Legends on Stock Certificates. </w:t>
      </w:r>
      <w:r>
        <w:rPr>
          <w:rFonts w:ascii="Arial" w:cs="Arial" w:eastAsia="Arial" w:hAnsi="Arial"/>
          <w:sz w:val="22"/>
          <w:szCs w:val="22"/>
          <w:color w:val="auto"/>
        </w:rPr>
        <w:t>Any certificate representing shares of stock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Appendix A may have endorsed thereon one or more legends, substantially as follows:</w:t>
      </w:r>
    </w:p>
    <w:p>
      <w:pPr>
        <w:spacing w:after="0" w:line="167" w:lineRule="exact"/>
        <w:rPr>
          <w:rFonts w:ascii="Arial" w:cs="Arial" w:eastAsia="Arial" w:hAnsi="Arial"/>
          <w:sz w:val="22"/>
          <w:szCs w:val="22"/>
          <w:b w:val="1"/>
          <w:bCs w:val="1"/>
          <w:color w:val="auto"/>
        </w:rPr>
      </w:pPr>
    </w:p>
    <w:p>
      <w:pPr>
        <w:ind w:left="2600" w:right="100" w:hanging="648"/>
        <w:spacing w:after="0" w:line="248" w:lineRule="auto"/>
        <w:tabs>
          <w:tab w:leader="none" w:pos="2588" w:val="left"/>
        </w:tabs>
        <w:numPr>
          <w:ilvl w:val="2"/>
          <w:numId w:val="260"/>
        </w:numPr>
        <w:rPr>
          <w:rFonts w:ascii="Arial" w:cs="Arial" w:eastAsia="Arial" w:hAnsi="Arial"/>
          <w:sz w:val="22"/>
          <w:szCs w:val="22"/>
          <w:color w:val="auto"/>
        </w:rPr>
      </w:pPr>
      <w:r>
        <w:rPr>
          <w:rFonts w:ascii="Arial" w:cs="Arial" w:eastAsia="Arial" w:hAnsi="Arial"/>
          <w:sz w:val="22"/>
          <w:szCs w:val="22"/>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91" w:lineRule="exact"/>
        <w:rPr>
          <w:rFonts w:ascii="Arial" w:cs="Arial" w:eastAsia="Arial" w:hAnsi="Arial"/>
          <w:sz w:val="22"/>
          <w:szCs w:val="22"/>
          <w:color w:val="auto"/>
        </w:rPr>
      </w:pPr>
    </w:p>
    <w:p>
      <w:pPr>
        <w:ind w:left="2600" w:hanging="648"/>
        <w:spacing w:after="0" w:line="297" w:lineRule="auto"/>
        <w:tabs>
          <w:tab w:leader="none" w:pos="2594" w:val="left"/>
        </w:tabs>
        <w:numPr>
          <w:ilvl w:val="2"/>
          <w:numId w:val="260"/>
        </w:numPr>
        <w:rPr>
          <w:rFonts w:ascii="Arial" w:cs="Arial" w:eastAsia="Arial" w:hAnsi="Arial"/>
          <w:sz w:val="19"/>
          <w:szCs w:val="19"/>
          <w:color w:val="auto"/>
        </w:rPr>
      </w:pPr>
      <w:r>
        <w:rPr>
          <w:rFonts w:ascii="Arial" w:cs="Arial" w:eastAsia="Arial" w:hAnsi="Arial"/>
          <w:sz w:val="19"/>
          <w:szCs w:val="19"/>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40" w:lineRule="exact"/>
        <w:rPr>
          <w:rFonts w:ascii="Arial" w:cs="Arial" w:eastAsia="Arial" w:hAnsi="Arial"/>
          <w:sz w:val="19"/>
          <w:szCs w:val="19"/>
          <w:color w:val="auto"/>
        </w:rPr>
      </w:pPr>
    </w:p>
    <w:p>
      <w:pPr>
        <w:ind w:right="60" w:firstLine="1304"/>
        <w:spacing w:after="0" w:line="256" w:lineRule="auto"/>
        <w:tabs>
          <w:tab w:leader="none" w:pos="1944"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 of First Refusal to Lapse Upon Registration. </w:t>
      </w:r>
      <w:r>
        <w:rPr>
          <w:rFonts w:ascii="Arial" w:cs="Arial" w:eastAsia="Arial" w:hAnsi="Arial"/>
          <w:sz w:val="22"/>
          <w:szCs w:val="22"/>
          <w:color w:val="auto"/>
        </w:rPr>
        <w:t>The restrictions imposed by this Appendix A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in all respects upon the effective date of a registration statement under the Act covering any of the Company’s Class A Common Stock.</w:t>
      </w:r>
    </w:p>
    <w:p>
      <w:pPr>
        <w:sectPr>
          <w:pgSz w:w="11900" w:h="16838" w:orient="portrait"/>
          <w:cols w:equalWidth="0" w:num="1">
            <w:col w:w="11180"/>
          </w:cols>
          <w:pgMar w:left="320" w:top="1428" w:right="399" w:bottom="1440" w:gutter="0" w:footer="0" w:header="0"/>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72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PURCHASE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Seer, Inc. 2017 Stock Incentive Plan)</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This Restricted Stock Purchase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by and between Seer,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undersigned Purchaser </w:t>
      </w:r>
      <w:r>
        <w:rPr>
          <w:rFonts w:ascii="Arial" w:cs="Arial" w:eastAsia="Arial" w:hAnsi="Arial"/>
          <w:sz w:val="21"/>
          <w:szCs w:val="21"/>
          <w:b w:val="1"/>
          <w:bCs w:val="1"/>
          <w:color w:val="auto"/>
        </w:rPr>
        <w:t>(</w:t>
      </w:r>
      <w:r>
        <w:rPr>
          <w:rFonts w:ascii="Arial" w:cs="Arial" w:eastAsia="Arial" w:hAnsi="Arial"/>
          <w:sz w:val="21"/>
          <w:szCs w:val="21"/>
          <w:color w:val="auto"/>
        </w:rPr>
        <w:t>the “</w:t>
      </w:r>
      <w:r>
        <w:rPr>
          <w:rFonts w:ascii="Arial" w:cs="Arial" w:eastAsia="Arial" w:hAnsi="Arial"/>
          <w:sz w:val="21"/>
          <w:szCs w:val="21"/>
          <w:b w:val="1"/>
          <w:bCs w:val="1"/>
          <w:i w:val="1"/>
          <w:iCs w:val="1"/>
          <w:color w:val="auto"/>
        </w:rPr>
        <w:t>Purchaser</w:t>
      </w:r>
      <w:r>
        <w:rPr>
          <w:rFonts w:ascii="Arial" w:cs="Arial" w:eastAsia="Arial" w:hAnsi="Arial"/>
          <w:sz w:val="21"/>
          <w:szCs w:val="21"/>
          <w:color w:val="auto"/>
        </w:rPr>
        <w:t>”). In consideration of the mutual promises and covenants contained in this Agreement, and for other good and valuable consideration, the receipt and sufficiency of which are hereby acknowledged, the parties hereto agree as follows in connection with the issuance of shares of Class A Common Stock, par value $0.00001 per share, of the Company specified below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subject to the terms and conditions stated below and those attached hereto, all of which terms and conditions are incorporated herein and made a part hereof. The Shares are being purchased pursuant to the Purchaser’s exercise of an option granted under the Company’s 2017 Stock Incentive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pursuant to [See Carta] Stock Option Agreement dated [See Carta] (the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w:t>
      </w:r>
    </w:p>
    <w:p>
      <w:pPr>
        <w:sectPr>
          <w:pgSz w:w="11900" w:h="16838" w:orient="portrait"/>
          <w:cols w:equalWidth="0" w:num="1">
            <w:col w:w="9900"/>
          </w:cols>
          <w:pgMar w:left="1000" w:top="1440" w:right="99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Purchaser: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 of Purchaser: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of this Agreement: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Number of Shares: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Purchase Price per Share: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Aggregate Purchase Price: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Repurchase Price per Share:</w:t>
      </w:r>
    </w:p>
    <w:p>
      <w:pPr>
        <w:spacing w:after="0" w:line="112" w:lineRule="exact"/>
        <w:rPr>
          <w:sz w:val="20"/>
          <w:szCs w:val="20"/>
          <w:color w:val="auto"/>
        </w:rPr>
      </w:pPr>
    </w:p>
    <w:p>
      <w:pPr>
        <w:ind w:left="20" w:right="3260"/>
        <w:spacing w:after="0" w:line="250" w:lineRule="auto"/>
        <w:rPr>
          <w:sz w:val="20"/>
          <w:szCs w:val="20"/>
          <w:color w:val="auto"/>
        </w:rPr>
      </w:pPr>
      <w:r>
        <w:rPr>
          <w:rFonts w:ascii="Arial" w:cs="Arial" w:eastAsia="Arial" w:hAnsi="Arial"/>
          <w:sz w:val="22"/>
          <w:szCs w:val="22"/>
          <w:color w:val="auto"/>
        </w:rPr>
        <w:t>Number of Shares that are Vested Shares on the Vesting Start Date: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21"/>
          <w:szCs w:val="21"/>
          <w:color w:val="auto"/>
        </w:rPr>
        <w:t>Number of Shares that are Unvested Shares on the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Start Date: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Start Date: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Unvested Shares shall vest as follows: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Carta]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Carta]</w:t>
      </w:r>
    </w:p>
    <w:p>
      <w:pPr>
        <w:spacing w:after="0" w:line="1692" w:lineRule="exact"/>
        <w:rPr>
          <w:sz w:val="20"/>
          <w:szCs w:val="20"/>
          <w:color w:val="auto"/>
        </w:rPr>
      </w:pPr>
    </w:p>
    <w:p>
      <w:pPr>
        <w:sectPr>
          <w:pgSz w:w="11900" w:h="16838" w:orient="portrait"/>
          <w:cols w:equalWidth="0" w:num="2">
            <w:col w:w="8100" w:space="720"/>
            <w:col w:w="1080"/>
          </w:cols>
          <w:pgMar w:left="1000" w:top="1440" w:right="999" w:bottom="1440" w:gutter="0" w:footer="0" w:header="0"/>
          <w:type w:val="continuous"/>
        </w:sectPr>
      </w:pPr>
    </w:p>
    <w:p>
      <w:pPr>
        <w:spacing w:after="0" w:line="2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All vesting is dependent on the Purchaser serving the Company in one or more Qualified Positions (as hereafter defined) continuously from the date hereof through such vesting date, as provided herein. Unvested Shares and Vested Shares are subject to certain transfer restrictions set forth herein.</w:t>
      </w:r>
    </w:p>
    <w:p>
      <w:pPr>
        <w:sectPr>
          <w:pgSz w:w="11900" w:h="16838" w:orient="portrait"/>
          <w:cols w:equalWidth="0" w:num="1">
            <w:col w:w="9900"/>
          </w:cols>
          <w:pgMar w:left="1000" w:top="1440" w:right="999" w:bottom="1440" w:gutter="0" w:footer="0" w:header="0"/>
          <w:type w:val="continuous"/>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876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58762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Acknowledgement</w:t>
      </w:r>
    </w:p>
    <w:p>
      <w:pPr>
        <w:spacing w:after="0" w:line="220"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color w:val="auto"/>
        </w:rPr>
        <w:t xml:space="preserve">The Purchaser acknowledges having read the terms and conditions set forth above and in the Incorporated Terms and Conditions attached hereto, including the subsection entitled “Section 83(b) Election,” and having had an opportunity to discuss them with counsel of the Purchaser’s choosing. </w:t>
      </w:r>
      <w:r>
        <w:rPr>
          <w:rFonts w:ascii="Arial" w:cs="Arial" w:eastAsia="Arial" w:hAnsi="Arial"/>
          <w:sz w:val="21"/>
          <w:szCs w:val="21"/>
          <w:b w:val="1"/>
          <w:bCs w:val="1"/>
          <w:i w:val="1"/>
          <w:iCs w:val="1"/>
          <w:color w:val="auto"/>
        </w:rPr>
        <w:t>The Purchaser further acknowledges that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 xml:space="preserve">if the Option Agreement is an incentive stock option as of the date hereof, an 83(b) Election will be effective only with respect to the “alternative minimum tax” and </w:t>
      </w:r>
      <w:r>
        <w:rPr>
          <w:rFonts w:ascii="Arial" w:cs="Arial" w:eastAsia="Arial" w:hAnsi="Arial"/>
          <w:sz w:val="21"/>
          <w:szCs w:val="21"/>
          <w:b w:val="1"/>
          <w:bCs w:val="1"/>
          <w:i w:val="1"/>
          <w:iCs w:val="1"/>
          <w:u w:val="single" w:color="auto"/>
          <w:color w:val="auto"/>
        </w:rPr>
        <w:t>not</w:t>
      </w:r>
      <w:r>
        <w:rPr>
          <w:rFonts w:ascii="Arial" w:cs="Arial" w:eastAsia="Arial" w:hAnsi="Arial"/>
          <w:sz w:val="21"/>
          <w:szCs w:val="21"/>
          <w:b w:val="1"/>
          <w:bCs w:val="1"/>
          <w:i w:val="1"/>
          <w:iCs w:val="1"/>
          <w:color w:val="auto"/>
        </w:rPr>
        <w:t xml:space="preserve"> with respect to income tax. </w:t>
      </w:r>
      <w:r>
        <w:rPr>
          <w:rFonts w:ascii="Arial" w:cs="Arial" w:eastAsia="Arial" w:hAnsi="Arial"/>
          <w:sz w:val="21"/>
          <w:szCs w:val="21"/>
          <w:color w:val="auto"/>
        </w:rPr>
        <w:t>The Purchaser has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consulted has or her tax adviser with respect to the tax consequences of early exercise of an ISO, including filing or not filing an 83(b) Election.</w:t>
      </w:r>
    </w:p>
    <w:p>
      <w:pPr>
        <w:spacing w:after="0" w:line="180"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22"/>
          <w:szCs w:val="22"/>
          <w:color w:val="auto"/>
        </w:rPr>
        <w:t>By signing below, the Purchaser agrees to purchase the Number of Shares set forth above for the Aggregate Purchase Price set forth above, and further agrees to and accepts the terms and conditions set forth above and attached hereto.</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as an agreement under seal as of the Date of this Agreement.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500" w:type="dxa"/>
            <w:vAlign w:val="bottom"/>
            <w:gridSpan w:val="2"/>
          </w:tcPr>
          <w:p>
            <w:pPr>
              <w:ind w:left="40"/>
              <w:spacing w:after="0"/>
              <w:rPr>
                <w:sz w:val="20"/>
                <w:szCs w:val="20"/>
                <w:color w:val="auto"/>
              </w:rPr>
            </w:pPr>
            <w:r>
              <w:rPr>
                <w:rFonts w:ascii="Arial" w:cs="Arial" w:eastAsia="Arial" w:hAnsi="Arial"/>
                <w:sz w:val="22"/>
                <w:szCs w:val="22"/>
                <w:b w:val="1"/>
                <w:bCs w:val="1"/>
                <w:color w:val="auto"/>
              </w:rPr>
              <w:t>Purchaser:</w:t>
            </w:r>
          </w:p>
        </w:tc>
        <w:tc>
          <w:tcPr>
            <w:tcW w:w="5400" w:type="dxa"/>
            <w:vAlign w:val="bottom"/>
            <w:gridSpan w:val="2"/>
          </w:tcPr>
          <w:p>
            <w:pPr>
              <w:ind w:left="920"/>
              <w:spacing w:after="0"/>
              <w:rPr>
                <w:sz w:val="20"/>
                <w:szCs w:val="20"/>
                <w:color w:val="auto"/>
              </w:rPr>
            </w:pPr>
            <w:r>
              <w:rPr>
                <w:rFonts w:ascii="Arial" w:cs="Arial" w:eastAsia="Arial" w:hAnsi="Arial"/>
                <w:sz w:val="22"/>
                <w:szCs w:val="22"/>
                <w:b w:val="1"/>
                <w:bCs w:val="1"/>
                <w:color w:val="auto"/>
              </w:rPr>
              <w:t>Seer, Inc.</w:t>
            </w:r>
          </w:p>
        </w:tc>
      </w:tr>
      <w:tr>
        <w:trPr>
          <w:trHeight w:val="848"/>
        </w:trPr>
        <w:tc>
          <w:tcPr>
            <w:tcW w:w="10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0" w:type="dxa"/>
            <w:vAlign w:val="bottom"/>
          </w:tcPr>
          <w:p>
            <w:pPr>
              <w:ind w:left="920"/>
              <w:spacing w:after="0"/>
              <w:rPr>
                <w:sz w:val="20"/>
                <w:szCs w:val="20"/>
                <w:color w:val="auto"/>
              </w:rPr>
            </w:pPr>
            <w:r>
              <w:rPr>
                <w:rFonts w:ascii="Arial" w:cs="Arial" w:eastAsia="Arial" w:hAnsi="Arial"/>
                <w:sz w:val="22"/>
                <w:szCs w:val="22"/>
                <w:color w:val="auto"/>
              </w:rPr>
              <w:t>By:</w:t>
            </w:r>
          </w:p>
        </w:tc>
        <w:tc>
          <w:tcPr>
            <w:tcW w:w="4000" w:type="dxa"/>
            <w:vAlign w:val="bottom"/>
            <w:tcBorders>
              <w:bottom w:val="single" w:sz="8" w:color="auto"/>
            </w:tcBorders>
          </w:tcPr>
          <w:p>
            <w:pPr>
              <w:spacing w:after="0"/>
              <w:rPr>
                <w:sz w:val="24"/>
                <w:szCs w:val="24"/>
                <w:color w:val="auto"/>
              </w:rPr>
            </w:pPr>
          </w:p>
        </w:tc>
      </w:tr>
      <w:tr>
        <w:trPr>
          <w:trHeight w:val="280"/>
        </w:trPr>
        <w:tc>
          <w:tcPr>
            <w:tcW w:w="4500" w:type="dxa"/>
            <w:vAlign w:val="bottom"/>
            <w:gridSpan w:val="2"/>
          </w:tcPr>
          <w:p>
            <w:pPr>
              <w:ind w:left="40"/>
              <w:spacing w:after="0"/>
              <w:rPr>
                <w:sz w:val="20"/>
                <w:szCs w:val="20"/>
                <w:color w:val="auto"/>
              </w:rPr>
            </w:pPr>
            <w:r>
              <w:rPr>
                <w:rFonts w:ascii="Arial" w:cs="Arial" w:eastAsia="Arial" w:hAnsi="Arial"/>
                <w:sz w:val="22"/>
                <w:szCs w:val="22"/>
                <w:b w:val="1"/>
                <w:bCs w:val="1"/>
                <w:color w:val="auto"/>
              </w:rPr>
              <w:t>[See Carta]</w:t>
            </w:r>
          </w:p>
        </w:tc>
        <w:tc>
          <w:tcPr>
            <w:tcW w:w="5400" w:type="dxa"/>
            <w:vAlign w:val="bottom"/>
            <w:gridSpan w:val="2"/>
          </w:tcPr>
          <w:p>
            <w:pPr>
              <w:ind w:left="920"/>
              <w:spacing w:after="0"/>
              <w:rPr>
                <w:sz w:val="20"/>
                <w:szCs w:val="20"/>
                <w:color w:val="auto"/>
              </w:rPr>
            </w:pPr>
            <w:r>
              <w:rPr>
                <w:rFonts w:ascii="Arial" w:cs="Arial" w:eastAsia="Arial" w:hAnsi="Arial"/>
                <w:sz w:val="22"/>
                <w:szCs w:val="22"/>
                <w:color w:val="auto"/>
              </w:rPr>
              <w:t>Name:</w:t>
            </w:r>
          </w:p>
        </w:tc>
      </w:tr>
      <w:tr>
        <w:trPr>
          <w:trHeight w:val="297"/>
        </w:trPr>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0" w:type="dxa"/>
            <w:vAlign w:val="bottom"/>
            <w:gridSpan w:val="2"/>
          </w:tcPr>
          <w:p>
            <w:pPr>
              <w:ind w:left="920"/>
              <w:spacing w:after="0"/>
              <w:rPr>
                <w:sz w:val="20"/>
                <w:szCs w:val="20"/>
                <w:color w:val="auto"/>
              </w:rPr>
            </w:pPr>
            <w:r>
              <w:rPr>
                <w:rFonts w:ascii="Arial" w:cs="Arial" w:eastAsia="Arial" w:hAnsi="Arial"/>
                <w:sz w:val="22"/>
                <w:szCs w:val="22"/>
                <w:color w:val="auto"/>
              </w:rPr>
              <w:t>Title:</w:t>
            </w:r>
          </w:p>
        </w:tc>
      </w:tr>
      <w:tr>
        <w:trPr>
          <w:trHeight w:val="577"/>
        </w:trPr>
        <w:tc>
          <w:tcPr>
            <w:tcW w:w="4500" w:type="dxa"/>
            <w:vAlign w:val="bottom"/>
            <w:gridSpan w:val="2"/>
          </w:tcPr>
          <w:p>
            <w:pPr>
              <w:ind w:left="40"/>
              <w:spacing w:after="0"/>
              <w:rPr>
                <w:sz w:val="20"/>
                <w:szCs w:val="20"/>
                <w:color w:val="auto"/>
              </w:rPr>
            </w:pPr>
            <w:r>
              <w:rPr>
                <w:rFonts w:ascii="Arial" w:cs="Arial" w:eastAsia="Arial" w:hAnsi="Arial"/>
                <w:sz w:val="22"/>
                <w:szCs w:val="22"/>
                <w:color w:val="auto"/>
              </w:rPr>
              <w:t>Address:</w:t>
            </w:r>
          </w:p>
        </w:tc>
        <w:tc>
          <w:tcPr>
            <w:tcW w:w="1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1020" w:type="dxa"/>
            <w:vAlign w:val="bottom"/>
          </w:tcPr>
          <w:p>
            <w:pPr>
              <w:spacing w:after="0"/>
              <w:rPr>
                <w:sz w:val="24"/>
                <w:szCs w:val="24"/>
                <w:color w:val="auto"/>
              </w:rPr>
            </w:pPr>
          </w:p>
        </w:tc>
        <w:tc>
          <w:tcPr>
            <w:tcW w:w="3480" w:type="dxa"/>
            <w:vAlign w:val="bottom"/>
            <w:tcBorders>
              <w:top w:val="single" w:sz="8" w:color="auto"/>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98"/>
        </w:trPr>
        <w:tc>
          <w:tcPr>
            <w:tcW w:w="10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2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E-mail:</w:t>
      </w:r>
    </w:p>
    <w:p>
      <w:pPr>
        <w:sectPr>
          <w:pgSz w:w="11900" w:h="16838" w:orient="portrait"/>
          <w:cols w:equalWidth="0" w:num="1">
            <w:col w:w="9920"/>
          </w:cols>
          <w:pgMar w:left="980" w:top="1440" w:right="999" w:bottom="1440" w:gutter="0" w:footer="0" w:header="0"/>
        </w:sectPr>
      </w:pPr>
    </w:p>
    <w:bookmarkStart w:id="321" w:name="page322"/>
    <w:bookmarkEnd w:id="321"/>
    <w:p>
      <w:pPr>
        <w:jc w:val="center"/>
        <w:ind w:right="-39"/>
        <w:spacing w:after="0"/>
        <w:rPr>
          <w:sz w:val="20"/>
          <w:szCs w:val="20"/>
          <w:color w:val="auto"/>
        </w:rPr>
      </w:pPr>
      <w:r>
        <w:rPr>
          <w:rFonts w:ascii="Arial" w:cs="Arial" w:eastAsia="Arial" w:hAnsi="Arial"/>
          <w:sz w:val="22"/>
          <w:szCs w:val="22"/>
          <w:b w:val="1"/>
          <w:bCs w:val="1"/>
          <w:color w:val="auto"/>
        </w:rPr>
        <w:t>SEER, INC.</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Restricted Stock Purchase Agreement – Incorporated Terms and Conditions</w:t>
      </w:r>
    </w:p>
    <w:p>
      <w:pPr>
        <w:spacing w:after="0" w:line="226"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Agreement Subject to Stock Incentive Plan</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This Agreement is and shall be subject in every respect to the provisions of the Plan, which is incorporated herein by reference and made a part hereof. The Purchaser acknowledges that this Agreement shall be subject to all the terms and provisions of the Plan and agrees that (a) in the event of any conflict between the terms hereof and those of the Plan, the latter shall prevail, and (b) decisions under and interpretations of the Plan by the Board of Directors of the Company (or any committee thereof) shall be final, binding and conclusive upon the Purchaser and the Purchaser’s heirs and legal representatives.</w:t>
      </w:r>
    </w:p>
    <w:p>
      <w:pPr>
        <w:spacing w:after="0" w:line="147"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Purchase and Sale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47" w:lineRule="auto"/>
        <w:tabs>
          <w:tab w:leader="none" w:pos="1293" w:val="left"/>
        </w:tabs>
        <w:numPr>
          <w:ilvl w:val="1"/>
          <w:numId w:val="263"/>
        </w:numPr>
        <w:rPr>
          <w:rFonts w:ascii="Arial" w:cs="Arial" w:eastAsia="Arial" w:hAnsi="Arial"/>
          <w:sz w:val="22"/>
          <w:szCs w:val="22"/>
          <w:color w:val="auto"/>
        </w:rPr>
      </w:pPr>
      <w:r>
        <w:rPr>
          <w:rFonts w:ascii="Arial" w:cs="Arial" w:eastAsia="Arial" w:hAnsi="Arial"/>
          <w:sz w:val="22"/>
          <w:szCs w:val="22"/>
          <w:color w:val="auto"/>
        </w:rPr>
        <w:t xml:space="preserve">Simultaneously with the execution and delivery of this Agreement, the Purchaser is purchasing from the Company the Number of Shares listed on the signature page hereto for the Aggregate Purchase Price listed on the signature page hereto, subject to the Purchaser’s delivery obligations set forth in this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The Purchaser shall deliver to the Company: (a) the Aggregate Purchase Price by check payable to the order of the Company; and (b) a stock power, duly executed by the Purchaser in blank as described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The Company will hold the executed stock certificate representing the Stock pursuant to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140" w:firstLine="656"/>
        <w:spacing w:after="0" w:line="297" w:lineRule="auto"/>
        <w:tabs>
          <w:tab w:leader="none" w:pos="1291"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(as defined on the signature page hereto) shall also include any shares of capital stock of the Company issued to the Purchaser by virtue of his or her ownership of the Shares, by stock dividend, stock split, recapitalization, merger, combination, reorganization or otherwise. Shares that are subject to the Company’s repurchase right as described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Agreement are referred to as “</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 and Shares that are not subject to such repurchase right, or as to which such repurchase right has lapsed, are referred to as “</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Representations of Purchaser</w:t>
      </w:r>
      <w:r>
        <w:rPr>
          <w:rFonts w:ascii="Arial" w:cs="Arial" w:eastAsia="Arial" w:hAnsi="Arial"/>
          <w:sz w:val="22"/>
          <w:szCs w:val="22"/>
          <w:color w:val="auto"/>
        </w:rPr>
        <w:t>. The Purchaser represents and warrants to the Company as follows:</w:t>
      </w:r>
    </w:p>
    <w:p>
      <w:pPr>
        <w:spacing w:after="0" w:line="219" w:lineRule="exact"/>
        <w:rPr>
          <w:rFonts w:ascii="Arial" w:cs="Arial" w:eastAsia="Arial" w:hAnsi="Arial"/>
          <w:sz w:val="22"/>
          <w:szCs w:val="22"/>
          <w:color w:val="auto"/>
        </w:rPr>
      </w:pPr>
    </w:p>
    <w:p>
      <w:pPr>
        <w:ind w:right="120" w:firstLine="656"/>
        <w:spacing w:after="0" w:line="261" w:lineRule="auto"/>
        <w:tabs>
          <w:tab w:leader="none" w:pos="1293" w:val="left"/>
        </w:tabs>
        <w:numPr>
          <w:ilvl w:val="1"/>
          <w:numId w:val="263"/>
        </w:numPr>
        <w:rPr>
          <w:rFonts w:ascii="Arial" w:cs="Arial" w:eastAsia="Arial" w:hAnsi="Arial"/>
          <w:sz w:val="21"/>
          <w:szCs w:val="21"/>
          <w:color w:val="auto"/>
        </w:rPr>
      </w:pPr>
      <w:r>
        <w:rPr>
          <w:rFonts w:ascii="Arial" w:cs="Arial" w:eastAsia="Arial" w:hAnsi="Arial"/>
          <w:sz w:val="21"/>
          <w:szCs w:val="21"/>
          <w:color w:val="auto"/>
        </w:rPr>
        <w:t>The Purchaser understands that the Shares have not been registered under the Securities Act of 1933, as amended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or registered or qualified under the securities or “Blue Sky” laws of any jurisdiction, and are being sold pursuant to exemptions contained in the Act and exemptions contained in other applicable securities or “Blue Sky” laws. The Purchaser understands further that the Company’s reliance on these exemptions is based in part on the representations made by the Purchaser in this Agreement. The offer and sale of the Shares is being made to the Purchaser solely in the state shown in the address set forth below the Purchaser’s name on the signature page hereto.</w:t>
      </w:r>
    </w:p>
    <w:p>
      <w:pPr>
        <w:spacing w:after="0" w:line="179" w:lineRule="exact"/>
        <w:rPr>
          <w:rFonts w:ascii="Arial" w:cs="Arial" w:eastAsia="Arial" w:hAnsi="Arial"/>
          <w:sz w:val="21"/>
          <w:szCs w:val="21"/>
          <w:color w:val="auto"/>
        </w:rPr>
      </w:pPr>
    </w:p>
    <w:p>
      <w:pPr>
        <w:ind w:right="80" w:firstLine="656"/>
        <w:spacing w:after="0" w:line="263" w:lineRule="auto"/>
        <w:tabs>
          <w:tab w:leader="none" w:pos="1291"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Purchaser is acquiring the Shares for the Purchaser’s own account for investment, and not for, with a view to, or in connection with the resale or distribution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2" w:right="359" w:bottom="1440" w:gutter="0" w:footer="0" w:header="0"/>
        </w:sectPr>
      </w:pPr>
    </w:p>
    <w:bookmarkStart w:id="322" w:name="page323"/>
    <w:bookmarkEnd w:id="322"/>
    <w:p>
      <w:pPr>
        <w:ind w:right="140"/>
        <w:spacing w:after="0" w:line="247" w:lineRule="auto"/>
        <w:rPr>
          <w:sz w:val="20"/>
          <w:szCs w:val="20"/>
          <w:color w:val="auto"/>
        </w:rPr>
      </w:pPr>
      <w:r>
        <w:rPr>
          <w:rFonts w:ascii="Arial" w:cs="Arial" w:eastAsia="Arial" w:hAnsi="Arial"/>
          <w:sz w:val="22"/>
          <w:szCs w:val="22"/>
          <w:color w:val="auto"/>
        </w:rPr>
        <w:t>The Purchaser has no present intention to sell, hypothecate, distribute or otherwise transfer (hereafter, “</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any of the Shares or any interest therein. The nature and amount of the Purchaser’s investment in the Shares are consistent with the Purchaser’s investment objectives, abilities and resources. The Purchaser understands that the Shares are an illiquid investment, which will not become freely transferable by reason of any change of circumstances whatsoever. The Purchaser has adequate means of providing for the Purchaser’s current needs and possible contingencies and has no need for liquidity in the Purchaser’s investment.</w:t>
      </w:r>
    </w:p>
    <w:p>
      <w:pPr>
        <w:spacing w:after="0" w:line="193" w:lineRule="exact"/>
        <w:rPr>
          <w:sz w:val="20"/>
          <w:szCs w:val="20"/>
          <w:color w:val="auto"/>
        </w:rPr>
      </w:pPr>
    </w:p>
    <w:p>
      <w:pPr>
        <w:ind w:firstLine="656"/>
        <w:spacing w:after="0" w:line="290" w:lineRule="auto"/>
        <w:tabs>
          <w:tab w:leader="none" w:pos="129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The Purchaser understands that the Shares will constitute “restricted securities” within the meaning of Rule 144 promulgated under the Act and that, as such, the Shares must be held indefinitely unless they are subsequently registered under the Act or unless an exemption from the registration requirements thereof is available. The Purchaser has been advised that Rule 144, which permits the resale, subject to various terms and conditions, of such “restricted securities” after they have been held for specified periods of time does not now apply to the Company, because the Company is not now required to file, and does not file, periodic reports under the Securities Exchange Act of 1934, as amended, and because information concerning the Company substantially equivalent to that which would be available if the Company were required to file such reports is not now publicly available. The Company may become a reporting entity at some future date, but no assurance can be given that it will do so.</w:t>
      </w:r>
    </w:p>
    <w:p>
      <w:pPr>
        <w:spacing w:after="0" w:line="155" w:lineRule="exact"/>
        <w:rPr>
          <w:rFonts w:ascii="Arial" w:cs="Arial" w:eastAsia="Arial" w:hAnsi="Arial"/>
          <w:sz w:val="19"/>
          <w:szCs w:val="19"/>
          <w:color w:val="auto"/>
        </w:rPr>
      </w:pPr>
    </w:p>
    <w:p>
      <w:pPr>
        <w:ind w:right="20" w:firstLine="656"/>
        <w:spacing w:after="0" w:line="253" w:lineRule="auto"/>
        <w:tabs>
          <w:tab w:leader="none" w:pos="1291" w:val="left"/>
        </w:tabs>
        <w:numPr>
          <w:ilvl w:val="1"/>
          <w:numId w:val="264"/>
        </w:numPr>
        <w:rPr>
          <w:rFonts w:ascii="Arial" w:cs="Arial" w:eastAsia="Arial" w:hAnsi="Arial"/>
          <w:sz w:val="22"/>
          <w:szCs w:val="22"/>
          <w:color w:val="auto"/>
        </w:rPr>
      </w:pPr>
      <w:r>
        <w:rPr>
          <w:rFonts w:ascii="Arial" w:cs="Arial" w:eastAsia="Arial" w:hAnsi="Arial"/>
          <w:sz w:val="22"/>
          <w:szCs w:val="22"/>
          <w:color w:val="auto"/>
        </w:rPr>
        <w:t xml:space="preserve">The Purchaser accepts the condition that the Company will maintain stop transfer orders with respect to the Shares and that each certificate or other document evidencing the Shares will bear a conspicuous legend in substantially the form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of this Agreement.</w:t>
      </w:r>
    </w:p>
    <w:p>
      <w:pPr>
        <w:spacing w:after="0" w:line="185" w:lineRule="exact"/>
        <w:rPr>
          <w:rFonts w:ascii="Arial" w:cs="Arial" w:eastAsia="Arial" w:hAnsi="Arial"/>
          <w:sz w:val="22"/>
          <w:szCs w:val="22"/>
          <w:color w:val="auto"/>
        </w:rPr>
      </w:pPr>
    </w:p>
    <w:p>
      <w:pPr>
        <w:ind w:right="20" w:firstLine="656"/>
        <w:spacing w:after="0" w:line="292" w:lineRule="auto"/>
        <w:tabs>
          <w:tab w:leader="none" w:pos="129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The Purchaser has consulted the Purchaser’s attorney or the Purchaser’s accountant with respect to the Purchaser’s purchase of the Shares. The Purchaser and such attorney or accountant have fully investigated the Company and its business and financial condition and have knowledge of the Company’s current activities. The Company has granted the Purchaser and the Purchaser’s attorney or accountant access to all information about the Company which they have requested and has offered each of them access to all further information which they deemed relevant to an investment decision with respect to the Shares. The Purchaser and the Purchaser’s attorney or accountant have had the opportunity to ask questions of, and receive answers from, representatives of the Company concerning such information and the Company’s financial condition and prospects.</w:t>
      </w:r>
    </w:p>
    <w:p>
      <w:pPr>
        <w:spacing w:after="0" w:line="150" w:lineRule="exact"/>
        <w:rPr>
          <w:rFonts w:ascii="Arial" w:cs="Arial" w:eastAsia="Arial" w:hAnsi="Arial"/>
          <w:sz w:val="19"/>
          <w:szCs w:val="19"/>
          <w:color w:val="auto"/>
        </w:rPr>
      </w:pPr>
    </w:p>
    <w:p>
      <w:pPr>
        <w:ind w:right="20" w:firstLine="8"/>
        <w:spacing w:after="0" w:line="343" w:lineRule="auto"/>
        <w:tabs>
          <w:tab w:leader="none" w:pos="648"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The terms and conditions of this Section 4 shall apply to any Transfer or proposed transfer of the Shares and such terms and conditions shall govern to the extent of any conflict with any provision of the Option Agreement.</w:t>
      </w:r>
    </w:p>
    <w:p>
      <w:pPr>
        <w:spacing w:after="0" w:line="104" w:lineRule="exact"/>
        <w:rPr>
          <w:rFonts w:ascii="Arial" w:cs="Arial" w:eastAsia="Arial" w:hAnsi="Arial"/>
          <w:sz w:val="19"/>
          <w:szCs w:val="19"/>
          <w:color w:val="auto"/>
        </w:rPr>
      </w:pPr>
    </w:p>
    <w:p>
      <w:pPr>
        <w:ind w:firstLine="656"/>
        <w:spacing w:after="0" w:line="265" w:lineRule="auto"/>
        <w:tabs>
          <w:tab w:leader="none" w:pos="1293" w:val="left"/>
        </w:tabs>
        <w:numPr>
          <w:ilvl w:val="1"/>
          <w:numId w:val="265"/>
        </w:numPr>
        <w:rPr>
          <w:rFonts w:ascii="Arial" w:cs="Arial" w:eastAsia="Arial" w:hAnsi="Arial"/>
          <w:sz w:val="21"/>
          <w:szCs w:val="21"/>
          <w:color w:val="auto"/>
        </w:rPr>
      </w:pPr>
      <w:r>
        <w:rPr>
          <w:rFonts w:ascii="Arial" w:cs="Arial" w:eastAsia="Arial" w:hAnsi="Arial"/>
          <w:sz w:val="21"/>
          <w:szCs w:val="21"/>
          <w:color w:val="auto"/>
        </w:rPr>
        <w:t>No Shares, or any interest therein, may be Transferred at any time or under any circumstances unless (i) the Shares proposed to be Transferred have been registered under the Act and registered or qualified under applicable state securities laws, or (ii) the Company has received an opinion of counsel acceptable to the Company to the effect that such Transfer may be effected without registration under the Act and registration or qualification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323" w:name="page324"/>
    <w:bookmarkEnd w:id="323"/>
    <w:p>
      <w:pPr>
        <w:ind w:right="20"/>
        <w:spacing w:after="0" w:line="263" w:lineRule="auto"/>
        <w:rPr>
          <w:sz w:val="20"/>
          <w:szCs w:val="20"/>
          <w:color w:val="auto"/>
        </w:rPr>
      </w:pPr>
      <w:r>
        <w:rPr>
          <w:rFonts w:ascii="Arial" w:cs="Arial" w:eastAsia="Arial" w:hAnsi="Arial"/>
          <w:sz w:val="22"/>
          <w:szCs w:val="22"/>
          <w:color w:val="auto"/>
        </w:rPr>
        <w:t>securities laws of relevant states and the proposed transferee has made such representations and agreements as the Company shall require to assure compliance with the Act and such laws.</w:t>
      </w:r>
    </w:p>
    <w:p>
      <w:pPr>
        <w:spacing w:after="0" w:line="175" w:lineRule="exact"/>
        <w:rPr>
          <w:sz w:val="20"/>
          <w:szCs w:val="20"/>
          <w:color w:val="auto"/>
        </w:rPr>
      </w:pPr>
    </w:p>
    <w:p>
      <w:pPr>
        <w:ind w:right="120" w:firstLine="656"/>
        <w:spacing w:after="0" w:line="263" w:lineRule="auto"/>
        <w:tabs>
          <w:tab w:leader="none" w:pos="129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No Unvested Share, and no interest in an Unvested Share, may be Transferred except to the Company pursuant to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this Agreement.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Right of First Refusal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4"/>
        <w:spacing w:after="0" w:line="246" w:lineRule="auto"/>
        <w:tabs>
          <w:tab w:leader="none" w:pos="1932" w:val="left"/>
        </w:tabs>
        <w:numPr>
          <w:ilvl w:val="1"/>
          <w:numId w:val="266"/>
        </w:numPr>
        <w:rPr>
          <w:rFonts w:ascii="Arial" w:cs="Arial" w:eastAsia="Arial" w:hAnsi="Arial"/>
          <w:sz w:val="22"/>
          <w:szCs w:val="22"/>
          <w:color w:val="auto"/>
        </w:rPr>
      </w:pPr>
      <w:r>
        <w:rPr>
          <w:rFonts w:ascii="Arial" w:cs="Arial" w:eastAsia="Arial" w:hAnsi="Arial"/>
          <w:sz w:val="22"/>
          <w:szCs w:val="22"/>
          <w:u w:val="single" w:color="auto"/>
          <w:color w:val="auto"/>
        </w:rPr>
        <w:t>Offer of Sale; Notice of Proposed Sale or Transfer</w:t>
      </w:r>
      <w:r>
        <w:rPr>
          <w:rFonts w:ascii="Arial" w:cs="Arial" w:eastAsia="Arial" w:hAnsi="Arial"/>
          <w:sz w:val="22"/>
          <w:szCs w:val="22"/>
          <w:color w:val="auto"/>
        </w:rPr>
        <w:t>. In the event that at any time the Purchaser desires to Transfer any Vested Shares or any interest therein, the Purchaser shall first deliver written notice of the Purchaser’s desire to do so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the Company. The Notice must specify the number of Vested Shares proposed to be Transferred, the name of the person or persons to whom the Purchaser proposes to Transfer such Shares, the price at which such Shares are intended to be Transferred and all other terms of the transaction, which must be bona fide. The Notice shall constitute an offer by the Purchaser to the Company for the Company to purchase such Shares on such terms and at a price per share equal to the price stated in the Notice.</w:t>
      </w:r>
    </w:p>
    <w:p>
      <w:pPr>
        <w:spacing w:after="0" w:line="196" w:lineRule="exact"/>
        <w:rPr>
          <w:rFonts w:ascii="Arial" w:cs="Arial" w:eastAsia="Arial" w:hAnsi="Arial"/>
          <w:sz w:val="22"/>
          <w:szCs w:val="22"/>
          <w:color w:val="auto"/>
        </w:rPr>
      </w:pPr>
    </w:p>
    <w:p>
      <w:pPr>
        <w:ind w:right="180" w:firstLine="1304"/>
        <w:spacing w:after="0" w:line="312" w:lineRule="auto"/>
        <w:tabs>
          <w:tab w:leader="none" w:pos="1938" w:val="left"/>
        </w:tabs>
        <w:numPr>
          <w:ilvl w:val="1"/>
          <w:numId w:val="266"/>
        </w:numPr>
        <w:rPr>
          <w:rFonts w:ascii="Arial" w:cs="Arial" w:eastAsia="Arial" w:hAnsi="Arial"/>
          <w:sz w:val="19"/>
          <w:szCs w:val="19"/>
          <w:color w:val="auto"/>
        </w:rPr>
      </w:pPr>
      <w:r>
        <w:rPr>
          <w:rFonts w:ascii="Arial" w:cs="Arial" w:eastAsia="Arial" w:hAnsi="Arial"/>
          <w:sz w:val="19"/>
          <w:szCs w:val="19"/>
          <w:u w:val="single" w:color="auto"/>
          <w:color w:val="auto"/>
        </w:rPr>
        <w:t>Company’s Option to Purchase</w:t>
      </w:r>
      <w:r>
        <w:rPr>
          <w:rFonts w:ascii="Arial" w:cs="Arial" w:eastAsia="Arial" w:hAnsi="Arial"/>
          <w:sz w:val="19"/>
          <w:szCs w:val="19"/>
          <w:color w:val="auto"/>
        </w:rPr>
        <w:t>. The Company shall have the option to purchase all or any part of the Shares offered in the Notice for the price and on the terms specified in such Notice. The Company must exercise such option by giving written notice to the Purchaser no later than fifteen (15) business days after receipt of such Notice.</w:t>
      </w:r>
    </w:p>
    <w:p>
      <w:pPr>
        <w:spacing w:after="0" w:line="133" w:lineRule="exact"/>
        <w:rPr>
          <w:rFonts w:ascii="Arial" w:cs="Arial" w:eastAsia="Arial" w:hAnsi="Arial"/>
          <w:sz w:val="19"/>
          <w:szCs w:val="19"/>
          <w:color w:val="auto"/>
        </w:rPr>
      </w:pPr>
    </w:p>
    <w:p>
      <w:pPr>
        <w:ind w:right="200" w:firstLine="1304"/>
        <w:spacing w:after="0" w:line="261" w:lineRule="auto"/>
        <w:tabs>
          <w:tab w:leader="none" w:pos="1944" w:val="left"/>
        </w:tabs>
        <w:numPr>
          <w:ilvl w:val="1"/>
          <w:numId w:val="266"/>
        </w:numPr>
        <w:rPr>
          <w:rFonts w:ascii="Arial" w:cs="Arial" w:eastAsia="Arial" w:hAnsi="Arial"/>
          <w:sz w:val="21"/>
          <w:szCs w:val="21"/>
          <w:color w:val="auto"/>
        </w:rPr>
      </w:pPr>
      <w:r>
        <w:rPr>
          <w:rFonts w:ascii="Arial" w:cs="Arial" w:eastAsia="Arial" w:hAnsi="Arial"/>
          <w:sz w:val="21"/>
          <w:szCs w:val="21"/>
          <w:u w:val="single" w:color="auto"/>
          <w:color w:val="auto"/>
        </w:rPr>
        <w:t>Closing of Purchase by Company</w:t>
      </w:r>
      <w:r>
        <w:rPr>
          <w:rFonts w:ascii="Arial" w:cs="Arial" w:eastAsia="Arial" w:hAnsi="Arial"/>
          <w:sz w:val="21"/>
          <w:szCs w:val="21"/>
          <w:color w:val="auto"/>
        </w:rPr>
        <w:t>. In the event the Company duly exercises its option to purchase all or a portion of the Shares, the closing of such purchase shall take place at the offices of the Company on the fifth business day after the expiration of the fifteen-day period. Upon the occurrence of the closing, the Purchaser shall transfer to the Company the number of Shares specified in the Company’s notice, free of all liens, encumbrances and rights of others, and shall deliver the certificate(s) representing the number of Shares that the Company has elected to repurchase, as well as the duly executed stock powers accompanying such certificate(s).</w:t>
      </w:r>
    </w:p>
    <w:p>
      <w:pPr>
        <w:spacing w:after="0" w:line="179" w:lineRule="exact"/>
        <w:rPr>
          <w:rFonts w:ascii="Arial" w:cs="Arial" w:eastAsia="Arial" w:hAnsi="Arial"/>
          <w:sz w:val="21"/>
          <w:szCs w:val="21"/>
          <w:color w:val="auto"/>
        </w:rPr>
      </w:pPr>
    </w:p>
    <w:p>
      <w:pPr>
        <w:ind w:right="40" w:firstLine="1304"/>
        <w:spacing w:after="0" w:line="294" w:lineRule="auto"/>
        <w:tabs>
          <w:tab w:leader="none" w:pos="1932" w:val="left"/>
        </w:tabs>
        <w:numPr>
          <w:ilvl w:val="1"/>
          <w:numId w:val="266"/>
        </w:numPr>
        <w:rPr>
          <w:rFonts w:ascii="Arial" w:cs="Arial" w:eastAsia="Arial" w:hAnsi="Arial"/>
          <w:sz w:val="19"/>
          <w:szCs w:val="19"/>
          <w:color w:val="auto"/>
        </w:rPr>
      </w:pPr>
      <w:r>
        <w:rPr>
          <w:rFonts w:ascii="Arial" w:cs="Arial" w:eastAsia="Arial" w:hAnsi="Arial"/>
          <w:sz w:val="19"/>
          <w:szCs w:val="19"/>
          <w:u w:val="single" w:color="auto"/>
          <w:color w:val="auto"/>
        </w:rPr>
        <w:t>Failure to Fully Exercise Option to Purchase</w:t>
      </w:r>
      <w:r>
        <w:rPr>
          <w:rFonts w:ascii="Arial" w:cs="Arial" w:eastAsia="Arial" w:hAnsi="Arial"/>
          <w:sz w:val="19"/>
          <w:szCs w:val="19"/>
          <w:color w:val="auto"/>
        </w:rPr>
        <w:t>. If within the applicable time period, the Purchaser does not receive notice of the Company’s intention to purchase the offered Shares, the offer shall be deemed to have been rejected. In such event, the Purchaser may Transfer title to the offered Shares within ninety (90) days from the date of the Notice, but such Transfer shall be made only to the proposed transferee or transferees and at the proposed price and on such other terms as stated in such Notice. Shares that are so Transferred shall remain subject to this Agreement and, as a condition to any Transfer, the Purchaser shall obtain a written agreement from the transferee by which the transferee agrees to be bound by this Agreement.</w:t>
      </w:r>
    </w:p>
    <w:p>
      <w:pPr>
        <w:spacing w:after="0" w:line="149" w:lineRule="exact"/>
        <w:rPr>
          <w:rFonts w:ascii="Arial" w:cs="Arial" w:eastAsia="Arial" w:hAnsi="Arial"/>
          <w:sz w:val="19"/>
          <w:szCs w:val="19"/>
          <w:color w:val="auto"/>
        </w:rPr>
      </w:pPr>
    </w:p>
    <w:p>
      <w:pPr>
        <w:ind w:firstLine="656"/>
        <w:spacing w:after="0" w:line="265" w:lineRule="auto"/>
        <w:tabs>
          <w:tab w:leader="none" w:pos="129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xml:space="preserve">Subject to the restrictions set forth in the Plan, if the Purchaser is a natural person, all, or any portion of, the Shares may, without compliance with the provisions of this </w:t>
      </w:r>
      <w:r>
        <w:rPr>
          <w:rFonts w:ascii="Arial" w:cs="Arial" w:eastAsia="Arial" w:hAnsi="Arial"/>
          <w:sz w:val="21"/>
          <w:szCs w:val="21"/>
          <w:u w:val="single" w:color="auto"/>
          <w:color w:val="auto"/>
        </w:rPr>
        <w:t>Section 4</w:t>
      </w:r>
      <w:r>
        <w:rPr>
          <w:rFonts w:ascii="Arial" w:cs="Arial" w:eastAsia="Arial" w:hAnsi="Arial"/>
          <w:sz w:val="21"/>
          <w:szCs w:val="21"/>
          <w:color w:val="auto"/>
        </w:rPr>
        <w:t>, be Transferred by the Purchaser for bona fide estate planning purposes to a member of the Purchaser’s immediate family, to a family partnership or to a family trust or, on the Purchaser’s death, may be Transferred to the Purchaser’s estate or to those entitled to a distribution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24" w:name="page325"/>
    <w:bookmarkEnd w:id="324"/>
    <w:p>
      <w:pPr>
        <w:ind w:right="300"/>
        <w:spacing w:after="0" w:line="250" w:lineRule="auto"/>
        <w:rPr>
          <w:sz w:val="20"/>
          <w:szCs w:val="20"/>
          <w:color w:val="auto"/>
        </w:rPr>
      </w:pPr>
      <w:r>
        <w:rPr>
          <w:rFonts w:ascii="Arial" w:cs="Arial" w:eastAsia="Arial" w:hAnsi="Arial"/>
          <w:sz w:val="22"/>
          <w:szCs w:val="22"/>
          <w:color w:val="auto"/>
        </w:rPr>
        <w:t>Shares under the laws of descent and distribution; provided, that Shares that are so Transferred shall remain subject to this Agreement and, as a condition to any Transfer, the Purchaser or the Purchaser’s legal representative shall obtain a written agreement from the proposed transferee or transferees by which such transferee agrees or transferees agree to be bound by this Agreement.</w:t>
      </w:r>
    </w:p>
    <w:p>
      <w:pPr>
        <w:spacing w:after="0" w:line="188" w:lineRule="exact"/>
        <w:rPr>
          <w:sz w:val="20"/>
          <w:szCs w:val="20"/>
          <w:color w:val="auto"/>
        </w:rPr>
      </w:pPr>
    </w:p>
    <w:p>
      <w:pPr>
        <w:ind w:right="80" w:firstLine="656"/>
        <w:spacing w:after="0" w:line="260" w:lineRule="auto"/>
        <w:tabs>
          <w:tab w:leader="none" w:pos="1293"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xml:space="preserve">No Transfer of Shares shall be effective or given effect on the books of the Company unless all of the applicable provisions of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have been duly complied with. The Company shall not be required to recognize as one of its stockholders any purported transferee of Shares which have been attempted to have been Transferred in violation of this Agreement, including, without limitation, for purposes of dividend and voting rights. The restrictions on transfer imposed by this Agreement shall apply not only to voluntary transfers but also to involuntary transfers, by operation of law or otherwise. The Purchaser shall pay all legal fees and expenses of the Company arising out of or relating to any purported sale, assignment or transfer of any Shares in violation of this Agreement.</w:t>
      </w:r>
    </w:p>
    <w:p>
      <w:pPr>
        <w:spacing w:after="0" w:line="180" w:lineRule="exact"/>
        <w:rPr>
          <w:rFonts w:ascii="Arial" w:cs="Arial" w:eastAsia="Arial" w:hAnsi="Arial"/>
          <w:sz w:val="21"/>
          <w:szCs w:val="21"/>
          <w:color w:val="auto"/>
        </w:rPr>
      </w:pPr>
    </w:p>
    <w:p>
      <w:pPr>
        <w:ind w:firstLine="656"/>
        <w:spacing w:after="0" w:line="248" w:lineRule="auto"/>
        <w:tabs>
          <w:tab w:leader="none" w:pos="1296" w:val="left"/>
        </w:tabs>
        <w:numPr>
          <w:ilvl w:val="1"/>
          <w:numId w:val="267"/>
        </w:numPr>
        <w:rPr>
          <w:rFonts w:ascii="Arial" w:cs="Arial" w:eastAsia="Arial" w:hAnsi="Arial"/>
          <w:sz w:val="22"/>
          <w:szCs w:val="22"/>
          <w:color w:val="auto"/>
        </w:rPr>
      </w:pPr>
      <w:r>
        <w:rPr>
          <w:rFonts w:ascii="Arial" w:cs="Arial" w:eastAsia="Arial" w:hAnsi="Arial"/>
          <w:sz w:val="22"/>
          <w:szCs w:val="22"/>
          <w:u w:val="single" w:color="auto"/>
          <w:color w:val="auto"/>
        </w:rPr>
        <w:t>Lock-Up</w:t>
      </w:r>
      <w:r>
        <w:rPr>
          <w:rFonts w:ascii="Arial" w:cs="Arial" w:eastAsia="Arial" w:hAnsi="Arial"/>
          <w:sz w:val="22"/>
          <w:szCs w:val="22"/>
          <w:color w:val="auto"/>
        </w:rPr>
        <w:t xml:space="preserve">. The Purchaser agrees that, for a period of up to 180 days from the effective date of any registration of securities of the Company, the Purchaser will not Transfer any Shares held by the Purchaser without the prior written consent of the Company or such underwriters, as the case may be, all as fully provided in Section 5.3 of the Plan. The Purchaser further agrees to execute such agreements as may be reasonably requested by the underwriters that are consistent with this </w:t>
      </w:r>
      <w:r>
        <w:rPr>
          <w:rFonts w:ascii="Arial" w:cs="Arial" w:eastAsia="Arial" w:hAnsi="Arial"/>
          <w:sz w:val="22"/>
          <w:szCs w:val="22"/>
          <w:u w:val="single" w:color="auto"/>
          <w:color w:val="auto"/>
        </w:rPr>
        <w:t>Section 4(f)</w:t>
      </w:r>
      <w:r>
        <w:rPr>
          <w:rFonts w:ascii="Arial" w:cs="Arial" w:eastAsia="Arial" w:hAnsi="Arial"/>
          <w:sz w:val="22"/>
          <w:szCs w:val="22"/>
          <w:color w:val="auto"/>
        </w:rPr>
        <w:t xml:space="preserve"> or that are necessary to give further effect thereto.</w:t>
      </w:r>
    </w:p>
    <w:p>
      <w:pPr>
        <w:spacing w:after="0" w:line="191" w:lineRule="exact"/>
        <w:rPr>
          <w:rFonts w:ascii="Arial" w:cs="Arial" w:eastAsia="Arial" w:hAnsi="Arial"/>
          <w:sz w:val="22"/>
          <w:szCs w:val="22"/>
          <w:color w:val="auto"/>
        </w:rPr>
      </w:pPr>
    </w:p>
    <w:p>
      <w:pPr>
        <w:ind w:right="180" w:firstLine="656"/>
        <w:spacing w:after="0" w:line="294" w:lineRule="auto"/>
        <w:tabs>
          <w:tab w:leader="none" w:pos="1291"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The rights of the Company and the obligations of the Purchaser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are in addition to all rights and obligations which the Purchaser may have under other Sections of this Agreement or under other agreements between the Company and the Purchaser regarding the Shares (the “</w:t>
      </w:r>
      <w:r>
        <w:rPr>
          <w:rFonts w:ascii="Arial" w:cs="Arial" w:eastAsia="Arial" w:hAnsi="Arial"/>
          <w:sz w:val="19"/>
          <w:szCs w:val="19"/>
          <w:b w:val="1"/>
          <w:bCs w:val="1"/>
          <w:i w:val="1"/>
          <w:iCs w:val="1"/>
          <w:color w:val="auto"/>
        </w:rPr>
        <w:t>Other Agreements</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not give the Purchaser any right to make any Transfer of any Shares which is otherwise prohibited by any other Section of this Agreement or the Other Agreements. In addition, any failure by the Company to exercise its repurchase right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in no way affect any rights, including repurchase rights, the Company may have under any of the Other Agreements.</w:t>
      </w:r>
    </w:p>
    <w:p>
      <w:pPr>
        <w:spacing w:after="0" w:line="149" w:lineRule="exact"/>
        <w:rPr>
          <w:rFonts w:ascii="Arial" w:cs="Arial" w:eastAsia="Arial" w:hAnsi="Arial"/>
          <w:sz w:val="19"/>
          <w:szCs w:val="19"/>
          <w:color w:val="auto"/>
        </w:rPr>
      </w:pPr>
    </w:p>
    <w:p>
      <w:pPr>
        <w:ind w:right="240" w:firstLine="656"/>
        <w:spacing w:after="0" w:line="263" w:lineRule="auto"/>
        <w:tabs>
          <w:tab w:leader="none" w:pos="1291" w:val="left"/>
        </w:tabs>
        <w:numPr>
          <w:ilvl w:val="1"/>
          <w:numId w:val="267"/>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at no time shall the Purchaser Transfer any Shares or any interest therein to a competitor of the Company without the approval of the Board of Directors.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Vesting of Shares; Repurchase of Unvested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656"/>
        <w:spacing w:after="0" w:line="294" w:lineRule="auto"/>
        <w:tabs>
          <w:tab w:leader="none" w:pos="1293" w:val="left"/>
        </w:tabs>
        <w:numPr>
          <w:ilvl w:val="1"/>
          <w:numId w:val="268"/>
        </w:numPr>
        <w:rPr>
          <w:rFonts w:ascii="Arial" w:cs="Arial" w:eastAsia="Arial" w:hAnsi="Arial"/>
          <w:sz w:val="19"/>
          <w:szCs w:val="19"/>
          <w:color w:val="auto"/>
        </w:rPr>
      </w:pPr>
      <w:r>
        <w:rPr>
          <w:rFonts w:ascii="Arial" w:cs="Arial" w:eastAsia="Arial" w:hAnsi="Arial"/>
          <w:sz w:val="19"/>
          <w:szCs w:val="19"/>
          <w:color w:val="auto"/>
        </w:rPr>
        <w:t>If the Purchaser has served the Company in one or more Qualified Positions (as hereafter defined) continuously from the date hereof through the vesting dates specified on the signature page hereto, Unvested Shares shall become Vested Shares (or shall “vest”) on such dates and in such amounts as are specified on the signature page hereto. The term “</w:t>
      </w:r>
      <w:r>
        <w:rPr>
          <w:rFonts w:ascii="Arial" w:cs="Arial" w:eastAsia="Arial" w:hAnsi="Arial"/>
          <w:sz w:val="19"/>
          <w:szCs w:val="19"/>
          <w:b w:val="1"/>
          <w:bCs w:val="1"/>
          <w:i w:val="1"/>
          <w:iCs w:val="1"/>
          <w:color w:val="auto"/>
        </w:rPr>
        <w:t>Qualified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Position</w:t>
      </w:r>
      <w:r>
        <w:rPr>
          <w:rFonts w:ascii="Arial" w:cs="Arial" w:eastAsia="Arial" w:hAnsi="Arial"/>
          <w:sz w:val="19"/>
          <w:szCs w:val="19"/>
          <w:color w:val="auto"/>
        </w:rPr>
        <w:t>” shall mean a Company-approved position as an employee, consultant, advisor, officer or member of the Board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of the Company or one of its subsidiaries, if any. For the avoidance of doubt, the Board of Directors of the Company, in its discretion, may accelerate any vesting dates or waive any of the requirements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325" w:name="page326"/>
    <w:bookmarkEnd w:id="325"/>
    <w:p>
      <w:pPr>
        <w:ind w:left="-40" w:right="80" w:firstLine="656"/>
        <w:spacing w:after="0" w:line="259" w:lineRule="auto"/>
        <w:tabs>
          <w:tab w:leader="none" w:pos="1251" w:val="left"/>
        </w:tabs>
        <w:numPr>
          <w:ilvl w:val="0"/>
          <w:numId w:val="269"/>
        </w:numPr>
        <w:rPr>
          <w:rFonts w:ascii="Arial" w:cs="Arial" w:eastAsia="Arial" w:hAnsi="Arial"/>
          <w:sz w:val="21"/>
          <w:szCs w:val="21"/>
          <w:color w:val="auto"/>
        </w:rPr>
      </w:pPr>
      <w:r>
        <w:rPr>
          <w:rFonts w:ascii="Arial" w:cs="Arial" w:eastAsia="Arial" w:hAnsi="Arial"/>
          <w:sz w:val="21"/>
          <w:szCs w:val="21"/>
          <w:color w:val="auto"/>
        </w:rPr>
        <w:t>In the event that the Purchaser ceases for any reason to provide services to the Company in one or more Qualified Positions before all of the Shares have become Vested Shares (a “</w:t>
      </w:r>
      <w:r>
        <w:rPr>
          <w:rFonts w:ascii="Arial" w:cs="Arial" w:eastAsia="Arial" w:hAnsi="Arial"/>
          <w:sz w:val="21"/>
          <w:szCs w:val="21"/>
          <w:b w:val="1"/>
          <w:bCs w:val="1"/>
          <w:i w:val="1"/>
          <w:iCs w:val="1"/>
          <w:color w:val="auto"/>
        </w:rPr>
        <w:t>Termination Event</w:t>
      </w:r>
      <w:r>
        <w:rPr>
          <w:rFonts w:ascii="Arial" w:cs="Arial" w:eastAsia="Arial" w:hAnsi="Arial"/>
          <w:sz w:val="21"/>
          <w:szCs w:val="21"/>
          <w:color w:val="auto"/>
        </w:rPr>
        <w:t>”), then the Company shall have the right to purchase (the “</w:t>
      </w:r>
      <w:r>
        <w:rPr>
          <w:rFonts w:ascii="Arial" w:cs="Arial" w:eastAsia="Arial" w:hAnsi="Arial"/>
          <w:sz w:val="21"/>
          <w:szCs w:val="21"/>
          <w:b w:val="1"/>
          <w:bCs w:val="1"/>
          <w:i w:val="1"/>
          <w:iCs w:val="1"/>
          <w:color w:val="auto"/>
        </w:rPr>
        <w:t>Repurchase Option</w:t>
      </w:r>
      <w:r>
        <w:rPr>
          <w:rFonts w:ascii="Arial" w:cs="Arial" w:eastAsia="Arial" w:hAnsi="Arial"/>
          <w:sz w:val="21"/>
          <w:szCs w:val="21"/>
          <w:color w:val="auto"/>
        </w:rPr>
        <w:t>”) for a period of ninety (90) days from the date of such Termination Event (the “</w:t>
      </w:r>
      <w:r>
        <w:rPr>
          <w:rFonts w:ascii="Arial" w:cs="Arial" w:eastAsia="Arial" w:hAnsi="Arial"/>
          <w:sz w:val="21"/>
          <w:szCs w:val="21"/>
          <w:b w:val="1"/>
          <w:bCs w:val="1"/>
          <w:i w:val="1"/>
          <w:iCs w:val="1"/>
          <w:color w:val="auto"/>
        </w:rPr>
        <w:t>Termination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Date</w:t>
      </w:r>
      <w:r>
        <w:rPr>
          <w:rFonts w:ascii="Arial" w:cs="Arial" w:eastAsia="Arial" w:hAnsi="Arial"/>
          <w:sz w:val="21"/>
          <w:szCs w:val="21"/>
          <w:color w:val="auto"/>
        </w:rPr>
        <w:t>”) any or all of the Shares that are Unvested Shares at the Termination Date (after giving effect to the look-forward vesting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provisions of this Agreement). The purchase of each Unvested Share pursuant to this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shall be effected at the Repurchase Price Per Share set forth on the signature page hereto, appropriately adjusted in the event of a stock dividend, stock split, recapitalization, merger, combination, reorganization or exchange of shares or other similar event occurring subsequent to the date of this Agreement.</w:t>
      </w:r>
    </w:p>
    <w:p>
      <w:pPr>
        <w:spacing w:after="0" w:line="183" w:lineRule="exact"/>
        <w:rPr>
          <w:rFonts w:ascii="Arial" w:cs="Arial" w:eastAsia="Arial" w:hAnsi="Arial"/>
          <w:sz w:val="21"/>
          <w:szCs w:val="21"/>
          <w:color w:val="auto"/>
        </w:rPr>
      </w:pPr>
    </w:p>
    <w:p>
      <w:pPr>
        <w:ind w:left="-40" w:firstLine="656"/>
        <w:spacing w:after="0" w:line="262" w:lineRule="auto"/>
        <w:tabs>
          <w:tab w:leader="none" w:pos="125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Unless the Company notifies the Purchaser within ninety (90) days from the Termination Date that it does not intend to exercise its Repurchase Option with respect to some or all of the Unvested Shares, the Repurchase Option shall be </w:t>
      </w:r>
      <w:r>
        <w:rPr>
          <w:rFonts w:ascii="Arial" w:cs="Arial" w:eastAsia="Arial" w:hAnsi="Arial"/>
          <w:sz w:val="20"/>
          <w:szCs w:val="20"/>
          <w:u w:val="single" w:color="auto"/>
          <w:color w:val="auto"/>
        </w:rPr>
        <w:t>deemed automatically exercised</w:t>
      </w:r>
      <w:r>
        <w:rPr>
          <w:rFonts w:ascii="Arial" w:cs="Arial" w:eastAsia="Arial" w:hAnsi="Arial"/>
          <w:sz w:val="20"/>
          <w:szCs w:val="20"/>
          <w:color w:val="auto"/>
        </w:rPr>
        <w:t xml:space="preserve"> by the Company as of the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Termination Date, </w:t>
      </w:r>
      <w:r>
        <w:rPr>
          <w:rFonts w:ascii="Arial" w:cs="Arial" w:eastAsia="Arial" w:hAnsi="Arial"/>
          <w:sz w:val="20"/>
          <w:szCs w:val="20"/>
          <w:i w:val="1"/>
          <w:iCs w:val="1"/>
          <w:color w:val="auto"/>
        </w:rPr>
        <w:t>provided</w:t>
      </w:r>
      <w:r>
        <w:rPr>
          <w:rFonts w:ascii="Arial" w:cs="Arial" w:eastAsia="Arial" w:hAnsi="Arial"/>
          <w:sz w:val="20"/>
          <w:szCs w:val="20"/>
          <w:color w:val="auto"/>
        </w:rPr>
        <w:t>, that the Company may notify the Purchaser that it is exercising its Repurchase Option as of a date prior to such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Unless the Purchaser is otherwise notified by the Company pursuant to the preceding sentence that the Company does not intend to exercise its Repurchase Option as to some or all of the Unvested Shares to which it applies as of the Termination Date, execution of this Agreement by the Purchaser constitutes written notice to the Purchaser of the Company’s intention to exercise its Repurchase Option with respect to all Unvested Shares to which such Repurchase Option applies. The Company, at its choice, may satisfy its payment obligation to the Purchaser with respect to exercise of the Repurchase Option by any of (1) delivering a check to the Purchaser in the amount of the purchase price for the Unvested Shares being repurchased, (2) in the event the Purchaser is indebted to the Company, canceling an amount of such indebtedness equal to the purchase price for the Unvested Shares being repurchased, and (3) by a combination of (1) and (2) so that the combined payment and cancellation of indebtedness equals such purchase price. The Company shall use good faith efforts to satisfy its payment obligation to the Purchaser within fifteen (15) days after Company’s notice of exercise of the Repurchase Option (or deemed exercise). In the event of any deemed automatic exercise of the Repurchase Option pursuant to this </w:t>
      </w:r>
      <w:r>
        <w:rPr>
          <w:rFonts w:ascii="Arial" w:cs="Arial" w:eastAsia="Arial" w:hAnsi="Arial"/>
          <w:sz w:val="20"/>
          <w:szCs w:val="20"/>
          <w:u w:val="single" w:color="auto"/>
          <w:color w:val="auto"/>
        </w:rPr>
        <w:t>Section 5(c)</w:t>
      </w:r>
      <w:r>
        <w:rPr>
          <w:rFonts w:ascii="Arial" w:cs="Arial" w:eastAsia="Arial" w:hAnsi="Arial"/>
          <w:sz w:val="20"/>
          <w:szCs w:val="20"/>
          <w:color w:val="auto"/>
        </w:rPr>
        <w:t xml:space="preserve">, at such time as the Purchaser is indebted to the Company, the portion of such indebtedness equal to the purchase price of the Unvested Shares being repurchased shall be deemed automatically canceled as of the date of Company’s notice of exercise of the Repurchase Option (or deemed exercise). As a result of any repurchase of Unvested Shares pursuant to this </w:t>
      </w:r>
      <w:r>
        <w:rPr>
          <w:rFonts w:ascii="Arial" w:cs="Arial" w:eastAsia="Arial" w:hAnsi="Arial"/>
          <w:sz w:val="20"/>
          <w:szCs w:val="20"/>
          <w:u w:val="single" w:color="auto"/>
          <w:color w:val="auto"/>
        </w:rPr>
        <w:t>Section 5</w:t>
      </w:r>
      <w:r>
        <w:rPr>
          <w:rFonts w:ascii="Arial" w:cs="Arial" w:eastAsia="Arial" w:hAnsi="Arial"/>
          <w:sz w:val="20"/>
          <w:szCs w:val="20"/>
          <w:color w:val="auto"/>
        </w:rPr>
        <w:t>,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the Purchaser.</w:t>
      </w:r>
    </w:p>
    <w:p>
      <w:pPr>
        <w:spacing w:after="0" w:line="179" w:lineRule="exact"/>
        <w:rPr>
          <w:rFonts w:ascii="Arial" w:cs="Arial" w:eastAsia="Arial" w:hAnsi="Arial"/>
          <w:sz w:val="20"/>
          <w:szCs w:val="20"/>
          <w:color w:val="auto"/>
        </w:rPr>
      </w:pPr>
    </w:p>
    <w:p>
      <w:pPr>
        <w:ind w:left="-40" w:right="140" w:firstLine="656"/>
        <w:spacing w:after="0" w:line="253" w:lineRule="auto"/>
        <w:tabs>
          <w:tab w:leader="none" w:pos="125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Company shall, after termination or exercise of all repurchase rights hereunder, deliver to the Purchaser a certificate or certificates representing the Shares, if any, as to which the Purchaser is entitled to ownership free and clear of such repurchase rights.</w:t>
      </w:r>
    </w:p>
    <w:p>
      <w:pPr>
        <w:spacing w:after="0" w:line="185" w:lineRule="exact"/>
        <w:rPr>
          <w:rFonts w:ascii="Arial" w:cs="Arial" w:eastAsia="Arial" w:hAnsi="Arial"/>
          <w:sz w:val="22"/>
          <w:szCs w:val="22"/>
          <w:color w:val="auto"/>
        </w:rPr>
      </w:pPr>
    </w:p>
    <w:p>
      <w:pPr>
        <w:ind w:left="-40" w:right="300" w:firstLine="656"/>
        <w:spacing w:after="0" w:line="263" w:lineRule="auto"/>
        <w:tabs>
          <w:tab w:leader="none" w:pos="1253"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 fractional shares shall vest under this Agreement. Any calculation of Shares scheduled to vest on any date except for the last date on which vesting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80"/>
          </w:cols>
          <w:pgMar w:left="360" w:top="1428" w:right="359" w:bottom="1440" w:gutter="0" w:footer="0" w:header="0"/>
        </w:sectPr>
      </w:pPr>
    </w:p>
    <w:bookmarkStart w:id="326" w:name="page327"/>
    <w:bookmarkEnd w:id="326"/>
    <w:p>
      <w:pPr>
        <w:ind w:right="440"/>
        <w:spacing w:after="0" w:line="343" w:lineRule="auto"/>
        <w:rPr>
          <w:sz w:val="20"/>
          <w:szCs w:val="20"/>
          <w:color w:val="auto"/>
        </w:rPr>
      </w:pPr>
      <w:r>
        <w:rPr>
          <w:rFonts w:ascii="Arial" w:cs="Arial" w:eastAsia="Arial" w:hAnsi="Arial"/>
          <w:sz w:val="19"/>
          <w:szCs w:val="19"/>
          <w:color w:val="auto"/>
        </w:rPr>
        <w:t>contemplated under this Agreement (the “</w:t>
      </w:r>
      <w:r>
        <w:rPr>
          <w:rFonts w:ascii="Arial" w:cs="Arial" w:eastAsia="Arial" w:hAnsi="Arial"/>
          <w:sz w:val="19"/>
          <w:szCs w:val="19"/>
          <w:b w:val="1"/>
          <w:bCs w:val="1"/>
          <w:i w:val="1"/>
          <w:iCs w:val="1"/>
          <w:color w:val="auto"/>
        </w:rPr>
        <w:t>Final Vesting Date</w:t>
      </w:r>
      <w:r>
        <w:rPr>
          <w:rFonts w:ascii="Arial" w:cs="Arial" w:eastAsia="Arial" w:hAnsi="Arial"/>
          <w:sz w:val="19"/>
          <w:szCs w:val="19"/>
          <w:color w:val="auto"/>
        </w:rPr>
        <w:t>”) that results in a fractional share shall be rounded down to the nearest whole Share. On the Final Vesting Date, all remaining Unvested Shares shall vest and become Vested Shares.</w:t>
      </w:r>
    </w:p>
    <w:p>
      <w:pPr>
        <w:spacing w:after="0" w:line="104"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Custody of Certificates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90" w:lineRule="auto"/>
        <w:tabs>
          <w:tab w:leader="none" w:pos="1293" w:val="left"/>
        </w:tabs>
        <w:numPr>
          <w:ilvl w:val="1"/>
          <w:numId w:val="270"/>
        </w:numPr>
        <w:rPr>
          <w:rFonts w:ascii="Arial" w:cs="Arial" w:eastAsia="Arial" w:hAnsi="Arial"/>
          <w:sz w:val="19"/>
          <w:szCs w:val="19"/>
          <w:color w:val="auto"/>
        </w:rPr>
      </w:pPr>
      <w:r>
        <w:rPr>
          <w:rFonts w:ascii="Arial" w:cs="Arial" w:eastAsia="Arial" w:hAnsi="Arial"/>
          <w:sz w:val="19"/>
          <w:szCs w:val="19"/>
          <w:color w:val="auto"/>
        </w:rPr>
        <w:t xml:space="preserve">In order to facilitate the exercise of the Company’s repurchase rights under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Agreement, simultaneously with the execution of this Agreement, the Purchaser shall deposit with the Company’s counsel the certificate or certificates representing in whole or in part Unvested Shares and shall promptly upon acquisition of any additional Unvested Shares, deposit with the Company’s counsel the certificate or certificates for such additional shares. To all certificates deposited by the Purchaser with the Company’s counsel, there shall be attached a stock power or stock powers, duly executed by the Purchaser in blank, constituting and appointing the Company or its designee the Purchaser’s attorney to transfer such stock on the books of the Company. The Purchaser shall continue to be the owner of the Shares, despite such deposit and stock powers, and shall be entitled to exercise all rights of ownership in such Shares, subject, however, to the provisions of this Agreement.</w:t>
      </w:r>
    </w:p>
    <w:p>
      <w:pPr>
        <w:spacing w:after="0" w:line="155" w:lineRule="exact"/>
        <w:rPr>
          <w:rFonts w:ascii="Arial" w:cs="Arial" w:eastAsia="Arial" w:hAnsi="Arial"/>
          <w:sz w:val="19"/>
          <w:szCs w:val="19"/>
          <w:color w:val="auto"/>
        </w:rPr>
      </w:pPr>
    </w:p>
    <w:p>
      <w:pPr>
        <w:ind w:right="20" w:firstLine="656"/>
        <w:spacing w:after="0" w:line="261" w:lineRule="auto"/>
        <w:tabs>
          <w:tab w:leader="none" w:pos="1291" w:val="left"/>
        </w:tabs>
        <w:numPr>
          <w:ilvl w:val="1"/>
          <w:numId w:val="270"/>
        </w:numPr>
        <w:rPr>
          <w:rFonts w:ascii="Arial" w:cs="Arial" w:eastAsia="Arial" w:hAnsi="Arial"/>
          <w:sz w:val="21"/>
          <w:szCs w:val="21"/>
          <w:color w:val="auto"/>
        </w:rPr>
      </w:pPr>
      <w:r>
        <w:rPr>
          <w:rFonts w:ascii="Arial" w:cs="Arial" w:eastAsia="Arial" w:hAnsi="Arial"/>
          <w:sz w:val="21"/>
          <w:szCs w:val="21"/>
          <w:color w:val="auto"/>
        </w:rPr>
        <w:t>In the event that a dispute should arise with respect to the delivery, right to possession, and/or ownership of the certificates representing the Shares, the Company’s counsel is authorized to retain such certificates and evidences in its possession, or any portion thereof, without liability to anyone, until such dispute shall have been settled either by mutual written agreement of the parties concerned or by final order, decree or judgment of a court of competent jurisdiction after the time for appeal has expired and no appeal has been perfected, but neither the Company nor its counsel shall be under any duty whatsoever hereunder to institute or defend any such proceedings.</w:t>
      </w:r>
    </w:p>
    <w:p>
      <w:pPr>
        <w:spacing w:after="0" w:line="179" w:lineRule="exact"/>
        <w:rPr>
          <w:rFonts w:ascii="Arial" w:cs="Arial" w:eastAsia="Arial" w:hAnsi="Arial"/>
          <w:sz w:val="21"/>
          <w:szCs w:val="21"/>
          <w:color w:val="auto"/>
        </w:rPr>
      </w:pPr>
    </w:p>
    <w:p>
      <w:pPr>
        <w:ind w:right="180" w:firstLine="656"/>
        <w:spacing w:after="0" w:line="297" w:lineRule="auto"/>
        <w:tabs>
          <w:tab w:leader="none" w:pos="1293" w:val="left"/>
        </w:tabs>
        <w:numPr>
          <w:ilvl w:val="1"/>
          <w:numId w:val="270"/>
        </w:numPr>
        <w:rPr>
          <w:rFonts w:ascii="Arial" w:cs="Arial" w:eastAsia="Arial" w:hAnsi="Arial"/>
          <w:sz w:val="19"/>
          <w:szCs w:val="19"/>
          <w:color w:val="auto"/>
        </w:rPr>
      </w:pPr>
      <w:r>
        <w:rPr>
          <w:rFonts w:ascii="Arial" w:cs="Arial" w:eastAsia="Arial" w:hAnsi="Arial"/>
          <w:sz w:val="19"/>
          <w:szCs w:val="19"/>
          <w:color w:val="auto"/>
        </w:rPr>
        <w:t xml:space="preserve">The Company shall have the right to cause Transfers of Unvested Shares to be effected pursuant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notwithstanding any failure of the Purchaser to take the action required of the Purchaser pursuant to this Agreement; provided, however, that no Transfer of Unvested Shares shall be effected hereunder unless payment therefor has been made or tendered to the Purchaser or the Purchaser’s executor or other legal representative. The Purchaser hereby appoints each of the President, Treasurer and Secretary of the Company as the Purchaser’s attorney-in-fact for purposes of effecting any such Transfer.</w:t>
      </w:r>
    </w:p>
    <w:p>
      <w:pPr>
        <w:spacing w:after="0" w:line="146" w:lineRule="exact"/>
        <w:rPr>
          <w:rFonts w:ascii="Arial" w:cs="Arial" w:eastAsia="Arial" w:hAnsi="Arial"/>
          <w:sz w:val="19"/>
          <w:szCs w:val="19"/>
          <w:color w:val="auto"/>
        </w:rPr>
      </w:pPr>
    </w:p>
    <w:p>
      <w:pPr>
        <w:ind w:left="660" w:hanging="652"/>
        <w:spacing w:after="0"/>
        <w:tabs>
          <w:tab w:leader="none" w:pos="660"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Each certificate representing Shares shall prominently bear legends to the following effect:</w:t>
      </w:r>
    </w:p>
    <w:p>
      <w:pPr>
        <w:spacing w:after="0" w:line="219" w:lineRule="exact"/>
        <w:rPr>
          <w:rFonts w:ascii="Arial" w:cs="Arial" w:eastAsia="Arial" w:hAnsi="Arial"/>
          <w:sz w:val="22"/>
          <w:szCs w:val="22"/>
          <w:color w:val="auto"/>
        </w:rPr>
      </w:pPr>
    </w:p>
    <w:p>
      <w:pPr>
        <w:jc w:val="both"/>
        <w:ind w:left="660" w:right="640"/>
        <w:spacing w:after="0" w:line="250" w:lineRule="auto"/>
        <w:rPr>
          <w:rFonts w:ascii="Arial" w:cs="Arial" w:eastAsia="Arial" w:hAnsi="Arial"/>
          <w:sz w:val="22"/>
          <w:szCs w:val="22"/>
          <w:color w:val="auto"/>
        </w:rPr>
      </w:pPr>
      <w:r>
        <w:rPr>
          <w:rFonts w:ascii="Arial" w:cs="Arial" w:eastAsia="Arial" w:hAnsi="Arial"/>
          <w:sz w:val="22"/>
          <w:szCs w:val="22"/>
          <w:color w:val="auto"/>
        </w:rPr>
        <w:t>“The shares represented by this certificate have been acquired for investment and have not been registered under the Securities Act of 1933, as amended. Such shares may not be sold, transferred, pledged or hypothecated unless the registration provisions of said Act have been complied with or unless the Company has received an opinion of its counsel that such registration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327" w:name="page328"/>
    <w:bookmarkEnd w:id="327"/>
    <w:p>
      <w:pPr>
        <w:jc w:val="both"/>
        <w:ind w:left="660" w:right="640"/>
        <w:spacing w:after="0" w:line="271" w:lineRule="auto"/>
        <w:rPr>
          <w:sz w:val="20"/>
          <w:szCs w:val="20"/>
          <w:color w:val="auto"/>
        </w:rPr>
      </w:pPr>
      <w:r>
        <w:rPr>
          <w:rFonts w:ascii="Arial" w:cs="Arial" w:eastAsia="Arial" w:hAnsi="Arial"/>
          <w:sz w:val="21"/>
          <w:szCs w:val="21"/>
          <w:color w:val="auto"/>
        </w:rPr>
        <w:t>“The shares represented by this certificate are subject to restrictions on transfer and repurchase rights pursuant to the terms of the Company’s 2017 Stock Incentive Plan and a Restricted Stock Purchase Agreement, a copy of which will be furnished to the holder hereof without charge upon written request.”</w:t>
      </w:r>
    </w:p>
    <w:p>
      <w:pPr>
        <w:spacing w:after="0" w:line="167" w:lineRule="exact"/>
        <w:rPr>
          <w:sz w:val="20"/>
          <w:szCs w:val="20"/>
          <w:color w:val="auto"/>
        </w:rPr>
      </w:pPr>
    </w:p>
    <w:p>
      <w:pPr>
        <w:ind w:right="500" w:firstLine="8"/>
        <w:spacing w:after="0" w:line="263" w:lineRule="auto"/>
        <w:tabs>
          <w:tab w:leader="none" w:pos="648"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Adjustments for Stock Splits, Stock Dividends, etc.</w:t>
      </w:r>
      <w:r>
        <w:rPr>
          <w:rFonts w:ascii="Arial" w:cs="Arial" w:eastAsia="Arial" w:hAnsi="Arial"/>
          <w:sz w:val="22"/>
          <w:szCs w:val="22"/>
          <w:color w:val="auto"/>
        </w:rPr>
        <w:t xml:space="preserve"> The Shares issued pursuant to this Agreement shall be subject to adjustment upon changes in capitalization pursuant to the provisions of Section 14 of the Plan.</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656"/>
        <w:spacing w:after="0" w:line="312" w:lineRule="auto"/>
        <w:tabs>
          <w:tab w:leader="none" w:pos="1293" w:val="left"/>
        </w:tabs>
        <w:numPr>
          <w:ilvl w:val="1"/>
          <w:numId w:val="27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signature page hereto and these Incorporated Terms and Conditions, constitutes the entire agreement between the parties with respect to the subject matter hereof, and supersedes all prior agreements, negotiations, representations and proposals, written or oral, relating to such subject matter.</w:t>
      </w:r>
    </w:p>
    <w:p>
      <w:pPr>
        <w:spacing w:after="0" w:line="133" w:lineRule="exact"/>
        <w:rPr>
          <w:rFonts w:ascii="Arial" w:cs="Arial" w:eastAsia="Arial" w:hAnsi="Arial"/>
          <w:sz w:val="19"/>
          <w:szCs w:val="19"/>
          <w:color w:val="auto"/>
        </w:rPr>
      </w:pPr>
    </w:p>
    <w:p>
      <w:pPr>
        <w:ind w:right="780" w:firstLine="656"/>
        <w:spacing w:after="0" w:line="263" w:lineRule="auto"/>
        <w:tabs>
          <w:tab w:leader="none" w:pos="1291" w:val="left"/>
        </w:tabs>
        <w:numPr>
          <w:ilvl w:val="1"/>
          <w:numId w:val="27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Neither this Agreement nor any provision hereof may be changed or modified except by an agreement in writing executed by the Purchaser and on behalf of the Company.</w:t>
      </w:r>
    </w:p>
    <w:p>
      <w:pPr>
        <w:spacing w:after="0" w:line="174" w:lineRule="exact"/>
        <w:rPr>
          <w:rFonts w:ascii="Arial" w:cs="Arial" w:eastAsia="Arial" w:hAnsi="Arial"/>
          <w:sz w:val="22"/>
          <w:szCs w:val="22"/>
          <w:color w:val="auto"/>
        </w:rPr>
      </w:pPr>
    </w:p>
    <w:p>
      <w:pPr>
        <w:ind w:firstLine="656"/>
        <w:spacing w:after="0" w:line="343" w:lineRule="auto"/>
        <w:tabs>
          <w:tab w:leader="none" w:pos="1293" w:val="left"/>
        </w:tabs>
        <w:numPr>
          <w:ilvl w:val="1"/>
          <w:numId w:val="271"/>
        </w:numPr>
        <w:rPr>
          <w:rFonts w:ascii="Arial" w:cs="Arial" w:eastAsia="Arial" w:hAnsi="Arial"/>
          <w:sz w:val="19"/>
          <w:szCs w:val="19"/>
          <w:color w:val="auto"/>
        </w:rPr>
      </w:pPr>
      <w:r>
        <w:rPr>
          <w:rFonts w:ascii="Arial" w:cs="Arial" w:eastAsia="Arial" w:hAnsi="Arial"/>
          <w:sz w:val="19"/>
          <w:szCs w:val="19"/>
          <w:u w:val="single" w:color="auto"/>
          <w:color w:val="auto"/>
        </w:rPr>
        <w:t>Binding Effect of the Agreement</w:t>
      </w:r>
      <w:r>
        <w:rPr>
          <w:rFonts w:ascii="Arial" w:cs="Arial" w:eastAsia="Arial" w:hAnsi="Arial"/>
          <w:sz w:val="19"/>
          <w:szCs w:val="19"/>
          <w:color w:val="auto"/>
        </w:rPr>
        <w:t>. This Agreement shall inure to the benefit of, and be binding upon, the Company, the Purchaser and their respective estates, heirs, executors, transferees, successors, assigns and legal representatives.</w:t>
      </w:r>
    </w:p>
    <w:p>
      <w:pPr>
        <w:spacing w:after="0" w:line="104" w:lineRule="exact"/>
        <w:rPr>
          <w:rFonts w:ascii="Arial" w:cs="Arial" w:eastAsia="Arial" w:hAnsi="Arial"/>
          <w:sz w:val="19"/>
          <w:szCs w:val="19"/>
          <w:color w:val="auto"/>
        </w:rPr>
      </w:pPr>
    </w:p>
    <w:p>
      <w:pPr>
        <w:ind w:firstLine="656"/>
        <w:spacing w:after="0" w:line="261" w:lineRule="auto"/>
        <w:tabs>
          <w:tab w:leader="none" w:pos="1291" w:val="left"/>
        </w:tabs>
        <w:numPr>
          <w:ilvl w:val="1"/>
          <w:numId w:val="27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to any party under this Agreement shall be contained in a written instrument addressed to such party at the address set forth below or such other address as may hereafter be designated in writing by the addressee to the addressor and shall be deemed given (i) when delivered in person or duly sent by e-mail or fax, with confirmation of receipt, (ii) three days after being duly sent by first class mail postage prepaid (other than in the case of notices to or from any non-U.S. resident, which notices must be sent in the manner specified in clause (i) or (iii)), or (iii) two days after being duly sent by UPS, Federal Express or other recognized express international courier service:</w:t>
      </w:r>
    </w:p>
    <w:p>
      <w:pPr>
        <w:spacing w:after="0" w:line="179" w:lineRule="exact"/>
        <w:rPr>
          <w:rFonts w:ascii="Arial" w:cs="Arial" w:eastAsia="Arial" w:hAnsi="Arial"/>
          <w:sz w:val="21"/>
          <w:szCs w:val="21"/>
          <w:color w:val="auto"/>
        </w:rPr>
      </w:pPr>
    </w:p>
    <w:p>
      <w:pPr>
        <w:ind w:left="1940" w:hanging="636"/>
        <w:spacing w:after="0"/>
        <w:tabs>
          <w:tab w:leader="none" w:pos="194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if to the Purchaser, to the Address or E-Mail Address of Purchaser set forth on the signature page hereto;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2"/>
          <w:numId w:val="271"/>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Seer, Inc.</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 Wilson Sonsini Goodrich &amp; Rosati</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Attention: Tony Jeffries</w:t>
      </w:r>
    </w:p>
    <w:p>
      <w:pPr>
        <w:spacing w:after="0" w:line="202" w:lineRule="exact"/>
        <w:rPr>
          <w:sz w:val="20"/>
          <w:szCs w:val="20"/>
          <w:color w:val="auto"/>
        </w:rPr>
      </w:pPr>
    </w:p>
    <w:p>
      <w:pPr>
        <w:ind w:right="520" w:firstLine="656"/>
        <w:spacing w:after="0" w:line="263" w:lineRule="auto"/>
        <w:tabs>
          <w:tab w:leader="none" w:pos="1293"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Consent to Electronic Notices</w:t>
      </w:r>
      <w:r>
        <w:rPr>
          <w:rFonts w:ascii="Arial" w:cs="Arial" w:eastAsia="Arial" w:hAnsi="Arial"/>
          <w:sz w:val="22"/>
          <w:szCs w:val="22"/>
          <w:color w:val="auto"/>
        </w:rPr>
        <w:t>. The Purchaser hereby agrees and consents that the Company may provide the Purchaser, at the Company’s option, all notices which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328" w:name="page329"/>
    <w:bookmarkEnd w:id="328"/>
    <w:p>
      <w:pPr>
        <w:jc w:val="both"/>
        <w:ind w:right="620"/>
        <w:spacing w:after="0" w:line="253" w:lineRule="auto"/>
        <w:rPr>
          <w:sz w:val="20"/>
          <w:szCs w:val="20"/>
          <w:color w:val="auto"/>
        </w:rPr>
      </w:pPr>
      <w:r>
        <w:rPr>
          <w:rFonts w:ascii="Arial" w:cs="Arial" w:eastAsia="Arial" w:hAnsi="Arial"/>
          <w:sz w:val="22"/>
          <w:szCs w:val="22"/>
          <w:color w:val="auto"/>
        </w:rPr>
        <w:t>to be delivered, whether under this Agreement, pursuant to the General Corporation Law of the State of Delaware or other applicable law or regulation, or otherwise, in electronic form to the E-Mail Address set forth on the signature page of this Agreement.</w:t>
      </w:r>
    </w:p>
    <w:p>
      <w:pPr>
        <w:spacing w:after="0" w:line="185" w:lineRule="exact"/>
        <w:rPr>
          <w:sz w:val="20"/>
          <w:szCs w:val="20"/>
          <w:color w:val="auto"/>
        </w:rPr>
      </w:pPr>
    </w:p>
    <w:p>
      <w:pPr>
        <w:ind w:right="200" w:firstLine="656"/>
        <w:spacing w:after="0" w:line="253" w:lineRule="auto"/>
        <w:tabs>
          <w:tab w:leader="none" w:pos="1296"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Relationship with Company</w:t>
      </w:r>
      <w:r>
        <w:rPr>
          <w:rFonts w:ascii="Arial" w:cs="Arial" w:eastAsia="Arial" w:hAnsi="Arial"/>
          <w:sz w:val="22"/>
          <w:szCs w:val="22"/>
          <w:color w:val="auto"/>
        </w:rPr>
        <w:t>. The Company is not by reason of this Agreement or the issuance of any Shares obligated to continue the Purchaser’s relationship with the Company as an employee, consultant, advisor, officer, director, or in any other capacity (other than as a stockholder).</w:t>
      </w:r>
    </w:p>
    <w:p>
      <w:pPr>
        <w:spacing w:after="0" w:line="185" w:lineRule="exact"/>
        <w:rPr>
          <w:rFonts w:ascii="Arial" w:cs="Arial" w:eastAsia="Arial" w:hAnsi="Arial"/>
          <w:sz w:val="22"/>
          <w:szCs w:val="22"/>
          <w:color w:val="auto"/>
        </w:rPr>
      </w:pPr>
    </w:p>
    <w:p>
      <w:pPr>
        <w:ind w:right="280" w:firstLine="656"/>
        <w:spacing w:after="0" w:line="247" w:lineRule="auto"/>
        <w:tabs>
          <w:tab w:leader="none" w:pos="1291" w:val="left"/>
        </w:tabs>
        <w:numPr>
          <w:ilvl w:val="0"/>
          <w:numId w:val="273"/>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Section 83(b) Election</w:t>
      </w:r>
      <w:r>
        <w:rPr>
          <w:rFonts w:ascii="Arial" w:cs="Arial" w:eastAsia="Arial" w:hAnsi="Arial"/>
          <w:sz w:val="22"/>
          <w:szCs w:val="22"/>
          <w:b w:val="1"/>
          <w:bCs w:val="1"/>
          <w:i w:val="1"/>
          <w:iCs w:val="1"/>
          <w:color w:val="auto"/>
        </w:rPr>
        <w:t xml:space="preserve">. The Purchaser understands that it shall be his or her decision whether to make an election under Section 83(b) of the Internal Revenue Code of 1986, as amended (an “83(b) Election”) with respect to the Shares, and that if he or she chooses to make such election, it must be made </w:t>
      </w:r>
      <w:r>
        <w:rPr>
          <w:rFonts w:ascii="Arial" w:cs="Arial" w:eastAsia="Arial" w:hAnsi="Arial"/>
          <w:sz w:val="22"/>
          <w:szCs w:val="22"/>
          <w:b w:val="1"/>
          <w:bCs w:val="1"/>
          <w:i w:val="1"/>
          <w:iCs w:val="1"/>
          <w:u w:val="single" w:color="auto"/>
          <w:color w:val="auto"/>
        </w:rPr>
        <w:t>within 30 days</w:t>
      </w:r>
      <w:r>
        <w:rPr>
          <w:rFonts w:ascii="Arial" w:cs="Arial" w:eastAsia="Arial" w:hAnsi="Arial"/>
          <w:sz w:val="22"/>
          <w:szCs w:val="22"/>
          <w:b w:val="1"/>
          <w:bCs w:val="1"/>
          <w:i w:val="1"/>
          <w:iCs w:val="1"/>
          <w:color w:val="auto"/>
        </w:rPr>
        <w:t xml:space="preserve"> of the date of execution of this Agreement, and a copy of such election provided to the Company. The Purchaser represents that he or she understands the tax consequences of filing or not filing an 83(b) Election, and understands that such filing is solely the Purchaser’s responsibility.</w:t>
      </w:r>
    </w:p>
    <w:p>
      <w:pPr>
        <w:spacing w:after="0" w:line="192" w:lineRule="exact"/>
        <w:rPr>
          <w:rFonts w:ascii="Arial" w:cs="Arial" w:eastAsia="Arial" w:hAnsi="Arial"/>
          <w:sz w:val="22"/>
          <w:szCs w:val="22"/>
          <w:color w:val="auto"/>
        </w:rPr>
      </w:pPr>
    </w:p>
    <w:p>
      <w:pPr>
        <w:ind w:firstLine="656"/>
        <w:spacing w:after="0" w:line="294" w:lineRule="auto"/>
        <w:tabs>
          <w:tab w:leader="none" w:pos="1291"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Purchaser acknowledges that money damages alone will not adequately compensate the Company for breach of any of the Purchaser's covenants and agreements herein and, therefore, agrees that in the event of the breach or threatened breach of any such covenant or agreement, in addition to all other remedies available to the Company, at law, in equity or otherwise, the Company shall be entitled to injunctive relief compelling specific performance of, or other compliance with, the terms hereof. The rights and remedies of the Company hereunder shall be cumulative and in addition to all other rights and remedies the Company may have, at law, in equity, by contract or otherwise.</w:t>
      </w:r>
    </w:p>
    <w:p>
      <w:pPr>
        <w:spacing w:after="0" w:line="149" w:lineRule="exact"/>
        <w:rPr>
          <w:rFonts w:ascii="Arial" w:cs="Arial" w:eastAsia="Arial" w:hAnsi="Arial"/>
          <w:sz w:val="19"/>
          <w:szCs w:val="19"/>
          <w:color w:val="auto"/>
        </w:rPr>
      </w:pPr>
    </w:p>
    <w:p>
      <w:pPr>
        <w:ind w:right="80" w:firstLine="656"/>
        <w:spacing w:after="0" w:line="261" w:lineRule="auto"/>
        <w:tabs>
          <w:tab w:leader="none" w:pos="1284" w:val="left"/>
        </w:tabs>
        <w:numPr>
          <w:ilvl w:val="0"/>
          <w:numId w:val="273"/>
        </w:numPr>
        <w:rPr>
          <w:rFonts w:ascii="Arial" w:cs="Arial" w:eastAsia="Arial" w:hAnsi="Arial"/>
          <w:sz w:val="21"/>
          <w:szCs w:val="21"/>
          <w:color w:val="auto"/>
        </w:rPr>
      </w:pPr>
      <w:r>
        <w:rPr>
          <w:rFonts w:ascii="Arial" w:cs="Arial" w:eastAsia="Arial" w:hAnsi="Arial"/>
          <w:sz w:val="21"/>
          <w:szCs w:val="21"/>
          <w:u w:val="single" w:color="auto"/>
          <w:color w:val="auto"/>
        </w:rPr>
        <w:t>Reliance; Liability</w:t>
      </w:r>
      <w:r>
        <w:rPr>
          <w:rFonts w:ascii="Arial" w:cs="Arial" w:eastAsia="Arial" w:hAnsi="Arial"/>
          <w:sz w:val="21"/>
          <w:szCs w:val="21"/>
          <w:color w:val="auto"/>
        </w:rPr>
        <w:t>. In performing its duties under this Agreement, the Company shall be entitled to rely upon any statement, notice, or other writing which it shall in good faith believe to be genuine and to be signed or presented by a proper party or parties or on other evidence or information deemed by the Purchaser to be reliable. In no event shall the Company be liable for any action taken or omitted in good faith. The Company may consult with its counsel or counsel of any of the other parties hereto and, without limiting the generality of the preceding sentence, shall not be held liable for any action taken or omitted in good faith on advice of such counsel.</w:t>
      </w:r>
    </w:p>
    <w:p>
      <w:pPr>
        <w:spacing w:after="0" w:line="179" w:lineRule="exact"/>
        <w:rPr>
          <w:rFonts w:ascii="Arial" w:cs="Arial" w:eastAsia="Arial" w:hAnsi="Arial"/>
          <w:sz w:val="21"/>
          <w:szCs w:val="21"/>
          <w:color w:val="auto"/>
        </w:rPr>
      </w:pPr>
    </w:p>
    <w:p>
      <w:pPr>
        <w:ind w:right="40" w:firstLine="656"/>
        <w:spacing w:after="0" w:line="248" w:lineRule="auto"/>
        <w:tabs>
          <w:tab w:leader="none" w:pos="1284"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Awaiting Final Settlement</w:t>
      </w:r>
      <w:r>
        <w:rPr>
          <w:rFonts w:ascii="Arial" w:cs="Arial" w:eastAsia="Arial" w:hAnsi="Arial"/>
          <w:sz w:val="22"/>
          <w:szCs w:val="22"/>
          <w:color w:val="auto"/>
        </w:rPr>
        <w:t>. If any controversy arises between the parties hereto or with any third person with respect to the Shares, this Agreement or its subject matter, the Company shall not be required to take any actions in the premises, but may await the settlement of any such controversy by final appropriate legal proceedings or otherwise as it may require, notwithstanding anything in this Agreement to the contrary, and, in such event, the Company shall not be liable for interest or damages.</w:t>
      </w:r>
    </w:p>
    <w:p>
      <w:pPr>
        <w:spacing w:after="0" w:line="191" w:lineRule="exact"/>
        <w:rPr>
          <w:rFonts w:ascii="Arial" w:cs="Arial" w:eastAsia="Arial" w:hAnsi="Arial"/>
          <w:sz w:val="22"/>
          <w:szCs w:val="22"/>
          <w:color w:val="auto"/>
        </w:rPr>
      </w:pPr>
    </w:p>
    <w:p>
      <w:pPr>
        <w:ind w:right="20" w:firstLine="656"/>
        <w:spacing w:after="0" w:line="253" w:lineRule="auto"/>
        <w:tabs>
          <w:tab w:leader="none" w:pos="1291"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The headings and subheadings of this Agreement have been inserted for convenience only, and shall not affect the construction of the provisions hereof. All references to sections of this Agreement shall be deemed to refer as well to all subsections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1428" w:right="379" w:bottom="1440" w:gutter="0" w:footer="0" w:header="0"/>
        </w:sectPr>
      </w:pPr>
    </w:p>
    <w:bookmarkStart w:id="329" w:name="page330"/>
    <w:bookmarkEnd w:id="329"/>
    <w:p>
      <w:pPr>
        <w:ind w:right="240"/>
        <w:spacing w:after="0" w:line="263" w:lineRule="auto"/>
        <w:rPr>
          <w:sz w:val="20"/>
          <w:szCs w:val="20"/>
          <w:color w:val="auto"/>
        </w:rPr>
      </w:pPr>
      <w:r>
        <w:rPr>
          <w:rFonts w:ascii="Arial" w:cs="Arial" w:eastAsia="Arial" w:hAnsi="Arial"/>
          <w:sz w:val="22"/>
          <w:szCs w:val="22"/>
          <w:color w:val="auto"/>
        </w:rPr>
        <w:t>form a part of such section. The words “include,” “includes” and “including” when used herein shall be deemed in each case to be followed by the words “without limitation.”</w:t>
      </w:r>
    </w:p>
    <w:p>
      <w:pPr>
        <w:spacing w:after="0" w:line="175" w:lineRule="exact"/>
        <w:rPr>
          <w:sz w:val="20"/>
          <w:szCs w:val="20"/>
          <w:color w:val="auto"/>
        </w:rPr>
      </w:pPr>
    </w:p>
    <w:p>
      <w:pPr>
        <w:ind w:right="180" w:firstLine="656"/>
        <w:spacing w:after="0" w:line="248" w:lineRule="auto"/>
        <w:tabs>
          <w:tab w:leader="none" w:pos="1284"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provision of this Agreement is held to be excessively broad, it shall be reformed and construed by limiting and reducing it so as to be enforceable to the maximum extent permitted by law.</w:t>
      </w:r>
    </w:p>
    <w:p>
      <w:pPr>
        <w:spacing w:after="0" w:line="191" w:lineRule="exact"/>
        <w:rPr>
          <w:rFonts w:ascii="Arial" w:cs="Arial" w:eastAsia="Arial" w:hAnsi="Arial"/>
          <w:sz w:val="22"/>
          <w:szCs w:val="22"/>
          <w:color w:val="auto"/>
        </w:rPr>
      </w:pPr>
    </w:p>
    <w:p>
      <w:pPr>
        <w:ind w:right="60" w:firstLine="656"/>
        <w:spacing w:after="0" w:line="253" w:lineRule="auto"/>
        <w:tabs>
          <w:tab w:leader="none" w:pos="1284"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modification, renewal, extension, waiver or termination of this Agreement or any of the provisions herein contained shall be binding upon the Company unless made in writing and signed by a duly authorized officer of the Company.</w:t>
      </w:r>
    </w:p>
    <w:p>
      <w:pPr>
        <w:spacing w:after="0" w:line="185" w:lineRule="exact"/>
        <w:rPr>
          <w:rFonts w:ascii="Arial" w:cs="Arial" w:eastAsia="Arial" w:hAnsi="Arial"/>
          <w:sz w:val="22"/>
          <w:szCs w:val="22"/>
          <w:color w:val="auto"/>
        </w:rPr>
      </w:pPr>
    </w:p>
    <w:p>
      <w:pPr>
        <w:ind w:right="160" w:firstLine="656"/>
        <w:spacing w:after="0" w:line="263" w:lineRule="auto"/>
        <w:tabs>
          <w:tab w:leader="none" w:pos="1291"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agree to execute such further instruments and to take such further actions as may reasonably be necessary to carry out the intent of this Agreement.</w:t>
      </w:r>
    </w:p>
    <w:p>
      <w:pPr>
        <w:spacing w:after="0" w:line="174" w:lineRule="exact"/>
        <w:rPr>
          <w:rFonts w:ascii="Arial" w:cs="Arial" w:eastAsia="Arial" w:hAnsi="Arial"/>
          <w:sz w:val="22"/>
          <w:szCs w:val="22"/>
          <w:color w:val="auto"/>
        </w:rPr>
      </w:pPr>
    </w:p>
    <w:p>
      <w:pPr>
        <w:ind w:right="100" w:firstLine="656"/>
        <w:spacing w:after="0" w:line="263" w:lineRule="auto"/>
        <w:tabs>
          <w:tab w:leader="none" w:pos="1291"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such counterpart shall be deemed to be an original instrument, and all of which together shall for all purposes constitute one Agreement, binding on each of the parties hereto notwithstanding that each such party shall not have signed the same counterpart. A signature of any party to this Agreement transmitted by facsimile, electronic mail (including pdf) or other electronic means shall be deemed to have been duly and validly delivered and be valid and effective for all purposes.</w:t>
      </w:r>
    </w:p>
    <w:p>
      <w:pPr>
        <w:spacing w:after="0" w:line="175" w:lineRule="exact"/>
        <w:rPr>
          <w:rFonts w:ascii="Arial" w:cs="Arial" w:eastAsia="Arial" w:hAnsi="Arial"/>
          <w:sz w:val="21"/>
          <w:szCs w:val="21"/>
          <w:color w:val="auto"/>
        </w:rPr>
      </w:pPr>
    </w:p>
    <w:p>
      <w:pPr>
        <w:ind w:right="120" w:firstLine="656"/>
        <w:spacing w:after="0" w:line="294" w:lineRule="auto"/>
        <w:tabs>
          <w:tab w:leader="none" w:pos="1291"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This Agreement shall be construed and enforced in accordance with the laws of The State of Delaware, without regard to its principles of conflicts of laws. All litigation arising from or relating to this Agreement shall be filed and prosecuted before any court of competent subject matter jurisdiction located in The State of Delaware. The Purchaser consents to service of process in any such action by certified or registered mail, return receipt requested. The Purchaser consents to the jurisdiction of such courts over the Purchaser, stipulates to the convenience, efficiency and fairness of proceeding in such courts, and covenants not to allege or assert the inconvenience, inefficiency or unfairness of proceeding in such courts.</w:t>
      </w:r>
    </w:p>
    <w:p>
      <w:pPr>
        <w:spacing w:after="0" w:line="149" w:lineRule="exact"/>
        <w:rPr>
          <w:rFonts w:ascii="Arial" w:cs="Arial" w:eastAsia="Arial" w:hAnsi="Arial"/>
          <w:sz w:val="19"/>
          <w:szCs w:val="19"/>
          <w:color w:val="auto"/>
        </w:rPr>
      </w:pPr>
    </w:p>
    <w:p>
      <w:pPr>
        <w:ind w:right="340" w:firstLine="656"/>
        <w:spacing w:after="0" w:line="312" w:lineRule="auto"/>
        <w:tabs>
          <w:tab w:leader="none" w:pos="1291"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Disposition of Shares; Purchase by Nominee or Designee</w:t>
      </w:r>
      <w:r>
        <w:rPr>
          <w:rFonts w:ascii="Arial" w:cs="Arial" w:eastAsia="Arial" w:hAnsi="Arial"/>
          <w:sz w:val="19"/>
          <w:szCs w:val="19"/>
          <w:color w:val="auto"/>
        </w:rPr>
        <w:t>. Any Shares that the Company elects to purchase hereunder may be disposed of by it in such manner as it deems appropriate with or without restrictions on the transfer thereof, and the Company may require their transfer to a nominee or designee as part of any purchase of Shares from the Purchaser.</w:t>
      </w:r>
    </w:p>
    <w:p>
      <w:pPr>
        <w:spacing w:after="0" w:line="133" w:lineRule="exact"/>
        <w:rPr>
          <w:rFonts w:ascii="Arial" w:cs="Arial" w:eastAsia="Arial" w:hAnsi="Arial"/>
          <w:sz w:val="19"/>
          <w:szCs w:val="19"/>
          <w:color w:val="auto"/>
        </w:rPr>
      </w:pPr>
    </w:p>
    <w:p>
      <w:pPr>
        <w:ind w:firstLine="656"/>
        <w:spacing w:after="0" w:line="263" w:lineRule="auto"/>
        <w:tabs>
          <w:tab w:leader="none" w:pos="1296"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The Purchaser agrees that the Purchaser shall be fully liable for any income and employment taxes owed by the Purchaser with regard to issuance of the Shares, whether owed at the time of transfer pursuant to the Purchaser having made an 83(b) Election, or at the time that the Shares vest pursuant to the vesting schedule set forth above. The Purchaser acknowledges and agrees that the Company has the right to deduct from payments of any kind otherwise due to the Purchaser any federal, state or local taxes of any kind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330" w:name="page331"/>
    <w:bookmarkEnd w:id="330"/>
    <w:p>
      <w:pPr>
        <w:spacing w:after="0" w:line="302" w:lineRule="auto"/>
        <w:rPr>
          <w:sz w:val="20"/>
          <w:szCs w:val="20"/>
          <w:color w:val="auto"/>
        </w:rPr>
      </w:pPr>
      <w:r>
        <w:rPr>
          <w:rFonts w:ascii="Arial" w:cs="Arial" w:eastAsia="Arial" w:hAnsi="Arial"/>
          <w:sz w:val="19"/>
          <w:szCs w:val="19"/>
          <w:color w:val="auto"/>
        </w:rPr>
        <w:t xml:space="preserve">law to be withheld with respect to the purchase of the Shares by the Purchaser. The Purchaser further agrees that, if the Company does not withhold an amount sufficient to satisfy the withholding obligation of the Company with respect to the issuance of the Shares, the Purchaser will make reimbursement on demand, in cash, for the amount underwithheld,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has provided the Purchaser with written detail concerning the basis for and amount of the withholding obligation of the Company.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331" w:name="page332"/>
    <w:bookmarkEnd w:id="331"/>
    <w:p>
      <w:pPr>
        <w:jc w:val="center"/>
        <w:ind w:right="-139"/>
        <w:spacing w:after="0"/>
        <w:rPr>
          <w:sz w:val="20"/>
          <w:szCs w:val="20"/>
          <w:color w:val="auto"/>
        </w:rPr>
      </w:pPr>
      <w:r>
        <w:rPr>
          <w:rFonts w:ascii="Arial" w:cs="Arial" w:eastAsia="Arial" w:hAnsi="Arial"/>
          <w:sz w:val="22"/>
          <w:szCs w:val="22"/>
          <w:b w:val="1"/>
          <w:bCs w:val="1"/>
          <w:color w:val="auto"/>
        </w:rPr>
        <w:t>STOCK POWER</w:t>
      </w: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[See Carta], hereby sells, assigns and transfers to Seer, Inc., a Delaware corporation (the</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 total of ___________ shares of Class A Common Stock of the Company standing in the name of the stockholder</w:t>
      </w:r>
    </w:p>
    <w:p>
      <w:pPr>
        <w:spacing w:after="0" w:line="281" w:lineRule="exact"/>
        <w:rPr>
          <w:sz w:val="20"/>
          <w:szCs w:val="20"/>
          <w:color w:val="auto"/>
        </w:rPr>
      </w:pPr>
    </w:p>
    <w:p>
      <w:pPr>
        <w:ind w:right="140"/>
        <w:spacing w:after="0" w:line="484" w:lineRule="auto"/>
        <w:rPr>
          <w:sz w:val="20"/>
          <w:szCs w:val="20"/>
          <w:color w:val="auto"/>
        </w:rPr>
      </w:pPr>
      <w:r>
        <w:rPr>
          <w:rFonts w:ascii="Arial" w:cs="Arial" w:eastAsia="Arial" w:hAnsi="Arial"/>
          <w:sz w:val="22"/>
          <w:szCs w:val="22"/>
          <w:color w:val="auto"/>
        </w:rPr>
        <w:t>named above on the books of the Company represented by stock certificate number ___ to be delivered herewith, and does hereby irrevocably constitute and appoint Wilson Sonsini Goodrich &amp; Rosati as attorney to transfer said shares on the books of the Company with full power of substitution in the premises.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367030</wp:posOffset>
            </wp:positionV>
            <wp:extent cx="30518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1">
            <w:col w:w="11120"/>
          </w:cols>
          <w:pgMar w:left="320" w:top="1138" w:right="459" w:bottom="1440" w:gutter="0" w:footer="0" w:header="0"/>
        </w:sectPr>
      </w:pPr>
    </w:p>
    <w:bookmarkStart w:id="332" w:name="page333"/>
    <w:bookmarkEnd w:id="332"/>
    <w:p>
      <w:pPr>
        <w:jc w:val="center"/>
        <w:spacing w:after="0"/>
        <w:rPr>
          <w:sz w:val="20"/>
          <w:szCs w:val="20"/>
          <w:color w:val="auto"/>
        </w:rPr>
      </w:pPr>
      <w:r>
        <w:rPr>
          <w:rFonts w:ascii="Arial" w:cs="Arial" w:eastAsia="Arial" w:hAnsi="Arial"/>
          <w:sz w:val="20"/>
          <w:szCs w:val="20"/>
          <w:b w:val="1"/>
          <w:bCs w:val="1"/>
          <w:u w:val="single" w:color="auto"/>
          <w:color w:val="auto"/>
        </w:rPr>
        <w:t>SEER BIOSCIENCES,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EXERCISE OF OPTION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Seer Biosciences, Inc.</w:t>
      </w:r>
    </w:p>
    <w:p>
      <w:pPr>
        <w:spacing w:after="0" w:line="216" w:lineRule="exact"/>
        <w:rPr>
          <w:sz w:val="20"/>
          <w:szCs w:val="20"/>
          <w:color w:val="auto"/>
        </w:rPr>
      </w:pPr>
    </w:p>
    <w:p>
      <w:pPr>
        <w:ind w:right="60" w:firstLine="648"/>
        <w:spacing w:after="0" w:line="316" w:lineRule="auto"/>
        <w:rPr>
          <w:sz w:val="20"/>
          <w:szCs w:val="20"/>
          <w:color w:val="auto"/>
        </w:rPr>
      </w:pPr>
      <w:r>
        <w:rPr>
          <w:rFonts w:ascii="Arial" w:cs="Arial" w:eastAsia="Arial" w:hAnsi="Arial"/>
          <w:sz w:val="18"/>
          <w:szCs w:val="18"/>
          <w:color w:val="auto"/>
        </w:rPr>
        <w:t>This is to notify Seer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that I hereby irrevocably elect to exercise the right to purchase the number of shares of the Company’s Class A common stock, $0.00001 par value per share, indicated below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30" w:lineRule="exact"/>
        <w:rPr>
          <w:sz w:val="20"/>
          <w:szCs w:val="20"/>
          <w:color w:val="auto"/>
        </w:rPr>
      </w:pPr>
    </w:p>
    <w:p>
      <w:pPr>
        <w:ind w:right="120" w:firstLine="648"/>
        <w:spacing w:after="0" w:line="316" w:lineRule="auto"/>
        <w:rPr>
          <w:sz w:val="20"/>
          <w:szCs w:val="20"/>
          <w:color w:val="auto"/>
        </w:rPr>
      </w:pPr>
      <w:r>
        <w:rPr>
          <w:rFonts w:ascii="Arial" w:cs="Arial" w:eastAsia="Arial" w:hAnsi="Arial"/>
          <w:sz w:val="18"/>
          <w:szCs w:val="18"/>
          <w:color w:val="auto"/>
        </w:rPr>
        <w:t>The Shares are being purchased pursuant to my exercise of an option granted to me under the Company’s 2017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pursuant to [an Incentive][a Non-Statutory] Stock Option Agreement dated [__________]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Option and Exercise: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40" w:type="dxa"/>
            <w:vAlign w:val="bottom"/>
            <w:tcBorders>
              <w:top w:val="single" w:sz="8" w:color="auto"/>
              <w:left w:val="single" w:sz="8" w:color="auto"/>
              <w:right w:val="single" w:sz="8" w:color="auto"/>
            </w:tcBorders>
          </w:tcPr>
          <w:p>
            <w:pPr>
              <w:spacing w:after="0"/>
              <w:rPr>
                <w:sz w:val="22"/>
                <w:szCs w:val="22"/>
                <w:color w:val="auto"/>
              </w:rPr>
            </w:pPr>
          </w:p>
        </w:tc>
        <w:tc>
          <w:tcPr>
            <w:tcW w:w="1840" w:type="dxa"/>
            <w:vAlign w:val="bottom"/>
            <w:tcBorders>
              <w:top w:val="single" w:sz="8" w:color="auto"/>
            </w:tcBorders>
          </w:tcPr>
          <w:p>
            <w:pPr>
              <w:jc w:val="center"/>
              <w:ind w:left="581"/>
              <w:spacing w:after="0"/>
              <w:rPr>
                <w:sz w:val="20"/>
                <w:szCs w:val="20"/>
                <w:color w:val="auto"/>
              </w:rPr>
            </w:pPr>
            <w:r>
              <w:rPr>
                <w:rFonts w:ascii="Arial" w:cs="Arial" w:eastAsia="Arial" w:hAnsi="Arial"/>
                <w:sz w:val="20"/>
                <w:szCs w:val="20"/>
                <w:color w:val="auto"/>
                <w:w w:val="84"/>
              </w:rPr>
              <w:t>Per Share</w:t>
            </w:r>
          </w:p>
        </w:tc>
        <w:tc>
          <w:tcPr>
            <w:tcW w:w="70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tcBorders>
          </w:tcPr>
          <w:p>
            <w:pPr>
              <w:jc w:val="center"/>
              <w:ind w:left="441"/>
              <w:spacing w:after="0"/>
              <w:rPr>
                <w:sz w:val="20"/>
                <w:szCs w:val="20"/>
                <w:color w:val="auto"/>
              </w:rPr>
            </w:pPr>
            <w:r>
              <w:rPr>
                <w:rFonts w:ascii="Arial" w:cs="Arial" w:eastAsia="Arial" w:hAnsi="Arial"/>
                <w:sz w:val="20"/>
                <w:szCs w:val="20"/>
                <w:color w:val="auto"/>
                <w:w w:val="94"/>
              </w:rPr>
              <w:t>Number of</w:t>
            </w:r>
          </w:p>
        </w:tc>
        <w:tc>
          <w:tcPr>
            <w:tcW w:w="580" w:type="dxa"/>
            <w:vAlign w:val="bottom"/>
            <w:tcBorders>
              <w:top w:val="single" w:sz="8" w:color="auto"/>
              <w:right w:val="single" w:sz="8" w:color="auto"/>
            </w:tcBorders>
          </w:tcPr>
          <w:p>
            <w:pPr>
              <w:spacing w:after="0"/>
              <w:rPr>
                <w:sz w:val="22"/>
                <w:szCs w:val="22"/>
                <w:color w:val="auto"/>
              </w:rPr>
            </w:pPr>
          </w:p>
        </w:tc>
        <w:tc>
          <w:tcPr>
            <w:tcW w:w="2520" w:type="dxa"/>
            <w:vAlign w:val="bottom"/>
            <w:tcBorders>
              <w:top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Total</w:t>
            </w:r>
          </w:p>
        </w:tc>
      </w:tr>
      <w:tr>
        <w:trPr>
          <w:trHeight w:val="250"/>
        </w:trPr>
        <w:tc>
          <w:tcPr>
            <w:tcW w:w="3640" w:type="dxa"/>
            <w:vAlign w:val="bottom"/>
            <w:tcBorders>
              <w:left w:val="single" w:sz="8" w:color="auto"/>
              <w:right w:val="single" w:sz="8" w:color="auto"/>
            </w:tcBorders>
          </w:tcPr>
          <w:p>
            <w:pPr>
              <w:spacing w:after="0"/>
              <w:rPr>
                <w:sz w:val="21"/>
                <w:szCs w:val="21"/>
                <w:color w:val="auto"/>
              </w:rPr>
            </w:pPr>
          </w:p>
        </w:tc>
        <w:tc>
          <w:tcPr>
            <w:tcW w:w="1840" w:type="dxa"/>
            <w:vAlign w:val="bottom"/>
          </w:tcPr>
          <w:p>
            <w:pPr>
              <w:jc w:val="center"/>
              <w:ind w:left="561"/>
              <w:spacing w:after="0"/>
              <w:rPr>
                <w:sz w:val="20"/>
                <w:szCs w:val="20"/>
                <w:color w:val="auto"/>
              </w:rPr>
            </w:pPr>
            <w:r>
              <w:rPr>
                <w:rFonts w:ascii="Arial" w:cs="Arial" w:eastAsia="Arial" w:hAnsi="Arial"/>
                <w:sz w:val="20"/>
                <w:szCs w:val="20"/>
                <w:color w:val="auto"/>
                <w:w w:val="89"/>
              </w:rPr>
              <w:t>Exercise Price</w:t>
            </w:r>
          </w:p>
        </w:tc>
        <w:tc>
          <w:tcPr>
            <w:tcW w:w="700" w:type="dxa"/>
            <w:vAlign w:val="bottom"/>
            <w:tcBorders>
              <w:right w:val="single" w:sz="8" w:color="auto"/>
            </w:tcBorders>
          </w:tcPr>
          <w:p>
            <w:pPr>
              <w:spacing w:after="0"/>
              <w:rPr>
                <w:sz w:val="21"/>
                <w:szCs w:val="21"/>
                <w:color w:val="auto"/>
              </w:rPr>
            </w:pPr>
          </w:p>
        </w:tc>
        <w:tc>
          <w:tcPr>
            <w:tcW w:w="1940" w:type="dxa"/>
            <w:vAlign w:val="bottom"/>
          </w:tcPr>
          <w:p>
            <w:pPr>
              <w:jc w:val="center"/>
              <w:ind w:left="441"/>
              <w:spacing w:after="0"/>
              <w:rPr>
                <w:sz w:val="20"/>
                <w:szCs w:val="20"/>
                <w:color w:val="auto"/>
              </w:rPr>
            </w:pPr>
            <w:r>
              <w:rPr>
                <w:rFonts w:ascii="Arial" w:cs="Arial" w:eastAsia="Arial" w:hAnsi="Arial"/>
                <w:sz w:val="20"/>
                <w:szCs w:val="20"/>
                <w:color w:val="auto"/>
                <w:w w:val="85"/>
              </w:rPr>
              <w:t>Shares Purchased</w:t>
            </w:r>
          </w:p>
        </w:tc>
        <w:tc>
          <w:tcPr>
            <w:tcW w:w="5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color w:val="auto"/>
              </w:rPr>
              <w:t>Exercise Price</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Vested Shares</w:t>
            </w:r>
          </w:p>
        </w:tc>
        <w:tc>
          <w:tcPr>
            <w:tcW w:w="1840" w:type="dxa"/>
            <w:vAlign w:val="bottom"/>
          </w:tcPr>
          <w:p>
            <w:pPr>
              <w:spacing w:after="0"/>
              <w:rPr>
                <w:sz w:val="22"/>
                <w:szCs w:val="2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w w:val="95"/>
              </w:rPr>
              <w:t>$[____]</w:t>
            </w:r>
          </w:p>
        </w:tc>
        <w:tc>
          <w:tcPr>
            <w:tcW w:w="1940" w:type="dxa"/>
            <w:vAlign w:val="bottom"/>
          </w:tcPr>
          <w:p>
            <w:pPr>
              <w:spacing w:after="0"/>
              <w:rPr>
                <w:sz w:val="22"/>
                <w:szCs w:val="22"/>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w w:val="93"/>
              </w:rPr>
              <w:t>[____]</w:t>
            </w:r>
          </w:p>
        </w:tc>
        <w:tc>
          <w:tcPr>
            <w:tcW w:w="25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$[____]</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Unvested Shares</w:t>
            </w:r>
          </w:p>
        </w:tc>
        <w:tc>
          <w:tcPr>
            <w:tcW w:w="1840" w:type="dxa"/>
            <w:vAlign w:val="bottom"/>
          </w:tcPr>
          <w:p>
            <w:pPr>
              <w:spacing w:after="0"/>
              <w:rPr>
                <w:sz w:val="22"/>
                <w:szCs w:val="2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2"/>
                <w:szCs w:val="22"/>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Totals:</w:t>
            </w:r>
          </w:p>
        </w:tc>
        <w:tc>
          <w:tcPr>
            <w:tcW w:w="1840" w:type="dxa"/>
            <w:vAlign w:val="bottom"/>
          </w:tcPr>
          <w:p>
            <w:pPr>
              <w:spacing w:after="0"/>
              <w:rPr>
                <w:sz w:val="22"/>
                <w:szCs w:val="2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940" w:type="dxa"/>
            <w:vAlign w:val="bottom"/>
          </w:tcPr>
          <w:p>
            <w:pPr>
              <w:spacing w:after="0"/>
              <w:rPr>
                <w:sz w:val="22"/>
                <w:szCs w:val="22"/>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w w:val="93"/>
              </w:rPr>
              <w:t>[____]</w:t>
            </w:r>
          </w:p>
        </w:tc>
        <w:tc>
          <w:tcPr>
            <w:tcW w:w="252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[____]</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 xml:space="preserve">As payment for the Shares, enclosed is a </w:t>
      </w:r>
      <w:r>
        <w:rPr>
          <w:rFonts w:ascii="Arial" w:cs="Arial" w:eastAsia="Arial" w:hAnsi="Arial"/>
          <w:sz w:val="20"/>
          <w:szCs w:val="20"/>
          <w:b w:val="1"/>
          <w:bCs w:val="1"/>
          <w:i w:val="1"/>
          <w:iCs w:val="1"/>
          <w:color w:val="auto"/>
        </w:rPr>
        <w:t>certified</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bank check</w:t>
      </w:r>
      <w:r>
        <w:rPr>
          <w:rFonts w:ascii="Arial" w:cs="Arial" w:eastAsia="Arial" w:hAnsi="Arial"/>
          <w:sz w:val="20"/>
          <w:szCs w:val="20"/>
          <w:color w:val="auto"/>
        </w:rPr>
        <w:t xml:space="preserve"> payable to the order of “Seer Biosciences, Inc.” in the sum of $[____].</w:t>
      </w:r>
    </w:p>
    <w:p>
      <w:pPr>
        <w:spacing w:after="0" w:line="17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any of the Shares are vested shares as of the date hereof (in accordance with the vesting schedule provided in the Option Agreement), enclosed is an executed and dated copy of an investment letter that shall apply with respect to such vested shares. I hereby confirm that I have read and I fully understand the terms and conditions (including representations and warranties) of such letter and the Plan.</w:t>
      </w:r>
    </w:p>
    <w:p>
      <w:pPr>
        <w:spacing w:after="0" w:line="118"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If any of the Shares are unvested shares as of the date hereof (in accordance with the vesting schedule provided in the Option Agreement), I acknowledge that the sale of such unvested shares shall be conditioned upon my execution of the Company’s standard form of restricted stock purchase agreement (the “</w:t>
      </w:r>
      <w:r>
        <w:rPr>
          <w:rFonts w:ascii="Arial" w:cs="Arial" w:eastAsia="Arial" w:hAnsi="Arial"/>
          <w:sz w:val="20"/>
          <w:szCs w:val="20"/>
          <w:u w:val="single" w:color="auto"/>
          <w:color w:val="auto"/>
        </w:rPr>
        <w:t>RSPA</w:t>
      </w:r>
      <w:r>
        <w:rPr>
          <w:rFonts w:ascii="Arial" w:cs="Arial" w:eastAsia="Arial" w:hAnsi="Arial"/>
          <w:sz w:val="20"/>
          <w:szCs w:val="20"/>
          <w:color w:val="auto"/>
        </w:rPr>
        <w:t>”). I hereby confirm that I have read and I fully understand the terms and conditions (including representations and warranties) of the RSPA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(Signature)</w:t>
            </w:r>
          </w:p>
        </w:tc>
        <w:tc>
          <w:tcPr>
            <w:tcW w:w="5260" w:type="dxa"/>
            <w:vAlign w:val="bottom"/>
          </w:tcPr>
          <w:p>
            <w:pPr>
              <w:ind w:left="20"/>
              <w:spacing w:after="0"/>
              <w:rPr>
                <w:sz w:val="20"/>
                <w:szCs w:val="20"/>
                <w:color w:val="auto"/>
              </w:rPr>
            </w:pPr>
            <w:r>
              <w:rPr>
                <w:rFonts w:ascii="Arial" w:cs="Arial" w:eastAsia="Arial" w:hAnsi="Arial"/>
                <w:sz w:val="20"/>
                <w:szCs w:val="20"/>
                <w:color w:val="auto"/>
              </w:rPr>
              <w:t>(Street Address)</w:t>
            </w:r>
          </w:p>
        </w:tc>
      </w:tr>
      <w:tr>
        <w:trPr>
          <w:trHeight w:val="563"/>
        </w:trPr>
        <w:tc>
          <w:tcPr>
            <w:tcW w:w="52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54"/>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(Print Name)</w:t>
            </w:r>
          </w:p>
        </w:tc>
        <w:tc>
          <w:tcPr>
            <w:tcW w:w="5260" w:type="dxa"/>
            <w:vAlign w:val="bottom"/>
          </w:tcPr>
          <w:p>
            <w:pPr>
              <w:ind w:left="20"/>
              <w:spacing w:after="0"/>
              <w:rPr>
                <w:sz w:val="20"/>
                <w:szCs w:val="20"/>
                <w:color w:val="auto"/>
              </w:rPr>
            </w:pPr>
            <w:r>
              <w:rPr>
                <w:rFonts w:ascii="Arial" w:cs="Arial" w:eastAsia="Arial" w:hAnsi="Arial"/>
                <w:sz w:val="20"/>
                <w:szCs w:val="20"/>
                <w:color w:val="auto"/>
              </w:rPr>
              <w:t>(City, State, Zip Code)</w:t>
            </w:r>
          </w:p>
        </w:tc>
      </w:tr>
      <w:tr>
        <w:trPr>
          <w:trHeight w:val="563"/>
        </w:trPr>
        <w:tc>
          <w:tcPr>
            <w:tcW w:w="52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54"/>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(Date)</w:t>
            </w:r>
          </w:p>
        </w:tc>
        <w:tc>
          <w:tcPr>
            <w:tcW w:w="5260" w:type="dxa"/>
            <w:vAlign w:val="bottom"/>
          </w:tcPr>
          <w:p>
            <w:pPr>
              <w:ind w:left="20"/>
              <w:spacing w:after="0"/>
              <w:rPr>
                <w:sz w:val="20"/>
                <w:szCs w:val="20"/>
                <w:color w:val="auto"/>
              </w:rPr>
            </w:pPr>
            <w:r>
              <w:rPr>
                <w:rFonts w:ascii="Arial" w:cs="Arial" w:eastAsia="Arial" w:hAnsi="Arial"/>
                <w:sz w:val="20"/>
                <w:szCs w:val="20"/>
                <w:color w:val="auto"/>
              </w:rPr>
              <w:t>(E-mail Address)</w:t>
            </w:r>
          </w:p>
        </w:tc>
      </w:tr>
    </w:tbl>
    <w:p>
      <w:pPr>
        <w:sectPr>
          <w:pgSz w:w="11900" w:h="16838" w:orient="portrait"/>
          <w:cols w:equalWidth="0" w:num="1">
            <w:col w:w="11240"/>
          </w:cols>
          <w:pgMar w:left="320" w:top="1413" w:right="33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20"/>
          <w:szCs w:val="20"/>
          <w:b w:val="1"/>
          <w:bCs w:val="1"/>
          <w:u w:val="single" w:color="auto"/>
          <w:color w:val="auto"/>
        </w:rPr>
        <w:t>SEER BIOSCIENCES,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LETTER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Seer Biosciences,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b w:val="1"/>
          <w:bCs w:val="1"/>
          <w:i w:val="1"/>
          <w:iCs w:val="1"/>
          <w:u w:val="single" w:color="auto"/>
          <w:color w:val="auto"/>
        </w:rPr>
        <w:t>Purchase of Class A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0"/>
          <w:szCs w:val="20"/>
          <w:color w:val="auto"/>
        </w:rPr>
        <w:t>This investment letter is executed and delivered to Seer Biosciences,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my purchase of [</w:t>
      </w:r>
      <w:r>
        <w:rPr>
          <w:rFonts w:ascii="Arial" w:cs="Arial" w:eastAsia="Arial" w:hAnsi="Arial"/>
          <w:sz w:val="20"/>
          <w:szCs w:val="20"/>
          <w:b w:val="1"/>
          <w:bCs w:val="1"/>
          <w:i w:val="1"/>
          <w:iCs w:val="1"/>
          <w:color w:val="auto"/>
        </w:rPr>
        <w:t>number of vested shares purchased</w:t>
      </w:r>
      <w:r>
        <w:rPr>
          <w:rFonts w:ascii="Arial" w:cs="Arial" w:eastAsia="Arial" w:hAnsi="Arial"/>
          <w:sz w:val="20"/>
          <w:szCs w:val="20"/>
          <w:color w:val="auto"/>
        </w:rPr>
        <w:t>] shares of Class A common stock of the Company, $0.00001 par value per share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18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The Shares are being purchased pursuant to my exercise of an option granted to me under the Company’s 2017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pursuant to [an Incentive][a Non-Statutory] Stock Option Agreement dated [__________]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I</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hereby acknowledge that all of the Shares hereunder have vested as of the date hereof in accordance with the vesting schedule provided in the Option Agreement.</w:t>
      </w:r>
    </w:p>
    <w:p>
      <w:pPr>
        <w:spacing w:after="0" w:line="19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9"/>
          <w:szCs w:val="19"/>
          <w:color w:val="auto"/>
        </w:rPr>
        <w:t>I understand that the Shares have not been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registered or qualified under the securities or “blue sky” laws of any state or jurisdiction, and are being sold to me pursuant to exemptions contained in the Securities Act and exemptions contained in other applicable securities or “blue sky” laws. I represent and warrant that the offer and sale of the Shares was made solely in the state shown in the address set forth below. I hereby represent to the Company, and agree that the Company is entitled to rely on such representations, (i) that no one else has any beneficial ownership in the Shares and (ii) that the Shares are not subject to any pledge or other lien. The nature and amount of my investment in the Shares are consistent with my investment objectives, abilities and resources. I understand that the Shares are an illiquid investment, which will not become freely transferable by reason of any “change of circumstances” whatsoever. I have adequate means of providing for my current needs and possible contingencies and have no need for liquidity in my investment.</w:t>
      </w:r>
    </w:p>
    <w:p>
      <w:pPr>
        <w:spacing w:after="0" w:line="184"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I understand that the Shares will constitute “restricted securities” within the meaning of Rule l44 promulgated under the Securities Act and that, as such, the Shares must be held indefinitely unless they are subsequently registered under the Securities Act or unless an exemption from the registration requirements thereof is available.</w:t>
      </w:r>
    </w:p>
    <w:p>
      <w:pPr>
        <w:spacing w:after="0" w:line="186" w:lineRule="exact"/>
        <w:rPr>
          <w:sz w:val="20"/>
          <w:szCs w:val="20"/>
          <w:color w:val="auto"/>
        </w:rPr>
      </w:pPr>
    </w:p>
    <w:p>
      <w:pPr>
        <w:ind w:right="100" w:firstLine="648"/>
        <w:spacing w:after="0" w:line="260" w:lineRule="auto"/>
        <w:rPr>
          <w:sz w:val="20"/>
          <w:szCs w:val="20"/>
          <w:color w:val="auto"/>
        </w:rPr>
      </w:pPr>
      <w:r>
        <w:rPr>
          <w:rFonts w:ascii="Arial" w:cs="Arial" w:eastAsia="Arial" w:hAnsi="Arial"/>
          <w:sz w:val="19"/>
          <w:szCs w:val="19"/>
          <w:color w:val="auto"/>
        </w:rPr>
        <w:t>I hereby acknowledge and agree that (i) the Shares shall continue to be bound by the terms and conditions of the Option Agreement and the terms of the Plan, and (ii) in addition to any restrictions on transfer pursuant to any applicable law, the Shares are and will remain subject to restrictions on transfer imposed pursuant to the Plan and the Option Agreement. Without limiting the generality of the foregoing, I acknowledge that the Shares shall be subject to that certain right of first refusal in favor of the Company and that certain repurchase right in favor of the Company, which are described in the Option Agreement.</w:t>
      </w:r>
    </w:p>
    <w:p>
      <w:pPr>
        <w:sectPr>
          <w:pgSz w:w="11900" w:h="16838" w:orient="portrait"/>
          <w:cols w:equalWidth="0" w:num="1">
            <w:col w:w="11240"/>
          </w:cols>
          <w:pgMar w:left="320" w:top="1413" w:right="339" w:bottom="1440" w:gutter="0" w:footer="0" w:header="0"/>
        </w:sectPr>
      </w:pPr>
    </w:p>
    <w:bookmarkStart w:id="334" w:name="page335"/>
    <w:bookmarkEnd w:id="334"/>
    <w:p>
      <w:pPr>
        <w:ind w:right="660" w:firstLine="648"/>
        <w:spacing w:after="0" w:line="260" w:lineRule="auto"/>
        <w:rPr>
          <w:sz w:val="20"/>
          <w:szCs w:val="20"/>
          <w:color w:val="auto"/>
        </w:rPr>
      </w:pPr>
      <w:r>
        <w:rPr>
          <w:rFonts w:ascii="Arial" w:cs="Arial" w:eastAsia="Arial" w:hAnsi="Arial"/>
          <w:sz w:val="20"/>
          <w:szCs w:val="20"/>
          <w:color w:val="auto"/>
        </w:rPr>
        <w:t>I acknowledge and agree that in addition to legends required or permitted pursuant to the Plan and the Option Agreement, the certificate representing the Shares will bear a legend in substantially the following form:</w:t>
      </w:r>
    </w:p>
    <w:p>
      <w:pPr>
        <w:spacing w:after="0" w:line="177" w:lineRule="exact"/>
        <w:rPr>
          <w:sz w:val="20"/>
          <w:szCs w:val="20"/>
          <w:color w:val="auto"/>
        </w:rPr>
      </w:pPr>
    </w:p>
    <w:p>
      <w:pPr>
        <w:ind w:left="660" w:right="740"/>
        <w:spacing w:after="0" w:line="243" w:lineRule="auto"/>
        <w:rPr>
          <w:sz w:val="20"/>
          <w:szCs w:val="20"/>
          <w:color w:val="auto"/>
        </w:rPr>
      </w:pPr>
      <w:r>
        <w:rPr>
          <w:rFonts w:ascii="Arial" w:cs="Arial" w:eastAsia="Arial" w:hAnsi="Arial"/>
          <w:sz w:val="20"/>
          <w:szCs w:val="20"/>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96" w:lineRule="exact"/>
        <w:rPr>
          <w:sz w:val="20"/>
          <w:szCs w:val="20"/>
          <w:color w:val="auto"/>
        </w:rPr>
      </w:pPr>
    </w:p>
    <w:p>
      <w:pPr>
        <w:ind w:left="660" w:right="700"/>
        <w:spacing w:after="0" w:line="260" w:lineRule="auto"/>
        <w:rPr>
          <w:sz w:val="20"/>
          <w:szCs w:val="20"/>
          <w:color w:val="auto"/>
        </w:rPr>
      </w:pPr>
      <w:r>
        <w:rPr>
          <w:rFonts w:ascii="Arial" w:cs="Arial" w:eastAsia="Arial" w:hAnsi="Arial"/>
          <w:sz w:val="19"/>
          <w:szCs w:val="19"/>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80"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 acknowledge and agree that the Company may place a stop order pertaining to the certificates evidencing the Shares with any transfer agent of the Company, to the same effect as the above legend. The legend and stop transfer notice referred to above shall be removed only upon my furnishing to the Company an opinion of counsel to the effect that such legend may lawfully be removed and if such counsel and such opinion are satisfactory to the Company.</w:t>
      </w:r>
    </w:p>
    <w:p>
      <w:pPr>
        <w:spacing w:after="0" w:line="19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I have consulted my attorney or my accountant with respect to my purchase of the Shares. My representatives and I have fully investigated the Company and its business and financial conditions and have knowledge of the Company’s current corporate activities and financial condition. I acknowledge that the Company has granted me and my attorney or accountant access to all information about the Company which I have requested and has offered each of us access to all further information which I deemed relevant to an investment decision with respect to the Shares. My attorney or accountant and I have had the opportunity to ask questions of, and receive answers from, representatives of the Company concerning such information and the Company’s financial condition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(Signature)</w:t>
            </w:r>
          </w:p>
        </w:tc>
        <w:tc>
          <w:tcPr>
            <w:tcW w:w="5260" w:type="dxa"/>
            <w:vAlign w:val="bottom"/>
          </w:tcPr>
          <w:p>
            <w:pPr>
              <w:ind w:left="20"/>
              <w:spacing w:after="0"/>
              <w:rPr>
                <w:sz w:val="20"/>
                <w:szCs w:val="20"/>
                <w:color w:val="auto"/>
              </w:rPr>
            </w:pPr>
            <w:r>
              <w:rPr>
                <w:rFonts w:ascii="Arial" w:cs="Arial" w:eastAsia="Arial" w:hAnsi="Arial"/>
                <w:sz w:val="20"/>
                <w:szCs w:val="20"/>
                <w:color w:val="auto"/>
              </w:rPr>
              <w:t>(Street Address)</w:t>
            </w:r>
          </w:p>
        </w:tc>
      </w:tr>
      <w:tr>
        <w:trPr>
          <w:trHeight w:val="563"/>
        </w:trPr>
        <w:tc>
          <w:tcPr>
            <w:tcW w:w="52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54"/>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(Print Name)</w:t>
            </w:r>
          </w:p>
        </w:tc>
        <w:tc>
          <w:tcPr>
            <w:tcW w:w="5260" w:type="dxa"/>
            <w:vAlign w:val="bottom"/>
          </w:tcPr>
          <w:p>
            <w:pPr>
              <w:ind w:left="20"/>
              <w:spacing w:after="0"/>
              <w:rPr>
                <w:sz w:val="20"/>
                <w:szCs w:val="20"/>
                <w:color w:val="auto"/>
              </w:rPr>
            </w:pPr>
            <w:r>
              <w:rPr>
                <w:rFonts w:ascii="Arial" w:cs="Arial" w:eastAsia="Arial" w:hAnsi="Arial"/>
                <w:sz w:val="20"/>
                <w:szCs w:val="20"/>
                <w:color w:val="auto"/>
              </w:rPr>
              <w:t>(City, State, Zip Code)</w:t>
            </w:r>
          </w:p>
        </w:tc>
      </w:tr>
      <w:tr>
        <w:trPr>
          <w:trHeight w:val="563"/>
        </w:trPr>
        <w:tc>
          <w:tcPr>
            <w:tcW w:w="52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54"/>
        </w:trPr>
        <w:tc>
          <w:tcPr>
            <w:tcW w:w="5980" w:type="dxa"/>
            <w:vAlign w:val="bottom"/>
            <w:gridSpan w:val="2"/>
          </w:tcPr>
          <w:p>
            <w:pPr>
              <w:ind w:left="20"/>
              <w:spacing w:after="0"/>
              <w:rPr>
                <w:sz w:val="20"/>
                <w:szCs w:val="20"/>
                <w:color w:val="auto"/>
              </w:rPr>
            </w:pPr>
            <w:r>
              <w:rPr>
                <w:rFonts w:ascii="Arial" w:cs="Arial" w:eastAsia="Arial" w:hAnsi="Arial"/>
                <w:sz w:val="20"/>
                <w:szCs w:val="20"/>
                <w:color w:val="auto"/>
              </w:rPr>
              <w:t>(Date)</w:t>
            </w:r>
          </w:p>
        </w:tc>
        <w:tc>
          <w:tcPr>
            <w:tcW w:w="5260" w:type="dxa"/>
            <w:vAlign w:val="bottom"/>
          </w:tcPr>
          <w:p>
            <w:pPr>
              <w:ind w:left="20"/>
              <w:spacing w:after="0"/>
              <w:rPr>
                <w:sz w:val="20"/>
                <w:szCs w:val="20"/>
                <w:color w:val="auto"/>
              </w:rPr>
            </w:pPr>
            <w:r>
              <w:rPr>
                <w:rFonts w:ascii="Arial" w:cs="Arial" w:eastAsia="Arial" w:hAnsi="Arial"/>
                <w:sz w:val="20"/>
                <w:szCs w:val="20"/>
                <w:color w:val="auto"/>
              </w:rPr>
              <w:t>(E-mail Address)</w:t>
            </w:r>
          </w:p>
        </w:tc>
      </w:tr>
    </w:tbl>
    <w:p>
      <w:pPr>
        <w:sectPr>
          <w:pgSz w:w="11900" w:h="16838" w:orient="portrait"/>
          <w:cols w:equalWidth="0" w:num="1">
            <w:col w:w="11240"/>
          </w:cols>
          <w:pgMar w:left="320" w:top="1419"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2020 RSU EQUITY INCENTIVE PLAN</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22"/>
          <w:szCs w:val="22"/>
          <w:b w:val="1"/>
          <w:bCs w:val="1"/>
          <w:i w:val="1"/>
          <w:iCs w:val="1"/>
          <w:color w:val="auto"/>
        </w:rPr>
        <w:t>(As amended and restated July 28, 2020)</w:t>
      </w:r>
    </w:p>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Plan are: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to provide additional incentive to Employees, Directors and Consultants, 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Plan permits the grant of Restricted Stock Units.</w:t>
      </w:r>
    </w:p>
    <w:p>
      <w:pPr>
        <w:spacing w:after="0" w:line="220" w:lineRule="exact"/>
        <w:rPr>
          <w:sz w:val="20"/>
          <w:szCs w:val="20"/>
          <w:color w:val="auto"/>
        </w:rPr>
      </w:pPr>
    </w:p>
    <w:p>
      <w:pPr>
        <w:ind w:left="1300" w:hanging="644"/>
        <w:spacing w:after="0"/>
        <w:tabs>
          <w:tab w:leader="none" w:pos="130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19" w:lineRule="exact"/>
        <w:rPr>
          <w:rFonts w:ascii="Arial" w:cs="Arial" w:eastAsia="Arial" w:hAnsi="Arial"/>
          <w:sz w:val="22"/>
          <w:szCs w:val="22"/>
          <w:color w:val="auto"/>
        </w:rPr>
      </w:pPr>
    </w:p>
    <w:p>
      <w:pPr>
        <w:ind w:right="20" w:firstLine="1304"/>
        <w:spacing w:after="0" w:line="263" w:lineRule="auto"/>
        <w:tabs>
          <w:tab w:leader="none" w:pos="1941" w:val="left"/>
        </w:tabs>
        <w:numPr>
          <w:ilvl w:val="1"/>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will be administering the Plan, in accordance with Section 4 of the Plan.</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39" w:val="left"/>
        </w:tabs>
        <w:numPr>
          <w:ilvl w:val="1"/>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Restricted Stock Units.</w:t>
      </w:r>
    </w:p>
    <w:p>
      <w:pPr>
        <w:spacing w:after="0" w:line="219" w:lineRule="exact"/>
        <w:rPr>
          <w:rFonts w:ascii="Arial" w:cs="Arial" w:eastAsia="Arial" w:hAnsi="Arial"/>
          <w:sz w:val="22"/>
          <w:szCs w:val="22"/>
          <w:color w:val="auto"/>
        </w:rPr>
      </w:pPr>
    </w:p>
    <w:p>
      <w:pPr>
        <w:ind w:firstLine="1304"/>
        <w:spacing w:after="0" w:line="343" w:lineRule="auto"/>
        <w:tabs>
          <w:tab w:leader="none" w:pos="1939" w:val="left"/>
        </w:tabs>
        <w:numPr>
          <w:ilvl w:val="1"/>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the written or electronic agreement setting forth the terms and provisions applicable to each Award granted under the Plan. The Award Agreement is subject to the terms and conditions of the Plan.</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19" w:lineRule="exact"/>
        <w:rPr>
          <w:rFonts w:ascii="Arial" w:cs="Arial" w:eastAsia="Arial" w:hAnsi="Arial"/>
          <w:sz w:val="22"/>
          <w:szCs w:val="22"/>
          <w:color w:val="auto"/>
        </w:rPr>
      </w:pPr>
    </w:p>
    <w:p>
      <w:pPr>
        <w:jc w:val="both"/>
        <w:ind w:firstLine="1952"/>
        <w:spacing w:after="0" w:line="263" w:lineRule="auto"/>
        <w:tabs>
          <w:tab w:leader="none" w:pos="2580" w:val="left"/>
        </w:tabs>
        <w:numPr>
          <w:ilvl w:val="2"/>
          <w:numId w:val="276"/>
        </w:numPr>
        <w:rPr>
          <w:rFonts w:ascii="Arial" w:cs="Arial" w:eastAsia="Arial" w:hAnsi="Arial"/>
          <w:sz w:val="21"/>
          <w:szCs w:val="21"/>
          <w:color w:val="auto"/>
        </w:rPr>
      </w:pPr>
      <w:r>
        <w:rPr>
          <w:rFonts w:ascii="Arial" w:cs="Arial" w:eastAsia="Arial" w:hAnsi="Arial"/>
          <w:sz w:val="21"/>
          <w:szCs w:val="21"/>
          <w:u w:val="single" w:color="auto"/>
          <w:color w:val="auto"/>
        </w:rPr>
        <w:t>Change in Ownership of the Company</w:t>
      </w:r>
      <w:r>
        <w:rPr>
          <w:rFonts w:ascii="Arial" w:cs="Arial" w:eastAsia="Arial" w:hAnsi="Arial"/>
          <w:sz w:val="21"/>
          <w:szCs w:val="21"/>
          <w:color w:val="auto"/>
        </w:rPr>
        <w:t>. A change in the ownership of the Company which occurs on the date that any one person, or more than one person acting as a group (“</w:t>
      </w:r>
      <w:r>
        <w:rPr>
          <w:rFonts w:ascii="Arial" w:cs="Arial" w:eastAsia="Arial" w:hAnsi="Arial"/>
          <w:sz w:val="21"/>
          <w:szCs w:val="21"/>
          <w:u w:val="single" w:color="auto"/>
          <w:color w:val="auto"/>
        </w:rPr>
        <w:t>Person</w:t>
      </w:r>
      <w:r>
        <w:rPr>
          <w:rFonts w:ascii="Arial" w:cs="Arial" w:eastAsia="Arial" w:hAnsi="Arial"/>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w:t>
      </w:r>
    </w:p>
    <w:p>
      <w:pPr>
        <w:sectPr>
          <w:pgSz w:w="11900" w:h="16838" w:orient="portrait"/>
          <w:cols w:equalWidth="0" w:num="1">
            <w:col w:w="11240"/>
          </w:cols>
          <w:pgMar w:left="320" w:top="121" w:right="339" w:bottom="1440" w:gutter="0" w:footer="0" w:header="0"/>
        </w:sectPr>
      </w:pPr>
    </w:p>
    <w:bookmarkStart w:id="336" w:name="page337"/>
    <w:bookmarkEnd w:id="336"/>
    <w:p>
      <w:pPr>
        <w:jc w:val="both"/>
        <w:spacing w:after="0" w:line="258" w:lineRule="auto"/>
        <w:rPr>
          <w:sz w:val="20"/>
          <w:szCs w:val="20"/>
          <w:color w:val="auto"/>
        </w:rPr>
      </w:pPr>
      <w:r>
        <w:rPr>
          <w:rFonts w:ascii="Arial" w:cs="Arial" w:eastAsia="Arial" w:hAnsi="Arial"/>
          <w:sz w:val="21"/>
          <w:szCs w:val="21"/>
          <w:color w:val="auto"/>
        </w:rPr>
        <w:t>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5" w:lineRule="exact"/>
        <w:rPr>
          <w:sz w:val="20"/>
          <w:szCs w:val="20"/>
          <w:color w:val="auto"/>
        </w:rPr>
      </w:pPr>
    </w:p>
    <w:p>
      <w:pPr>
        <w:jc w:val="both"/>
        <w:ind w:firstLine="1952"/>
        <w:spacing w:after="0" w:line="261" w:lineRule="auto"/>
        <w:tabs>
          <w:tab w:leader="none" w:pos="2586" w:val="left"/>
        </w:tabs>
        <w:numPr>
          <w:ilvl w:val="1"/>
          <w:numId w:val="277"/>
        </w:numPr>
        <w:rPr>
          <w:rFonts w:ascii="Arial" w:cs="Arial" w:eastAsia="Arial" w:hAnsi="Arial"/>
          <w:sz w:val="21"/>
          <w:szCs w:val="21"/>
          <w:color w:val="auto"/>
        </w:rPr>
      </w:pPr>
      <w:r>
        <w:rPr>
          <w:rFonts w:ascii="Arial" w:cs="Arial" w:eastAsia="Arial" w:hAnsi="Arial"/>
          <w:sz w:val="21"/>
          <w:szCs w:val="21"/>
          <w:u w:val="single" w:color="auto"/>
          <w:color w:val="auto"/>
        </w:rPr>
        <w:t>Change in Effective Control of the Company</w:t>
      </w:r>
      <w:r>
        <w:rPr>
          <w:rFonts w:ascii="Arial" w:cs="Arial" w:eastAsia="Arial" w:hAnsi="Arial"/>
          <w:sz w:val="21"/>
          <w:szCs w:val="21"/>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9" w:lineRule="exact"/>
        <w:rPr>
          <w:rFonts w:ascii="Arial" w:cs="Arial" w:eastAsia="Arial" w:hAnsi="Arial"/>
          <w:sz w:val="21"/>
          <w:szCs w:val="21"/>
          <w:color w:val="auto"/>
        </w:rPr>
      </w:pPr>
    </w:p>
    <w:p>
      <w:pPr>
        <w:jc w:val="both"/>
        <w:ind w:firstLine="1952"/>
        <w:spacing w:after="0" w:line="285" w:lineRule="auto"/>
        <w:tabs>
          <w:tab w:leader="none" w:pos="2700" w:val="left"/>
        </w:tabs>
        <w:numPr>
          <w:ilvl w:val="1"/>
          <w:numId w:val="277"/>
        </w:numPr>
        <w:rPr>
          <w:rFonts w:ascii="Arial" w:cs="Arial" w:eastAsia="Arial" w:hAnsi="Arial"/>
          <w:sz w:val="19"/>
          <w:szCs w:val="19"/>
          <w:color w:val="auto"/>
        </w:rPr>
      </w:pP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jc w:val="both"/>
        <w:ind w:firstLine="8"/>
        <w:spacing w:after="0" w:line="287" w:lineRule="auto"/>
        <w:tabs>
          <w:tab w:leader="none" w:pos="37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37" w:name="page338"/>
    <w:bookmarkEnd w:id="337"/>
    <w:p>
      <w:pPr>
        <w:jc w:val="both"/>
        <w:ind w:firstLine="1944"/>
        <w:spacing w:after="0" w:line="253" w:lineRule="auto"/>
        <w:rPr>
          <w:sz w:val="20"/>
          <w:szCs w:val="20"/>
          <w:color w:val="auto"/>
        </w:rPr>
      </w:pPr>
      <w:r>
        <w:rPr>
          <w:rFonts w:ascii="Arial" w:cs="Arial" w:eastAsia="Arial" w:hAnsi="Arial"/>
          <w:sz w:val="22"/>
          <w:szCs w:val="22"/>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88"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8" w:lineRule="exact"/>
        <w:rPr>
          <w:sz w:val="20"/>
          <w:szCs w:val="20"/>
          <w:color w:val="auto"/>
        </w:rPr>
      </w:pPr>
    </w:p>
    <w:p>
      <w:pPr>
        <w:jc w:val="both"/>
        <w:ind w:firstLine="1304"/>
        <w:spacing w:after="0" w:line="302" w:lineRule="auto"/>
        <w:tabs>
          <w:tab w:leader="none" w:pos="193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regulation or formal guidance of general or direct applicability amending, supplementing or superseding such section or regulation).</w:t>
      </w:r>
    </w:p>
    <w:p>
      <w:pPr>
        <w:spacing w:after="0" w:line="142" w:lineRule="exact"/>
        <w:rPr>
          <w:rFonts w:ascii="Arial" w:cs="Arial" w:eastAsia="Arial" w:hAnsi="Arial"/>
          <w:sz w:val="19"/>
          <w:szCs w:val="19"/>
          <w:color w:val="auto"/>
        </w:rPr>
      </w:pPr>
    </w:p>
    <w:p>
      <w:pPr>
        <w:ind w:right="20" w:firstLine="1304"/>
        <w:spacing w:after="0" w:line="263" w:lineRule="auto"/>
        <w:tabs>
          <w:tab w:leader="none" w:pos="1939"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or by a duly authorized committee of the Board, in accordance with Section 4 hereof.</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of the Company.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Seer, Inc., a Delaware corporation, or any successor thereto.</w:t>
      </w:r>
    </w:p>
    <w:p>
      <w:pPr>
        <w:spacing w:after="0" w:line="219"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color w:val="auto"/>
        </w:rPr>
      </w:pPr>
    </w:p>
    <w:p>
      <w:pPr>
        <w:jc w:val="both"/>
        <w:ind w:right="20" w:firstLine="1304"/>
        <w:spacing w:after="0" w:line="253" w:lineRule="auto"/>
        <w:tabs>
          <w:tab w:leader="none" w:pos="193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38" w:name="page339"/>
    <w:bookmarkEnd w:id="338"/>
    <w:p>
      <w:pPr>
        <w:jc w:val="both"/>
        <w:ind w:firstLine="1304"/>
        <w:spacing w:after="0" w:line="253" w:lineRule="auto"/>
        <w:tabs>
          <w:tab w:leader="none" w:pos="193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39"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19" w:lineRule="exact"/>
        <w:rPr>
          <w:rFonts w:ascii="Arial" w:cs="Arial" w:eastAsia="Arial" w:hAnsi="Arial"/>
          <w:sz w:val="22"/>
          <w:szCs w:val="22"/>
          <w:color w:val="auto"/>
        </w:rPr>
      </w:pPr>
    </w:p>
    <w:p>
      <w:pPr>
        <w:jc w:val="both"/>
        <w:ind w:firstLine="1952"/>
        <w:spacing w:after="0" w:line="247" w:lineRule="auto"/>
        <w:tabs>
          <w:tab w:leader="none" w:pos="25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92" w:lineRule="exact"/>
        <w:rPr>
          <w:rFonts w:ascii="Arial" w:cs="Arial" w:eastAsia="Arial" w:hAnsi="Arial"/>
          <w:sz w:val="22"/>
          <w:szCs w:val="22"/>
          <w:color w:val="auto"/>
        </w:rPr>
      </w:pPr>
    </w:p>
    <w:p>
      <w:pPr>
        <w:jc w:val="both"/>
        <w:ind w:firstLine="1952"/>
        <w:spacing w:after="0" w:line="302" w:lineRule="auto"/>
        <w:tabs>
          <w:tab w:leader="none" w:pos="2586" w:val="left"/>
        </w:tabs>
        <w:numPr>
          <w:ilvl w:val="1"/>
          <w:numId w:val="280"/>
        </w:numPr>
        <w:rPr>
          <w:rFonts w:ascii="Arial" w:cs="Arial" w:eastAsia="Arial" w:hAnsi="Arial"/>
          <w:sz w:val="19"/>
          <w:szCs w:val="19"/>
          <w:color w:val="auto"/>
        </w:rPr>
      </w:pPr>
      <w:r>
        <w:rPr>
          <w:rFonts w:ascii="Arial" w:cs="Arial" w:eastAsia="Arial" w:hAnsi="Arial"/>
          <w:sz w:val="19"/>
          <w:szCs w:val="19"/>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or</w:t>
      </w:r>
    </w:p>
    <w:p>
      <w:pPr>
        <w:spacing w:after="0" w:line="142" w:lineRule="exact"/>
        <w:rPr>
          <w:rFonts w:ascii="Arial" w:cs="Arial" w:eastAsia="Arial" w:hAnsi="Arial"/>
          <w:sz w:val="19"/>
          <w:szCs w:val="19"/>
          <w:color w:val="auto"/>
        </w:rPr>
      </w:pPr>
    </w:p>
    <w:p>
      <w:pPr>
        <w:ind w:firstLine="1952"/>
        <w:spacing w:after="0" w:line="263" w:lineRule="auto"/>
        <w:tabs>
          <w:tab w:leader="none" w:pos="2592" w:val="left"/>
        </w:tabs>
        <w:numPr>
          <w:ilvl w:val="1"/>
          <w:numId w:val="280"/>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will be determined in good faith by the Administrator.</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Code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424(e).</w:t>
      </w:r>
    </w:p>
    <w:p>
      <w:pPr>
        <w:spacing w:after="0" w:line="201" w:lineRule="exact"/>
        <w:rPr>
          <w:rFonts w:ascii="Arial" w:cs="Arial" w:eastAsia="Arial" w:hAnsi="Arial"/>
          <w:sz w:val="19"/>
          <w:szCs w:val="19"/>
          <w:color w:val="auto"/>
        </w:rPr>
      </w:pPr>
    </w:p>
    <w:p>
      <w:pPr>
        <w:ind w:left="1960" w:hanging="656"/>
        <w:spacing w:after="0"/>
        <w:tabs>
          <w:tab w:leader="none" w:pos="196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2020 RSU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39" w:name="page340"/>
    <w:bookmarkEnd w:id="339"/>
    <w:p>
      <w:pPr>
        <w:jc w:val="both"/>
        <w:ind w:firstLine="1304"/>
        <w:spacing w:after="0" w:line="253" w:lineRule="auto"/>
        <w:tabs>
          <w:tab w:leader="none" w:pos="1939"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of one Share, granted pursuant to Section 6. Each Restricted Stock Unit represents an unfunded and unsecured obligation of the Company.</w:t>
      </w:r>
    </w:p>
    <w:p>
      <w:pPr>
        <w:spacing w:after="0" w:line="185" w:lineRule="exact"/>
        <w:rPr>
          <w:rFonts w:ascii="Arial" w:cs="Arial" w:eastAsia="Arial" w:hAnsi="Arial"/>
          <w:sz w:val="22"/>
          <w:szCs w:val="22"/>
          <w:color w:val="auto"/>
        </w:rPr>
      </w:pPr>
    </w:p>
    <w:p>
      <w:pPr>
        <w:ind w:firstLine="1304"/>
        <w:spacing w:after="0" w:line="287" w:lineRule="auto"/>
        <w:tabs>
          <w:tab w:leader="none" w:pos="1939" w:val="left"/>
        </w:tabs>
        <w:numPr>
          <w:ilvl w:val="1"/>
          <w:numId w:val="2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w:t>
      </w:r>
      <w:r>
        <w:rPr>
          <w:rFonts w:ascii="Arial" w:cs="Arial" w:eastAsia="Arial" w:hAnsi="Arial"/>
          <w:sz w:val="19"/>
          <w:szCs w:val="19"/>
          <w:color w:val="auto"/>
        </w:rPr>
        <w:t>” means a share of the Common Stock, as adjusted in accordance with Section 10 of the Plan.</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1"/>
          <w:numId w:val="2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Code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424(f).</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282"/>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 Subject to the provisions of Section 10 of the Plan, the maximum aggregate number of Shares that may be subject to Awards and sold under the Plan is 717,232 Shares. The Shares may be authorized but unissued, or reacquired Common Stock.</w:t>
      </w:r>
    </w:p>
    <w:p>
      <w:pPr>
        <w:spacing w:after="0" w:line="185" w:lineRule="exact"/>
        <w:rPr>
          <w:rFonts w:ascii="Arial" w:cs="Arial" w:eastAsia="Arial" w:hAnsi="Arial"/>
          <w:sz w:val="22"/>
          <w:szCs w:val="22"/>
          <w:color w:val="auto"/>
        </w:rPr>
      </w:pPr>
    </w:p>
    <w:p>
      <w:pPr>
        <w:jc w:val="both"/>
        <w:ind w:firstLine="1304"/>
        <w:spacing w:after="0" w:line="258" w:lineRule="auto"/>
        <w:tabs>
          <w:tab w:leader="none" w:pos="1939" w:val="left"/>
        </w:tabs>
        <w:numPr>
          <w:ilvl w:val="1"/>
          <w:numId w:val="282"/>
        </w:numPr>
        <w:rPr>
          <w:rFonts w:ascii="Arial" w:cs="Arial" w:eastAsia="Arial" w:hAnsi="Arial"/>
          <w:sz w:val="21"/>
          <w:szCs w:val="21"/>
          <w:color w:val="auto"/>
        </w:rPr>
      </w:pPr>
      <w:r>
        <w:rPr>
          <w:rFonts w:ascii="Arial" w:cs="Arial" w:eastAsia="Arial" w:hAnsi="Arial"/>
          <w:sz w:val="21"/>
          <w:szCs w:val="21"/>
          <w:u w:val="single" w:color="auto"/>
          <w:color w:val="auto"/>
        </w:rPr>
        <w:t>Lapsed Awards</w:t>
      </w:r>
      <w:r>
        <w:rPr>
          <w:rFonts w:ascii="Arial" w:cs="Arial" w:eastAsia="Arial" w:hAnsi="Arial"/>
          <w:sz w:val="21"/>
          <w:szCs w:val="21"/>
          <w:color w:val="auto"/>
        </w:rPr>
        <w:t>. If an Award expires or becomes unexercisable without having been exercised in full, is surrendered pursuant to an Exchange Program, or, is forfeited to or repurchased by the Company due to the failure to vest,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Units are repurchased by the Company or are forfeited to the Company due to the failure to vest, such Shares will become available for future grant under the Plan. Shares used to pay the exercise price of an Award or to satisfy the tax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5" w:lineRule="exact"/>
        <w:rPr>
          <w:rFonts w:ascii="Arial" w:cs="Arial" w:eastAsia="Arial" w:hAnsi="Arial"/>
          <w:sz w:val="21"/>
          <w:szCs w:val="21"/>
          <w:color w:val="auto"/>
        </w:rPr>
      </w:pPr>
    </w:p>
    <w:p>
      <w:pPr>
        <w:ind w:firstLine="1304"/>
        <w:spacing w:after="0" w:line="263" w:lineRule="auto"/>
        <w:tabs>
          <w:tab w:leader="none" w:pos="1941" w:val="left"/>
        </w:tabs>
        <w:numPr>
          <w:ilvl w:val="1"/>
          <w:numId w:val="282"/>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40" w:name="page341"/>
    <w:bookmarkEnd w:id="340"/>
    <w:p>
      <w:pPr>
        <w:ind w:left="1300" w:hanging="644"/>
        <w:spacing w:after="0"/>
        <w:tabs>
          <w:tab w:leader="none" w:pos="130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952"/>
        <w:spacing w:after="0" w:line="263" w:lineRule="auto"/>
        <w:tabs>
          <w:tab w:leader="none" w:pos="2580" w:val="left"/>
        </w:tabs>
        <w:numPr>
          <w:ilvl w:val="2"/>
          <w:numId w:val="283"/>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74" w:lineRule="exact"/>
        <w:rPr>
          <w:rFonts w:ascii="Arial" w:cs="Arial" w:eastAsia="Arial" w:hAnsi="Arial"/>
          <w:sz w:val="22"/>
          <w:szCs w:val="22"/>
          <w:color w:val="auto"/>
        </w:rPr>
      </w:pPr>
    </w:p>
    <w:p>
      <w:pPr>
        <w:ind w:firstLine="1952"/>
        <w:spacing w:after="0" w:line="263" w:lineRule="auto"/>
        <w:tabs>
          <w:tab w:leader="none" w:pos="2586" w:val="left"/>
        </w:tabs>
        <w:numPr>
          <w:ilvl w:val="2"/>
          <w:numId w:val="283"/>
        </w:numPr>
        <w:rPr>
          <w:rFonts w:ascii="Arial" w:cs="Arial" w:eastAsia="Arial" w:hAnsi="Arial"/>
          <w:sz w:val="22"/>
          <w:szCs w:val="22"/>
          <w:color w:val="auto"/>
        </w:rPr>
      </w:pPr>
      <w:r>
        <w:rPr>
          <w:rFonts w:ascii="Arial" w:cs="Arial" w:eastAsia="Arial" w:hAnsi="Arial"/>
          <w:sz w:val="22"/>
          <w:szCs w:val="22"/>
          <w:u w:val="single" w:color="auto"/>
          <w:color w:val="auto"/>
        </w:rPr>
        <w:t>Other Administration</w:t>
      </w:r>
      <w:r>
        <w:rPr>
          <w:rFonts w:ascii="Arial" w:cs="Arial" w:eastAsia="Arial" w:hAnsi="Arial"/>
          <w:sz w:val="22"/>
          <w:szCs w:val="22"/>
          <w:color w:val="auto"/>
        </w:rPr>
        <w:t>. Other than as provided above, the Plan will be administered by (A) the Board or (B) a Committee, which Committee will be constituted to satisfy Applicable Laws.</w:t>
      </w:r>
    </w:p>
    <w:p>
      <w:pPr>
        <w:spacing w:after="0" w:line="174" w:lineRule="exact"/>
        <w:rPr>
          <w:rFonts w:ascii="Arial" w:cs="Arial" w:eastAsia="Arial" w:hAnsi="Arial"/>
          <w:sz w:val="22"/>
          <w:szCs w:val="22"/>
          <w:color w:val="auto"/>
        </w:rPr>
      </w:pPr>
    </w:p>
    <w:p>
      <w:pPr>
        <w:ind w:firstLine="1304"/>
        <w:spacing w:after="0" w:line="343" w:lineRule="auto"/>
        <w:tabs>
          <w:tab w:leader="none" w:pos="1939" w:val="left"/>
        </w:tabs>
        <w:numPr>
          <w:ilvl w:val="1"/>
          <w:numId w:val="283"/>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subject to the specific duties delegated by the Board to such Committee, the Administrator will have the authority, in its discretion:</w:t>
      </w:r>
    </w:p>
    <w:p>
      <w:pPr>
        <w:spacing w:after="0" w:line="104" w:lineRule="exact"/>
        <w:rPr>
          <w:rFonts w:ascii="Arial" w:cs="Arial" w:eastAsia="Arial" w:hAnsi="Arial"/>
          <w:sz w:val="19"/>
          <w:szCs w:val="19"/>
          <w:color w:val="auto"/>
        </w:rPr>
      </w:pPr>
    </w:p>
    <w:p>
      <w:pPr>
        <w:ind w:left="2580" w:hanging="628"/>
        <w:spacing w:after="0"/>
        <w:tabs>
          <w:tab w:leader="none" w:pos="258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select the Service Providers to whom Awards may be granted hereunder;</w:t>
      </w:r>
    </w:p>
    <w:p>
      <w:pPr>
        <w:spacing w:after="0" w:line="219" w:lineRule="exact"/>
        <w:rPr>
          <w:rFonts w:ascii="Arial" w:cs="Arial" w:eastAsia="Arial" w:hAnsi="Arial"/>
          <w:sz w:val="22"/>
          <w:szCs w:val="22"/>
          <w:color w:val="auto"/>
        </w:rPr>
      </w:pPr>
    </w:p>
    <w:p>
      <w:pPr>
        <w:ind w:left="2660" w:hanging="708"/>
        <w:spacing w:after="0"/>
        <w:tabs>
          <w:tab w:leader="none" w:pos="266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 hereunder;</w:t>
      </w:r>
    </w:p>
    <w:p>
      <w:pPr>
        <w:spacing w:after="0" w:line="219" w:lineRule="exact"/>
        <w:rPr>
          <w:rFonts w:ascii="Arial" w:cs="Arial" w:eastAsia="Arial" w:hAnsi="Arial"/>
          <w:sz w:val="22"/>
          <w:szCs w:val="22"/>
          <w:color w:val="auto"/>
        </w:rPr>
      </w:pPr>
    </w:p>
    <w:p>
      <w:pPr>
        <w:ind w:left="2640" w:hanging="688"/>
        <w:spacing w:after="0"/>
        <w:tabs>
          <w:tab w:leader="none" w:pos="264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19" w:lineRule="exact"/>
        <w:rPr>
          <w:rFonts w:ascii="Arial" w:cs="Arial" w:eastAsia="Arial" w:hAnsi="Arial"/>
          <w:sz w:val="22"/>
          <w:szCs w:val="22"/>
          <w:color w:val="auto"/>
        </w:rPr>
      </w:pPr>
    </w:p>
    <w:p>
      <w:pPr>
        <w:jc w:val="both"/>
        <w:ind w:firstLine="1952"/>
        <w:spacing w:after="0" w:line="248" w:lineRule="auto"/>
        <w:tabs>
          <w:tab w:leader="none" w:pos="2587"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of any Award granted hereunder. Such terms and conditions include, but are not limited to, the exercise price if any,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91" w:lineRule="exact"/>
        <w:rPr>
          <w:rFonts w:ascii="Arial" w:cs="Arial" w:eastAsia="Arial" w:hAnsi="Arial"/>
          <w:sz w:val="22"/>
          <w:szCs w:val="22"/>
          <w:color w:val="auto"/>
        </w:rPr>
      </w:pPr>
    </w:p>
    <w:p>
      <w:pPr>
        <w:ind w:left="2640" w:hanging="688"/>
        <w:spacing w:after="0"/>
        <w:tabs>
          <w:tab w:leader="none" w:pos="264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institute and determine the terms and conditions of an Exchange Program;</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granted pursuant to the Plan;</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592"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85" w:lineRule="exact"/>
        <w:rPr>
          <w:rFonts w:ascii="Arial" w:cs="Arial" w:eastAsia="Arial" w:hAnsi="Arial"/>
          <w:sz w:val="22"/>
          <w:szCs w:val="22"/>
          <w:color w:val="auto"/>
        </w:rPr>
      </w:pPr>
    </w:p>
    <w:p>
      <w:pPr>
        <w:ind w:left="2640" w:hanging="688"/>
        <w:spacing w:after="0"/>
        <w:tabs>
          <w:tab w:leader="none" w:pos="264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to modify or amend each Award (subject to Section 15(c)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341" w:name="page342"/>
    <w:bookmarkEnd w:id="341"/>
    <w:p>
      <w:pPr>
        <w:ind w:left="2600" w:hanging="648"/>
        <w:spacing w:after="0"/>
        <w:tabs>
          <w:tab w:leader="none" w:pos="2600" w:val="left"/>
        </w:tabs>
        <w:numPr>
          <w:ilvl w:val="2"/>
          <w:numId w:val="284"/>
        </w:numPr>
        <w:rPr>
          <w:rFonts w:ascii="Arial" w:cs="Arial" w:eastAsia="Arial" w:hAnsi="Arial"/>
          <w:sz w:val="19"/>
          <w:szCs w:val="19"/>
          <w:color w:val="auto"/>
        </w:rPr>
      </w:pPr>
      <w:r>
        <w:rPr>
          <w:rFonts w:ascii="Arial" w:cs="Arial" w:eastAsia="Arial" w:hAnsi="Arial"/>
          <w:sz w:val="19"/>
          <w:szCs w:val="19"/>
          <w:color w:val="auto"/>
        </w:rPr>
        <w:t>to allow Participants to satisfy withholding tax obligations in a manner prescribed in Section 11;</w:t>
      </w:r>
    </w:p>
    <w:p>
      <w:pPr>
        <w:spacing w:after="0" w:line="254" w:lineRule="exact"/>
        <w:rPr>
          <w:rFonts w:ascii="Arial" w:cs="Arial" w:eastAsia="Arial" w:hAnsi="Arial"/>
          <w:sz w:val="19"/>
          <w:szCs w:val="19"/>
          <w:color w:val="auto"/>
        </w:rPr>
      </w:pPr>
    </w:p>
    <w:p>
      <w:pPr>
        <w:ind w:right="20" w:firstLine="1952"/>
        <w:spacing w:after="0" w:line="263" w:lineRule="auto"/>
        <w:tabs>
          <w:tab w:leader="none" w:pos="2641" w:val="left"/>
        </w:tabs>
        <w:numPr>
          <w:ilvl w:val="2"/>
          <w:numId w:val="284"/>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effect the grant of an Award previously granted by the Administrator;</w:t>
      </w:r>
    </w:p>
    <w:p>
      <w:pPr>
        <w:spacing w:after="0" w:line="174" w:lineRule="exact"/>
        <w:rPr>
          <w:rFonts w:ascii="Arial" w:cs="Arial" w:eastAsia="Arial" w:hAnsi="Arial"/>
          <w:sz w:val="22"/>
          <w:szCs w:val="22"/>
          <w:color w:val="auto"/>
        </w:rPr>
      </w:pPr>
    </w:p>
    <w:p>
      <w:pPr>
        <w:ind w:firstLine="1952"/>
        <w:spacing w:after="0" w:line="263" w:lineRule="auto"/>
        <w:tabs>
          <w:tab w:leader="none" w:pos="2586" w:val="left"/>
        </w:tabs>
        <w:numPr>
          <w:ilvl w:val="2"/>
          <w:numId w:val="284"/>
        </w:numPr>
        <w:rPr>
          <w:rFonts w:ascii="Arial" w:cs="Arial" w:eastAsia="Arial" w:hAnsi="Arial"/>
          <w:sz w:val="22"/>
          <w:szCs w:val="22"/>
          <w:color w:val="auto"/>
        </w:rPr>
      </w:pPr>
      <w:r>
        <w:rPr>
          <w:rFonts w:ascii="Arial" w:cs="Arial" w:eastAsia="Arial" w:hAnsi="Arial"/>
          <w:sz w:val="22"/>
          <w:szCs w:val="22"/>
          <w:color w:val="auto"/>
        </w:rPr>
        <w:t>to allow a Participant to defer the receipt of the payment of cash or the delivery of Shares that otherwise would be due to such Participant under an Award; and</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2"/>
          <w:numId w:val="284"/>
        </w:numPr>
        <w:rPr>
          <w:rFonts w:ascii="Arial" w:cs="Arial" w:eastAsia="Arial" w:hAnsi="Arial"/>
          <w:sz w:val="21"/>
          <w:szCs w:val="21"/>
          <w:color w:val="auto"/>
        </w:rPr>
      </w:pPr>
      <w:r>
        <w:rPr>
          <w:rFonts w:ascii="Arial" w:cs="Arial" w:eastAsia="Arial" w:hAnsi="Arial"/>
          <w:sz w:val="21"/>
          <w:szCs w:val="21"/>
          <w:color w:val="auto"/>
        </w:rPr>
        <w:t>to make all other determinations deemed necessary or advisable for administering the Plan.</w:t>
      </w:r>
    </w:p>
    <w:p>
      <w:pPr>
        <w:spacing w:after="0" w:line="231" w:lineRule="exact"/>
        <w:rPr>
          <w:rFonts w:ascii="Arial" w:cs="Arial" w:eastAsia="Arial" w:hAnsi="Arial"/>
          <w:sz w:val="21"/>
          <w:szCs w:val="21"/>
          <w:color w:val="auto"/>
        </w:rPr>
      </w:pPr>
    </w:p>
    <w:p>
      <w:pPr>
        <w:jc w:val="both"/>
        <w:ind w:firstLine="1304"/>
        <w:spacing w:after="0" w:line="253" w:lineRule="auto"/>
        <w:tabs>
          <w:tab w:leader="none" w:pos="1941" w:val="left"/>
        </w:tabs>
        <w:numPr>
          <w:ilvl w:val="1"/>
          <w:numId w:val="285"/>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Restricted Stock Units may be granted to Service Providers.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312" w:lineRule="auto"/>
        <w:tabs>
          <w:tab w:leader="none" w:pos="1941" w:val="left"/>
        </w:tabs>
        <w:numPr>
          <w:ilvl w:val="1"/>
          <w:numId w:val="286"/>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33" w:lineRule="exact"/>
        <w:rPr>
          <w:rFonts w:ascii="Arial" w:cs="Arial" w:eastAsia="Arial" w:hAnsi="Arial"/>
          <w:sz w:val="19"/>
          <w:szCs w:val="19"/>
          <w:color w:val="auto"/>
        </w:rPr>
      </w:pPr>
    </w:p>
    <w:p>
      <w:pPr>
        <w:jc w:val="both"/>
        <w:ind w:firstLine="1304"/>
        <w:spacing w:after="0" w:line="248" w:lineRule="auto"/>
        <w:tabs>
          <w:tab w:leader="none" w:pos="1939"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Vesting Criteria and Other Terms</w:t>
      </w:r>
      <w:r>
        <w:rPr>
          <w:rFonts w:ascii="Arial" w:cs="Arial" w:eastAsia="Arial" w:hAnsi="Arial"/>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Earning Restricted Stock Units</w:t>
      </w:r>
      <w:r>
        <w:rPr>
          <w:rFonts w:ascii="Arial" w:cs="Arial" w:eastAsia="Arial" w:hAnsi="Arial"/>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7" w:lineRule="exact"/>
        <w:rPr>
          <w:rFonts w:ascii="Arial" w:cs="Arial" w:eastAsia="Arial" w:hAnsi="Arial"/>
          <w:sz w:val="22"/>
          <w:szCs w:val="22"/>
          <w:color w:val="auto"/>
        </w:rPr>
      </w:pPr>
    </w:p>
    <w:p>
      <w:pPr>
        <w:jc w:val="both"/>
        <w:ind w:firstLine="1304"/>
        <w:spacing w:after="0" w:line="271" w:lineRule="auto"/>
        <w:tabs>
          <w:tab w:leader="none" w:pos="1939" w:val="left"/>
        </w:tabs>
        <w:numPr>
          <w:ilvl w:val="1"/>
          <w:numId w:val="286"/>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67" w:lineRule="exact"/>
        <w:rPr>
          <w:rFonts w:ascii="Arial" w:cs="Arial" w:eastAsia="Arial" w:hAnsi="Arial"/>
          <w:sz w:val="21"/>
          <w:szCs w:val="21"/>
          <w:color w:val="auto"/>
        </w:rPr>
      </w:pPr>
    </w:p>
    <w:p>
      <w:pPr>
        <w:ind w:firstLine="1304"/>
        <w:spacing w:after="0" w:line="263" w:lineRule="auto"/>
        <w:tabs>
          <w:tab w:leader="none" w:pos="1941" w:val="left"/>
        </w:tabs>
        <w:numPr>
          <w:ilvl w:val="1"/>
          <w:numId w:val="286"/>
        </w:numPr>
        <w:rPr>
          <w:rFonts w:ascii="Arial" w:cs="Arial" w:eastAsia="Arial" w:hAnsi="Arial"/>
          <w:sz w:val="22"/>
          <w:szCs w:val="22"/>
          <w:color w:val="auto"/>
        </w:rPr>
      </w:pPr>
      <w:r>
        <w:rPr>
          <w:rFonts w:ascii="Arial" w:cs="Arial" w:eastAsia="Arial" w:hAnsi="Arial"/>
          <w:sz w:val="22"/>
          <w:szCs w:val="22"/>
          <w:u w:val="single" w:color="auto"/>
          <w:color w:val="auto"/>
        </w:rPr>
        <w:t>Cancellation</w:t>
      </w:r>
      <w:r>
        <w:rPr>
          <w:rFonts w:ascii="Arial" w:cs="Arial" w:eastAsia="Arial" w:hAnsi="Arial"/>
          <w:sz w:val="22"/>
          <w:szCs w:val="22"/>
          <w:color w:val="auto"/>
        </w:rPr>
        <w:t>. On the date set forth in the Award Agreement, all unearned Restricted Stock Units will be forfeited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342" w:name="page343"/>
    <w:bookmarkEnd w:id="342"/>
    <w:p>
      <w:pPr>
        <w:jc w:val="both"/>
        <w:ind w:firstLine="656"/>
        <w:spacing w:after="0" w:line="287" w:lineRule="auto"/>
        <w:tabs>
          <w:tab w:leader="none" w:pos="1296"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have any liability or obligation to reimburse, indemnify, or hold harmless a Participant (or any other person) for any taxes, penalties or interest that may be imposed on, or other costs incurred by, Participant (or any other person) as a result of Section 409A.</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65" w:lineRule="auto"/>
        <w:tabs>
          <w:tab w:leader="none" w:pos="1296" w:val="left"/>
        </w:tabs>
        <w:numPr>
          <w:ilvl w:val="0"/>
          <w:numId w:val="287"/>
        </w:numPr>
        <w:rPr>
          <w:rFonts w:ascii="Arial" w:cs="Arial" w:eastAsia="Arial" w:hAnsi="Arial"/>
          <w:sz w:val="21"/>
          <w:szCs w:val="21"/>
          <w:color w:val="auto"/>
        </w:rPr>
      </w:pPr>
      <w:r>
        <w:rPr>
          <w:rFonts w:ascii="Arial" w:cs="Arial" w:eastAsia="Arial" w:hAnsi="Arial"/>
          <w:sz w:val="21"/>
          <w:szCs w:val="21"/>
          <w:u w:val="single" w:color="auto"/>
          <w:color w:val="auto"/>
        </w:rPr>
        <w:t>Leaves of Absence/Transfer Between Locations</w:t>
      </w:r>
      <w:r>
        <w:rPr>
          <w:rFonts w:ascii="Arial" w:cs="Arial" w:eastAsia="Arial" w:hAnsi="Arial"/>
          <w:sz w:val="21"/>
          <w:szCs w:val="21"/>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75" w:lineRule="exact"/>
        <w:rPr>
          <w:rFonts w:ascii="Arial" w:cs="Arial" w:eastAsia="Arial" w:hAnsi="Arial"/>
          <w:sz w:val="21"/>
          <w:szCs w:val="21"/>
          <w:color w:val="auto"/>
        </w:rPr>
      </w:pPr>
    </w:p>
    <w:p>
      <w:pPr>
        <w:jc w:val="both"/>
        <w:ind w:firstLine="656"/>
        <w:spacing w:after="0" w:line="248" w:lineRule="auto"/>
        <w:tabs>
          <w:tab w:leader="none" w:pos="1296"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Limited Transferability of Awards</w:t>
      </w:r>
      <w:r>
        <w:rPr>
          <w:rFonts w:ascii="Arial" w:cs="Arial" w:eastAsia="Arial" w:hAnsi="Arial"/>
          <w:sz w:val="22"/>
          <w:szCs w:val="22"/>
          <w:color w:val="auto"/>
        </w:rPr>
        <w:t>. 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287"/>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In the event that any dividend (other than an ordinary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Further, the Administrator will make such adjustments to an Award as required by Section 25102(o) of the California Corporations Code to the extent the Company is relying upon the exemption afforded thereby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343" w:name="page344"/>
    <w:bookmarkEnd w:id="343"/>
    <w:p>
      <w:pPr>
        <w:jc w:val="both"/>
        <w:ind w:firstLine="1304"/>
        <w:spacing w:after="0" w:line="250" w:lineRule="auto"/>
        <w:tabs>
          <w:tab w:leader="none" w:pos="1939" w:val="left"/>
        </w:tabs>
        <w:numPr>
          <w:ilvl w:val="1"/>
          <w:numId w:val="288"/>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7" w:lineRule="exact"/>
        <w:rPr>
          <w:rFonts w:ascii="Arial" w:cs="Arial" w:eastAsia="Arial" w:hAnsi="Arial"/>
          <w:sz w:val="22"/>
          <w:szCs w:val="22"/>
          <w:color w:val="auto"/>
        </w:rPr>
      </w:pPr>
    </w:p>
    <w:p>
      <w:pPr>
        <w:jc w:val="both"/>
        <w:ind w:firstLine="1304"/>
        <w:spacing w:after="0" w:line="285" w:lineRule="auto"/>
        <w:tabs>
          <w:tab w:leader="none" w:pos="1941" w:val="left"/>
        </w:tabs>
        <w:numPr>
          <w:ilvl w:val="1"/>
          <w:numId w:val="288"/>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jc w:val="both"/>
        <w:ind w:firstLine="8"/>
        <w:spacing w:after="0" w:line="256" w:lineRule="auto"/>
        <w:tabs>
          <w:tab w:leader="none" w:pos="409" w:val="left"/>
        </w:tabs>
        <w:numPr>
          <w:ilvl w:val="0"/>
          <w:numId w:val="289"/>
        </w:numPr>
        <w:rPr>
          <w:rFonts w:ascii="Arial" w:cs="Arial" w:eastAsia="Arial" w:hAnsi="Arial"/>
          <w:sz w:val="21"/>
          <w:szCs w:val="21"/>
          <w:color w:val="auto"/>
        </w:rPr>
      </w:pPr>
      <w:r>
        <w:rPr>
          <w:rFonts w:ascii="Arial" w:cs="Arial" w:eastAsia="Arial" w:hAnsi="Arial"/>
          <w:sz w:val="21"/>
          <w:szCs w:val="21"/>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10(c), the Administrator will not be obligated to treat all Awards, all Awards held by a Participant, or all Awards of the same type, similarly.</w:t>
      </w:r>
    </w:p>
    <w:p>
      <w:pPr>
        <w:spacing w:after="0" w:line="18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For the purposes of this subsection 10(c),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Notwithstanding anything in this Section 10(c) to the contrary, an Award that vests, is earned or paid-out upon the satisfaction of one or more performance goals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344" w:name="page345"/>
    <w:bookmarkEnd w:id="344"/>
    <w:p>
      <w:pPr>
        <w:jc w:val="both"/>
        <w:spacing w:after="0" w:line="248" w:lineRule="auto"/>
        <w:rPr>
          <w:sz w:val="20"/>
          <w:szCs w:val="20"/>
          <w:color w:val="auto"/>
        </w:rPr>
      </w:pPr>
      <w:r>
        <w:rPr>
          <w:rFonts w:ascii="Arial" w:cs="Arial" w:eastAsia="Arial" w:hAnsi="Arial"/>
          <w:sz w:val="22"/>
          <w:szCs w:val="22"/>
          <w:color w:val="auto"/>
        </w:rPr>
        <w:t>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9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Notwithstanding anything in this Section 10(c) to the contrary, and unless otherwise provided in an Award Agreement, if an Award that vests, is earned or paid-out under an Award Agreement is subject to Section 409A and if the change in control definition contained in the Award Agreement does not comply with the definition of “change of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93" w:lineRule="exact"/>
        <w:rPr>
          <w:sz w:val="20"/>
          <w:szCs w:val="20"/>
          <w:color w:val="auto"/>
        </w:rPr>
      </w:pPr>
    </w:p>
    <w:p>
      <w:pPr>
        <w:ind w:left="1300" w:hanging="644"/>
        <w:spacing w:after="0"/>
        <w:tabs>
          <w:tab w:leader="none" w:pos="1300"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290"/>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87" w:lineRule="exact"/>
        <w:rPr>
          <w:rFonts w:ascii="Arial" w:cs="Arial" w:eastAsia="Arial" w:hAnsi="Arial"/>
          <w:sz w:val="22"/>
          <w:szCs w:val="22"/>
          <w:color w:val="auto"/>
        </w:rPr>
      </w:pPr>
    </w:p>
    <w:p>
      <w:pPr>
        <w:jc w:val="both"/>
        <w:ind w:firstLine="1304"/>
        <w:spacing w:after="0" w:line="285" w:lineRule="auto"/>
        <w:tabs>
          <w:tab w:leader="none" w:pos="1939"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(v) such other consideration and method of payment for the meeting of tax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345" w:name="page346"/>
    <w:bookmarkEnd w:id="345"/>
    <w:p>
      <w:pPr>
        <w:spacing w:after="0" w:line="263" w:lineRule="auto"/>
        <w:rPr>
          <w:sz w:val="20"/>
          <w:szCs w:val="20"/>
          <w:color w:val="auto"/>
        </w:rPr>
      </w:pPr>
      <w:r>
        <w:rPr>
          <w:rFonts w:ascii="Arial" w:cs="Arial" w:eastAsia="Arial" w:hAnsi="Arial"/>
          <w:sz w:val="22"/>
          <w:szCs w:val="22"/>
          <w:color w:val="auto"/>
        </w:rPr>
        <w:t>sole discretion. The fair market value of the Shares to be withheld or delivered will be determined as of the date that the taxes are required to be withheld.</w:t>
      </w:r>
    </w:p>
    <w:p>
      <w:pPr>
        <w:spacing w:after="0" w:line="175" w:lineRule="exact"/>
        <w:rPr>
          <w:sz w:val="20"/>
          <w:szCs w:val="20"/>
          <w:color w:val="auto"/>
        </w:rPr>
      </w:pPr>
    </w:p>
    <w:p>
      <w:pPr>
        <w:jc w:val="both"/>
        <w:ind w:firstLine="656"/>
        <w:spacing w:after="0" w:line="248" w:lineRule="auto"/>
        <w:tabs>
          <w:tab w:leader="none" w:pos="1296"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91"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291"/>
        </w:numPr>
        <w:rPr>
          <w:rFonts w:ascii="Arial" w:cs="Arial" w:eastAsia="Arial" w:hAnsi="Arial"/>
          <w:sz w:val="19"/>
          <w:szCs w:val="19"/>
          <w:color w:val="auto"/>
        </w:rPr>
      </w:pPr>
      <w:r>
        <w:rPr>
          <w:rFonts w:ascii="Arial" w:cs="Arial" w:eastAsia="Arial" w:hAnsi="Arial"/>
          <w:sz w:val="19"/>
          <w:szCs w:val="19"/>
          <w:u w:val="single" w:color="auto"/>
          <w:color w:val="auto"/>
        </w:rPr>
        <w:t>Date of Grant</w:t>
      </w:r>
      <w:r>
        <w:rPr>
          <w:rFonts w:ascii="Arial" w:cs="Arial" w:eastAsia="Arial" w:hAnsi="Arial"/>
          <w:sz w:val="19"/>
          <w:szCs w:val="19"/>
          <w:color w:val="auto"/>
        </w:rPr>
        <w:t>. The date of grant of an Award will be, for all purposes, the date on which the Administrator makes the determination granting such Award, or such other later date as is determined by the Administrator (the “</w:t>
      </w:r>
      <w:r>
        <w:rPr>
          <w:rFonts w:ascii="Arial" w:cs="Arial" w:eastAsia="Arial" w:hAnsi="Arial"/>
          <w:sz w:val="19"/>
          <w:szCs w:val="19"/>
          <w:u w:val="single" w:color="auto"/>
          <w:color w:val="auto"/>
        </w:rPr>
        <w:t>Date of Grant</w:t>
      </w:r>
      <w:r>
        <w:rPr>
          <w:rFonts w:ascii="Arial" w:cs="Arial" w:eastAsia="Arial" w:hAnsi="Arial"/>
          <w:sz w:val="19"/>
          <w:szCs w:val="19"/>
          <w:color w:val="auto"/>
        </w:rPr>
        <w:t>”). Notice of the determination will be provided to each Participant within a reasonable time after the date of such grant.</w:t>
      </w:r>
    </w:p>
    <w:p>
      <w:pPr>
        <w:spacing w:after="0" w:line="133" w:lineRule="exact"/>
        <w:rPr>
          <w:rFonts w:ascii="Arial" w:cs="Arial" w:eastAsia="Arial" w:hAnsi="Arial"/>
          <w:sz w:val="19"/>
          <w:szCs w:val="19"/>
          <w:color w:val="auto"/>
        </w:rPr>
      </w:pPr>
    </w:p>
    <w:p>
      <w:pPr>
        <w:jc w:val="both"/>
        <w:ind w:right="20" w:firstLine="656"/>
        <w:spacing w:after="0" w:line="250" w:lineRule="auto"/>
        <w:tabs>
          <w:tab w:leader="none" w:pos="1296"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Section 18 of the Plan, the Plan will become effective upon its adoption by the Board. Unless sooner terminated under Section 15,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91"/>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at any time amend, alter, suspend or terminate the Plan.</w:t>
      </w:r>
    </w:p>
    <w:p>
      <w:pPr>
        <w:spacing w:after="0" w:line="254" w:lineRule="exact"/>
        <w:rPr>
          <w:rFonts w:ascii="Arial" w:cs="Arial" w:eastAsia="Arial" w:hAnsi="Arial"/>
          <w:sz w:val="19"/>
          <w:szCs w:val="19"/>
          <w:color w:val="auto"/>
        </w:rPr>
      </w:pPr>
    </w:p>
    <w:p>
      <w:pPr>
        <w:ind w:right="20" w:firstLine="1304"/>
        <w:spacing w:after="0" w:line="263" w:lineRule="auto"/>
        <w:tabs>
          <w:tab w:leader="none" w:pos="1939"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and desirable to comply with Applicable Laws.</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Effect of Amendment or Termination</w:t>
      </w:r>
      <w:r>
        <w:rPr>
          <w:rFonts w:ascii="Arial" w:cs="Arial" w:eastAsia="Arial" w:hAnsi="Arial"/>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9"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346" w:name="page347"/>
    <w:bookmarkEnd w:id="346"/>
    <w:p>
      <w:pPr>
        <w:spacing w:after="0"/>
        <w:rPr>
          <w:sz w:val="20"/>
          <w:szCs w:val="20"/>
          <w:color w:val="auto"/>
        </w:rPr>
      </w:pPr>
      <w:r>
        <w:rPr>
          <w:rFonts w:ascii="Arial" w:cs="Arial" w:eastAsia="Arial" w:hAnsi="Arial"/>
          <w:sz w:val="19"/>
          <w:szCs w:val="19"/>
          <w:color w:val="auto"/>
        </w:rPr>
        <w:t>present intention to sell or distribute such Shares if, in the opinion of counsel for the Company, such a representation is required.</w:t>
      </w:r>
    </w:p>
    <w:p>
      <w:pPr>
        <w:spacing w:after="0" w:line="254" w:lineRule="exact"/>
        <w:rPr>
          <w:sz w:val="20"/>
          <w:szCs w:val="20"/>
          <w:color w:val="auto"/>
        </w:rPr>
      </w:pPr>
    </w:p>
    <w:p>
      <w:pPr>
        <w:jc w:val="both"/>
        <w:ind w:firstLine="656"/>
        <w:spacing w:after="0" w:line="292" w:lineRule="auto"/>
        <w:tabs>
          <w:tab w:leader="none" w:pos="1296" w:val="left"/>
        </w:tabs>
        <w:numPr>
          <w:ilvl w:val="1"/>
          <w:numId w:val="292"/>
        </w:numPr>
        <w:rPr>
          <w:rFonts w:ascii="Arial" w:cs="Arial" w:eastAsia="Arial" w:hAnsi="Arial"/>
          <w:sz w:val="19"/>
          <w:szCs w:val="19"/>
          <w:color w:val="auto"/>
        </w:rPr>
      </w:pPr>
      <w:r>
        <w:rPr>
          <w:rFonts w:ascii="Arial" w:cs="Arial" w:eastAsia="Arial" w:hAnsi="Arial"/>
          <w:sz w:val="19"/>
          <w:szCs w:val="19"/>
          <w:u w:val="single" w:color="auto"/>
          <w:color w:val="auto"/>
        </w:rPr>
        <w:t>Inability to Obtain Authority</w:t>
      </w:r>
      <w:r>
        <w:rPr>
          <w:rFonts w:ascii="Arial" w:cs="Arial" w:eastAsia="Arial" w:hAnsi="Arial"/>
          <w:sz w:val="19"/>
          <w:szCs w:val="19"/>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1"/>
          <w:numId w:val="292"/>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55" w:lineRule="exact"/>
        <w:rPr>
          <w:rFonts w:ascii="Arial" w:cs="Arial" w:eastAsia="Arial" w:hAnsi="Arial"/>
          <w:sz w:val="19"/>
          <w:szCs w:val="19"/>
          <w:color w:val="auto"/>
        </w:rPr>
      </w:pPr>
    </w:p>
    <w:p>
      <w:pPr>
        <w:ind w:firstLine="8"/>
        <w:spacing w:after="0" w:line="246" w:lineRule="auto"/>
        <w:tabs>
          <w:tab w:leader="none" w:pos="419" w:val="left"/>
        </w:tabs>
        <w:numPr>
          <w:ilvl w:val="0"/>
          <w:numId w:val="293"/>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92" w:lineRule="exact"/>
        <w:rPr>
          <w:rFonts w:ascii="Arial" w:cs="Arial" w:eastAsia="Arial" w:hAnsi="Arial"/>
          <w:sz w:val="22"/>
          <w:szCs w:val="22"/>
          <w:color w:val="auto"/>
        </w:rPr>
      </w:pPr>
    </w:p>
    <w:p>
      <w:pPr>
        <w:jc w:val="both"/>
        <w:ind w:firstLine="656"/>
        <w:spacing w:after="0" w:line="286" w:lineRule="auto"/>
        <w:tabs>
          <w:tab w:leader="none" w:pos="1296" w:val="left"/>
        </w:tabs>
        <w:numPr>
          <w:ilvl w:val="1"/>
          <w:numId w:val="293"/>
        </w:numPr>
        <w:rPr>
          <w:rFonts w:ascii="Arial" w:cs="Arial" w:eastAsia="Arial" w:hAnsi="Arial"/>
          <w:sz w:val="19"/>
          <w:szCs w:val="19"/>
          <w:color w:val="auto"/>
        </w:rPr>
      </w:pPr>
      <w:r>
        <w:rPr>
          <w:rFonts w:ascii="Arial" w:cs="Arial" w:eastAsia="Arial" w:hAnsi="Arial"/>
          <w:sz w:val="19"/>
          <w:szCs w:val="19"/>
          <w:u w:val="single" w:color="auto"/>
          <w:color w:val="auto"/>
        </w:rPr>
        <w:t>Information to Participants</w:t>
      </w:r>
      <w:r>
        <w:rPr>
          <w:rFonts w:ascii="Arial" w:cs="Arial" w:eastAsia="Arial" w:hAnsi="Arial"/>
          <w:sz w:val="19"/>
          <w:szCs w:val="19"/>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300" w:hanging="644"/>
        <w:spacing w:after="0"/>
        <w:tabs>
          <w:tab w:leader="none" w:pos="1300" w:val="left"/>
        </w:tabs>
        <w:numPr>
          <w:ilvl w:val="1"/>
          <w:numId w:val="293"/>
        </w:numPr>
        <w:rPr>
          <w:rFonts w:ascii="Arial" w:cs="Arial" w:eastAsia="Arial" w:hAnsi="Arial"/>
          <w:sz w:val="22"/>
          <w:szCs w:val="22"/>
          <w:color w:val="auto"/>
        </w:rPr>
      </w:pPr>
      <w:r>
        <w:rPr>
          <w:rFonts w:ascii="Arial" w:cs="Arial" w:eastAsia="Arial" w:hAnsi="Arial"/>
          <w:sz w:val="22"/>
          <w:szCs w:val="22"/>
          <w:u w:val="single" w:color="auto"/>
          <w:color w:val="auto"/>
        </w:rPr>
        <w:t>Forfeiture Events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41" w:val="left"/>
        </w:tabs>
        <w:numPr>
          <w:ilvl w:val="2"/>
          <w:numId w:val="293"/>
        </w:numPr>
        <w:rPr>
          <w:rFonts w:ascii="Arial" w:cs="Arial" w:eastAsia="Arial" w:hAnsi="Arial"/>
          <w:sz w:val="21"/>
          <w:szCs w:val="21"/>
          <w:color w:val="auto"/>
        </w:rPr>
      </w:pPr>
      <w:r>
        <w:rPr>
          <w:rFonts w:ascii="Arial" w:cs="Arial" w:eastAsia="Arial" w:hAnsi="Arial"/>
          <w:sz w:val="21"/>
          <w:szCs w:val="21"/>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347" w:name="page348"/>
    <w:bookmarkEnd w:id="347"/>
    <w:p>
      <w:pPr>
        <w:jc w:val="both"/>
        <w:spacing w:after="0" w:line="297" w:lineRule="auto"/>
        <w:rPr>
          <w:sz w:val="20"/>
          <w:szCs w:val="20"/>
          <w:color w:val="auto"/>
        </w:rPr>
      </w:pPr>
      <w:r>
        <w:rPr>
          <w:rFonts w:ascii="Arial" w:cs="Arial" w:eastAsia="Arial" w:hAnsi="Arial"/>
          <w:sz w:val="19"/>
          <w:szCs w:val="19"/>
          <w:color w:val="auto"/>
        </w:rPr>
        <w:t>recovery or recoupment provisions in an Award Agreement as the Administrator determines necessary or appropriate, including but not limited to a reacquisition right regarding previously acquired Shares or other cash or property. Unless this Section 20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Parent or Subsidiary of the Company.</w:t>
      </w:r>
    </w:p>
    <w:p>
      <w:pPr>
        <w:spacing w:after="0" w:line="147" w:lineRule="exact"/>
        <w:rPr>
          <w:sz w:val="20"/>
          <w:szCs w:val="20"/>
          <w:color w:val="auto"/>
        </w:rPr>
      </w:pPr>
    </w:p>
    <w:p>
      <w:pPr>
        <w:jc w:val="both"/>
        <w:ind w:firstLine="1304"/>
        <w:spacing w:after="0" w:line="261" w:lineRule="auto"/>
        <w:tabs>
          <w:tab w:leader="none" w:pos="1939"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a Service Provider for cause or any specified action or inaction by a Participant, whether before or after such Participant’s cessation of Service Provider status, that would constitute cause for termination of such Participant’s status as a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22"/>
          <w:szCs w:val="22"/>
          <w:b w:val="1"/>
          <w:bCs w:val="1"/>
          <w:color w:val="auto"/>
        </w:rPr>
        <w:t>SEER,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RSU EQUITY INCENTIVE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Unless otherwise defined herein, the terms defined in the 2020 RSU Equity Incentive Plan (the “Plan”) shall have the same defined meanings in this Restricted Stock Unit Award Agreement, including the Notice of Grant of Restricted Stock Units (the “Notice of Grant”), the Terms and Conditions of Restricted Stock Unit Grant, and any exhibits attached thereto (all together, the “Award Agreement”).</w:t>
      </w:r>
    </w:p>
    <w:p>
      <w:pPr>
        <w:spacing w:after="0" w:line="182" w:lineRule="exact"/>
        <w:rPr>
          <w:sz w:val="20"/>
          <w:szCs w:val="20"/>
          <w:color w:val="auto"/>
        </w:rPr>
      </w:pPr>
    </w:p>
    <w:p>
      <w:pPr>
        <w:ind w:left="660" w:right="5220" w:hanging="652"/>
        <w:spacing w:after="0" w:line="448" w:lineRule="auto"/>
        <w:tabs>
          <w:tab w:leader="none" w:pos="649" w:val="left"/>
        </w:tabs>
        <w:numPr>
          <w:ilvl w:val="0"/>
          <w:numId w:val="2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 xml:space="preserve">NOTICE OF GRANT OF RESTRICTED STOCK UNITS </w:t>
      </w:r>
      <w:r>
        <w:rPr>
          <w:rFonts w:ascii="Arial" w:cs="Arial" w:eastAsia="Arial" w:hAnsi="Arial"/>
          <w:sz w:val="22"/>
          <w:szCs w:val="22"/>
          <w:b w:val="1"/>
          <w:bCs w:val="1"/>
          <w:color w:val="auto"/>
        </w:rPr>
        <w:t>Name (the “Participant”):</w:t>
      </w: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Address: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undersigned individual (the “Participant”) has been granted the right to receive an Award of Restricted Stock Units, subject to the terms and conditions of the Plan and this Award Agreement, as follows: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2288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22885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22885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Subject to any acceleration provisions contained in the Plan or set forth below, the Restricted Stock Units will vest in accordance with the following schedule: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[INSERT VESTING SCHEDULE, e.g.: [Twenty-five percent (25%) of the Restricted Stock Units subject to this Award Agreement shall vest on the one (1)-year anniversary of the Vesting Commencement Date, and an additional twenty-five percent (25%) of the Restricted Stock Units subject to this Award Agreement shall vest on each annual anniversary of the Vesting Commencement Date thereafter (and if there is no corresponding day, on the last day of the month), subject to Participant continuing to be a Service Provider through each such date.]]</w:t>
      </w:r>
    </w:p>
    <w:p>
      <w:pPr>
        <w:spacing w:after="0" w:line="19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2" w:right="339" w:bottom="1440" w:gutter="0" w:footer="0" w:header="0"/>
        </w:sectPr>
      </w:pPr>
    </w:p>
    <w:bookmarkStart w:id="349" w:name="page350"/>
    <w:bookmarkEnd w:id="349"/>
    <w:p>
      <w:pPr>
        <w:ind w:left="640" w:hanging="632"/>
        <w:spacing w:after="0"/>
        <w:tabs>
          <w:tab w:leader="none" w:pos="640"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25"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to the Participant named in the Notice of Grant of Restricted Stock Units (the “Notice of Grant”) in Part I of this Award Agreement under the Plan an Award of Restricted Stock Units, subject to all of the terms and conditions in this Award Agreement and the Plan, which is incorporated herein by reference. Subject to Section 15(c) of the Plan, in the event of a conflict between the terms and conditions of the Plan and this Award Agreement, the terms and conditions of the Plan shall prevail.</w:t>
      </w:r>
    </w:p>
    <w:p>
      <w:pPr>
        <w:spacing w:after="0" w:line="191" w:lineRule="exact"/>
        <w:rPr>
          <w:rFonts w:ascii="Arial" w:cs="Arial" w:eastAsia="Arial" w:hAnsi="Arial"/>
          <w:sz w:val="22"/>
          <w:szCs w:val="22"/>
          <w:color w:val="auto"/>
        </w:rPr>
      </w:pPr>
    </w:p>
    <w:p>
      <w:pPr>
        <w:jc w:val="both"/>
        <w:ind w:firstLine="656"/>
        <w:spacing w:after="0" w:line="248" w:lineRule="auto"/>
        <w:tabs>
          <w:tab w:leader="none" w:pos="1296"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Company’s Obligation to Pay</w:t>
      </w:r>
      <w:r>
        <w:rPr>
          <w:rFonts w:ascii="Arial" w:cs="Arial" w:eastAsia="Arial" w:hAnsi="Arial"/>
          <w:sz w:val="22"/>
          <w:szCs w:val="22"/>
          <w:color w:val="auto"/>
        </w:rPr>
        <w:t>. Each Restricted Stock Unit represents the right to receive a Share on the date it vests. Unless and until the Restricted Stock Units will have vested in the manner set forth in Section 4 or 6,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96"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w:t>
      </w:r>
      <w:r>
        <w:rPr>
          <w:rFonts w:ascii="Arial" w:cs="Arial" w:eastAsia="Arial" w:hAnsi="Arial"/>
          <w:sz w:val="22"/>
          <w:szCs w:val="22"/>
          <w:color w:val="auto"/>
        </w:rPr>
        <w:t xml:space="preserve">. In the event the Shares have not been registered under the Securities Act at the time the Restricted Stock Units are paid to Participant, Participant shall, if required by the Company, concurrently with the receipt of all or any portion of this Restricted Stock Unit Award, deliver to the Company his or her Investment Representation Statement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6, and subject to Section 7, the Restricted Stock Units awarded by this Award Agreement will vest in accordance with the vesting schedule set forth in the Notice of Grant, subject to Participant continuing to be a Service Provider through each applicable vesting date.</w:t>
      </w:r>
    </w:p>
    <w:p>
      <w:pPr>
        <w:spacing w:after="0" w:line="185" w:lineRule="exact"/>
        <w:rPr>
          <w:rFonts w:ascii="Arial" w:cs="Arial" w:eastAsia="Arial" w:hAnsi="Arial"/>
          <w:sz w:val="22"/>
          <w:szCs w:val="22"/>
          <w:color w:val="auto"/>
        </w:rPr>
      </w:pPr>
    </w:p>
    <w:p>
      <w:pPr>
        <w:jc w:val="both"/>
        <w:ind w:firstLine="656"/>
        <w:spacing w:after="0" w:line="258" w:lineRule="auto"/>
        <w:tabs>
          <w:tab w:leader="none" w:pos="1296" w:val="left"/>
        </w:tabs>
        <w:numPr>
          <w:ilvl w:val="1"/>
          <w:numId w:val="296"/>
        </w:numPr>
        <w:rPr>
          <w:rFonts w:ascii="Arial" w:cs="Arial" w:eastAsia="Arial" w:hAnsi="Arial"/>
          <w:sz w:val="21"/>
          <w:szCs w:val="21"/>
          <w:color w:val="auto"/>
        </w:rPr>
      </w:pPr>
      <w:r>
        <w:rPr>
          <w:rFonts w:ascii="Arial" w:cs="Arial" w:eastAsia="Arial" w:hAnsi="Arial"/>
          <w:sz w:val="21"/>
          <w:szCs w:val="21"/>
          <w:u w:val="single" w:color="auto"/>
          <w:color w:val="auto"/>
        </w:rPr>
        <w:t>Lock-Up Period</w:t>
      </w:r>
      <w:r>
        <w:rPr>
          <w:rFonts w:ascii="Arial" w:cs="Arial" w:eastAsia="Arial" w:hAnsi="Arial"/>
          <w:sz w:val="21"/>
          <w:szCs w:val="21"/>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2" w:right="339" w:bottom="1440" w:gutter="0" w:footer="0" w:header="0"/>
        </w:sectPr>
      </w:pPr>
    </w:p>
    <w:bookmarkStart w:id="350" w:name="page351"/>
    <w:bookmarkEnd w:id="350"/>
    <w:p>
      <w:pPr>
        <w:jc w:val="both"/>
        <w:spacing w:after="0" w:line="259" w:lineRule="auto"/>
        <w:rPr>
          <w:sz w:val="20"/>
          <w:szCs w:val="20"/>
          <w:color w:val="auto"/>
        </w:rPr>
      </w:pPr>
      <w:r>
        <w:rPr>
          <w:rFonts w:ascii="Arial" w:cs="Arial" w:eastAsia="Arial" w:hAnsi="Arial"/>
          <w:sz w:val="21"/>
          <w:szCs w:val="21"/>
          <w:color w:val="auto"/>
        </w:rPr>
        <w:t>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5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Restricted Stock Unit Award or Shares acquired pursuant to the Restricted Stock Unit Award shall be bound by this Section 5.</w:t>
      </w:r>
    </w:p>
    <w:p>
      <w:pPr>
        <w:spacing w:after="0" w:line="179"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Payment after 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41" w:val="left"/>
        </w:tabs>
        <w:numPr>
          <w:ilvl w:val="1"/>
          <w:numId w:val="297"/>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10, any Restricted Stock Units that vest will be paid to Participant (or in the event of Participant’s death, to his or her properly designated beneficiary or estate) in whole Shares. Subject to the provisions of Section 6(b),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1"/>
          <w:numId w:val="297"/>
        </w:numPr>
        <w:rPr>
          <w:rFonts w:ascii="Arial" w:cs="Arial" w:eastAsia="Arial" w:hAnsi="Arial"/>
          <w:sz w:val="22"/>
          <w:szCs w:val="22"/>
          <w:color w:val="auto"/>
        </w:rPr>
      </w:pPr>
      <w:r>
        <w:rPr>
          <w:rFonts w:ascii="Arial" w:cs="Arial" w:eastAsia="Arial" w:hAnsi="Arial"/>
          <w:sz w:val="22"/>
          <w:szCs w:val="22"/>
          <w:u w:val="single" w:color="auto"/>
          <w:color w:val="auto"/>
        </w:rPr>
        <w:t>Acceleration.</w:t>
      </w:r>
    </w:p>
    <w:p>
      <w:pPr>
        <w:spacing w:after="0" w:line="219" w:lineRule="exact"/>
        <w:rPr>
          <w:rFonts w:ascii="Arial" w:cs="Arial" w:eastAsia="Arial" w:hAnsi="Arial"/>
          <w:sz w:val="22"/>
          <w:szCs w:val="22"/>
          <w:color w:val="auto"/>
        </w:rPr>
      </w:pPr>
    </w:p>
    <w:p>
      <w:pPr>
        <w:jc w:val="both"/>
        <w:ind w:firstLine="1952"/>
        <w:spacing w:after="0" w:line="294" w:lineRule="auto"/>
        <w:tabs>
          <w:tab w:leader="none" w:pos="2580" w:val="left"/>
        </w:tabs>
        <w:numPr>
          <w:ilvl w:val="2"/>
          <w:numId w:val="297"/>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6(b) or otherwise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49" w:lineRule="exact"/>
        <w:rPr>
          <w:rFonts w:ascii="Arial" w:cs="Arial" w:eastAsia="Arial" w:hAnsi="Arial"/>
          <w:sz w:val="19"/>
          <w:szCs w:val="19"/>
          <w:color w:val="auto"/>
        </w:rPr>
      </w:pPr>
    </w:p>
    <w:p>
      <w:pPr>
        <w:jc w:val="both"/>
        <w:ind w:firstLine="1952"/>
        <w:spacing w:after="0" w:line="288" w:lineRule="auto"/>
        <w:tabs>
          <w:tab w:leader="none" w:pos="2586" w:val="left"/>
        </w:tabs>
        <w:numPr>
          <w:ilvl w:val="2"/>
          <w:numId w:val="297"/>
        </w:numPr>
        <w:rPr>
          <w:rFonts w:ascii="Arial" w:cs="Arial" w:eastAsia="Arial" w:hAnsi="Arial"/>
          <w:sz w:val="19"/>
          <w:szCs w:val="19"/>
          <w:color w:val="auto"/>
        </w:rPr>
      </w:pPr>
      <w:r>
        <w:rPr>
          <w:rFonts w:ascii="Arial" w:cs="Arial" w:eastAsia="Arial" w:hAnsi="Arial"/>
          <w:sz w:val="19"/>
          <w:szCs w:val="19"/>
          <w:color w:val="auto"/>
        </w:rPr>
        <w:t>Notwithstanding anything in the Plan, this Award Agreement or any other agreement (whether entered into before, on or after the Date of Grant)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Participant’s death</w:t>
      </w:r>
      <w:r>
        <w:rPr>
          <w:rFonts w:ascii="Arial" w:cs="Arial" w:eastAsia="Arial" w:hAnsi="Arial"/>
          <w:sz w:val="19"/>
          <w:szCs w:val="19"/>
          <w:b w:val="1"/>
          <w:bCs w:val="1"/>
          <w:color w:val="auto"/>
        </w:rPr>
        <w:t>,</w:t>
      </w:r>
      <w:r>
        <w:rPr>
          <w:rFonts w:ascii="Arial" w:cs="Arial" w:eastAsia="Arial" w:hAnsi="Arial"/>
          <w:sz w:val="19"/>
          <w:szCs w:val="19"/>
          <w:color w:val="auto"/>
        </w:rPr>
        <w:t xml:space="preserve"> and if (x) Participant is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351" w:name="page352"/>
    <w:bookmarkEnd w:id="351"/>
    <w:p>
      <w:pPr>
        <w:spacing w:after="0"/>
        <w:rPr>
          <w:sz w:val="20"/>
          <w:szCs w:val="20"/>
          <w:color w:val="auto"/>
        </w:rPr>
      </w:pPr>
      <w:r>
        <w:rPr>
          <w:rFonts w:ascii="Arial" w:cs="Arial" w:eastAsia="Arial" w:hAnsi="Arial"/>
          <w:sz w:val="19"/>
          <w:szCs w:val="19"/>
          <w:color w:val="auto"/>
        </w:rPr>
        <w:t>the Restricted Stock Units will be paid in Shares to the Participant’s estate as soon as practicable following his or her death.</w:t>
      </w:r>
    </w:p>
    <w:p>
      <w:pPr>
        <w:spacing w:after="0" w:line="254" w:lineRule="exact"/>
        <w:rPr>
          <w:sz w:val="20"/>
          <w:szCs w:val="20"/>
          <w:color w:val="auto"/>
        </w:rPr>
      </w:pPr>
    </w:p>
    <w:p>
      <w:pPr>
        <w:jc w:val="both"/>
        <w:ind w:firstLine="1304"/>
        <w:spacing w:after="0" w:line="289" w:lineRule="auto"/>
        <w:tabs>
          <w:tab w:leader="none" w:pos="1941" w:val="left"/>
        </w:tabs>
        <w:numPr>
          <w:ilvl w:val="1"/>
          <w:numId w:val="29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In no event will the Company have any liability or obligation to reimburse, indemnify, or hold harmless Participant for any taxes or costs that may be imposed on or incurred by Participant as a result of Section 409A. For purposes of this Award Agreement, “Section 409A” means Section 409A of the Code, and any proposed, temporary or final Treasury Regulations and Internal Revenue Service guidance thereunder, as each may be amended from time to time.</w:t>
      </w:r>
    </w:p>
    <w:p>
      <w:pPr>
        <w:spacing w:after="0" w:line="15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Forfeiture Upon Termination as a Service Provider</w:t>
      </w:r>
      <w:r>
        <w:rPr>
          <w:rFonts w:ascii="Arial" w:cs="Arial" w:eastAsia="Arial" w:hAnsi="Arial"/>
          <w:sz w:val="22"/>
          <w:szCs w:val="22"/>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87"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91" w:lineRule="exact"/>
        <w:rPr>
          <w:rFonts w:ascii="Arial" w:cs="Arial" w:eastAsia="Arial" w:hAnsi="Arial"/>
          <w:sz w:val="22"/>
          <w:szCs w:val="22"/>
          <w:color w:val="auto"/>
        </w:rPr>
      </w:pPr>
    </w:p>
    <w:p>
      <w:pPr>
        <w:jc w:val="both"/>
        <w:ind w:firstLine="656"/>
        <w:spacing w:after="0" w:line="292" w:lineRule="auto"/>
        <w:tabs>
          <w:tab w:leader="none" w:pos="1296"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Pursuant to such procedures as the Administrator may specify from time to time, the Company shall withhold the minimum amount required to be withheld for the payment of income, employment and other taxes which the Company determines must be withheld (the “Withholding Taxes”). The Administrator, in its sole discretion and pursuant to such procedures as it may specify from time to time, may permit or require Participant to satisfy such Withholding Taxes, in whole or in part (without limitation) by (a) paying cash, (b) electing to have the Company withhold otherwise deliverable Shares having a Fair Market Value equal to the amount of such Withholding Taxes, (c) withholding the amount of such Withholding Taxes from Participant’s paycheck(s), (d) delivering to the Company already vested and owned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352" w:name="page353"/>
    <w:bookmarkEnd w:id="352"/>
    <w:p>
      <w:pPr>
        <w:jc w:val="both"/>
        <w:spacing w:after="0" w:line="288" w:lineRule="auto"/>
        <w:rPr>
          <w:sz w:val="20"/>
          <w:szCs w:val="20"/>
          <w:color w:val="auto"/>
        </w:rPr>
      </w:pPr>
      <w:r>
        <w:rPr>
          <w:rFonts w:ascii="Arial" w:cs="Arial" w:eastAsia="Arial" w:hAnsi="Arial"/>
          <w:sz w:val="19"/>
          <w:szCs w:val="19"/>
          <w:color w:val="auto"/>
        </w:rPr>
        <w:t>having a Fair Market Value equal to such Withholding Taxes, or (d) selling a sufficient number of such Shares otherwise deliverable to Participant through such means as the Company may determine in its sole discretion (whether through a broker or otherwise) equal to the amount of the Withholding Taxes. To the extent determined appropriate by the Company in its discretion, it shall have the right (but not the obligation) to satisfy any tax withholding obligations by reducing the number of Shares otherwise deliverable to Participant. If Participant fails to make satisfactory arrangements for the payment of such Withholding Taxes hereunder at the time any applicable Restricted Stock Units otherwise are scheduled to vest pursuant to Sections 4 or 6, or tax withholding obligations with respect to the Restricted Stock Units are otherwise due, Participant will permanently forfeit such Restricted Stock Units and any right to receive Shares thereunder and the Restricted Stock Units will be returned to the Company at no cost to the Company. Participant acknowledges and agrees that the Company may refuse to deliver the Shares if such Withholding Taxes are not delivered at the time they are due.</w:t>
      </w:r>
    </w:p>
    <w:p>
      <w:pPr>
        <w:spacing w:after="0" w:line="159" w:lineRule="exact"/>
        <w:rPr>
          <w:sz w:val="20"/>
          <w:szCs w:val="20"/>
          <w:color w:val="auto"/>
        </w:rPr>
      </w:pPr>
    </w:p>
    <w:p>
      <w:pPr>
        <w:jc w:val="both"/>
        <w:ind w:firstLine="656"/>
        <w:spacing w:after="0" w:line="294" w:lineRule="auto"/>
        <w:tabs>
          <w:tab w:leader="none" w:pos="1288"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9" w:lineRule="exact"/>
        <w:rPr>
          <w:rFonts w:ascii="Arial" w:cs="Arial" w:eastAsia="Arial" w:hAnsi="Arial"/>
          <w:sz w:val="19"/>
          <w:szCs w:val="19"/>
          <w:color w:val="auto"/>
        </w:rPr>
      </w:pPr>
    </w:p>
    <w:p>
      <w:pPr>
        <w:jc w:val="both"/>
        <w:ind w:firstLine="656"/>
        <w:spacing w:after="0" w:line="245" w:lineRule="auto"/>
        <w:tabs>
          <w:tab w:leader="none" w:pos="1296"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No Guarantee of Continued Service</w:t>
      </w:r>
      <w:r>
        <w:rPr>
          <w:rFonts w:ascii="Arial" w:cs="Arial" w:eastAsia="Arial" w:hAnsi="Arial"/>
          <w:sz w:val="22"/>
          <w:szCs w:val="22"/>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95"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300"/>
        </w:numPr>
        <w:rPr>
          <w:rFonts w:ascii="Arial" w:cs="Arial" w:eastAsia="Arial" w:hAnsi="Arial"/>
          <w:sz w:val="21"/>
          <w:szCs w:val="21"/>
          <w:color w:val="auto"/>
        </w:rPr>
      </w:pPr>
      <w:r>
        <w:rPr>
          <w:rFonts w:ascii="Arial" w:cs="Arial" w:eastAsia="Arial" w:hAnsi="Arial"/>
          <w:sz w:val="21"/>
          <w:szCs w:val="21"/>
          <w:u w:val="single" w:color="auto"/>
          <w:color w:val="auto"/>
        </w:rPr>
        <w:t>Grant is Not Transferable</w:t>
      </w:r>
      <w:r>
        <w:rPr>
          <w:rFonts w:ascii="Arial" w:cs="Arial" w:eastAsia="Arial" w:hAnsi="Arial"/>
          <w:sz w:val="21"/>
          <w:szCs w:val="21"/>
          <w:color w:val="auto"/>
        </w:rPr>
        <w:t>. Except to the limited extent provided in Section 9,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353" w:name="page354"/>
    <w:bookmarkEnd w:id="353"/>
    <w:p>
      <w:pPr>
        <w:spacing w:after="0" w:line="263" w:lineRule="auto"/>
        <w:rPr>
          <w:sz w:val="20"/>
          <w:szCs w:val="20"/>
          <w:color w:val="auto"/>
        </w:rPr>
      </w:pPr>
      <w:r>
        <w:rPr>
          <w:rFonts w:ascii="Arial" w:cs="Arial" w:eastAsia="Arial" w:hAnsi="Arial"/>
          <w:sz w:val="22"/>
          <w:szCs w:val="22"/>
          <w:color w:val="auto"/>
        </w:rPr>
        <w:t>or upon any attempted sale under any execution, attachment or similar process, this grant and the rights and privileges conferred hereby immediately will become null and void.</w:t>
      </w:r>
    </w:p>
    <w:p>
      <w:pPr>
        <w:spacing w:after="0" w:line="175" w:lineRule="exact"/>
        <w:rPr>
          <w:sz w:val="20"/>
          <w:szCs w:val="20"/>
          <w:color w:val="auto"/>
        </w:rPr>
      </w:pPr>
    </w:p>
    <w:p>
      <w:pPr>
        <w:jc w:val="both"/>
        <w:ind w:firstLine="656"/>
        <w:spacing w:after="0" w:line="250" w:lineRule="auto"/>
        <w:tabs>
          <w:tab w:leader="none" w:pos="1296"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Company’s Right of First Refusal</w:t>
      </w:r>
      <w:r>
        <w:rPr>
          <w:rFonts w:ascii="Arial" w:cs="Arial" w:eastAsia="Arial" w:hAnsi="Arial"/>
          <w:sz w:val="22"/>
          <w:szCs w:val="22"/>
          <w:color w:val="auto"/>
        </w:rPr>
        <w:t>. Subject to Section 13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14 (the “Right of First Refusal”).</w:t>
      </w:r>
    </w:p>
    <w:p>
      <w:pPr>
        <w:spacing w:after="0" w:line="187" w:lineRule="exact"/>
        <w:rPr>
          <w:rFonts w:ascii="Arial" w:cs="Arial" w:eastAsia="Arial" w:hAnsi="Arial"/>
          <w:sz w:val="22"/>
          <w:szCs w:val="22"/>
          <w:color w:val="auto"/>
        </w:rPr>
      </w:pPr>
    </w:p>
    <w:p>
      <w:pPr>
        <w:jc w:val="both"/>
        <w:ind w:firstLine="1304"/>
        <w:spacing w:after="0" w:line="297" w:lineRule="auto"/>
        <w:tabs>
          <w:tab w:leader="none" w:pos="1941" w:val="left"/>
        </w:tabs>
        <w:numPr>
          <w:ilvl w:val="1"/>
          <w:numId w:val="301"/>
        </w:numPr>
        <w:rPr>
          <w:rFonts w:ascii="Arial" w:cs="Arial" w:eastAsia="Arial" w:hAnsi="Arial"/>
          <w:sz w:val="19"/>
          <w:szCs w:val="19"/>
          <w:color w:val="auto"/>
        </w:rPr>
      </w:pPr>
      <w:r>
        <w:rPr>
          <w:rFonts w:ascii="Arial" w:cs="Arial" w:eastAsia="Arial" w:hAnsi="Arial"/>
          <w:sz w:val="19"/>
          <w:szCs w:val="19"/>
          <w:u w:val="single" w:color="auto"/>
          <w:color w:val="auto"/>
        </w:rPr>
        <w:t>Notice of Proposed Transfer</w:t>
      </w:r>
      <w:r>
        <w:rPr>
          <w:rFonts w:ascii="Arial" w:cs="Arial" w:eastAsia="Arial" w:hAnsi="Arial"/>
          <w:sz w:val="19"/>
          <w:szCs w:val="19"/>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39" w:val="left"/>
        </w:tabs>
        <w:numPr>
          <w:ilvl w:val="1"/>
          <w:numId w:val="301"/>
        </w:numPr>
        <w:rPr>
          <w:rFonts w:ascii="Arial" w:cs="Arial" w:eastAsia="Arial" w:hAnsi="Arial"/>
          <w:sz w:val="22"/>
          <w:szCs w:val="22"/>
          <w:color w:val="auto"/>
        </w:rPr>
      </w:pPr>
      <w:r>
        <w:rPr>
          <w:rFonts w:ascii="Arial" w:cs="Arial" w:eastAsia="Arial" w:hAnsi="Arial"/>
          <w:sz w:val="22"/>
          <w:szCs w:val="22"/>
          <w:u w:val="single" w:color="auto"/>
          <w:color w:val="auto"/>
        </w:rPr>
        <w:t>Exercise of Right of First Refusal</w:t>
      </w:r>
      <w:r>
        <w:rPr>
          <w:rFonts w:ascii="Arial" w:cs="Arial" w:eastAsia="Arial" w:hAnsi="Arial"/>
          <w:sz w:val="22"/>
          <w:szCs w:val="22"/>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7"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301"/>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The purchase price (“Right of First Refusal Price”) for the Shares purchased by the Company or its assignee(s) under this Section 14 shall be the Offered Price. If the Offered Price includes consideration other than cash, the cash equivalent value of the non-cash consideration shall be determined by the Board in good faith.</w:t>
      </w:r>
    </w:p>
    <w:p>
      <w:pPr>
        <w:spacing w:after="0" w:line="167" w:lineRule="exact"/>
        <w:rPr>
          <w:rFonts w:ascii="Arial" w:cs="Arial" w:eastAsia="Arial" w:hAnsi="Arial"/>
          <w:sz w:val="21"/>
          <w:szCs w:val="21"/>
          <w:color w:val="auto"/>
        </w:rPr>
      </w:pPr>
    </w:p>
    <w:p>
      <w:pPr>
        <w:jc w:val="both"/>
        <w:ind w:firstLine="1304"/>
        <w:spacing w:after="0" w:line="265" w:lineRule="auto"/>
        <w:tabs>
          <w:tab w:leader="none" w:pos="1939" w:val="left"/>
        </w:tabs>
        <w:numPr>
          <w:ilvl w:val="1"/>
          <w:numId w:val="301"/>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Payment of the Right of First Refusal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75" w:lineRule="exact"/>
        <w:rPr>
          <w:rFonts w:ascii="Arial" w:cs="Arial" w:eastAsia="Arial" w:hAnsi="Arial"/>
          <w:sz w:val="21"/>
          <w:szCs w:val="21"/>
          <w:color w:val="auto"/>
        </w:rPr>
      </w:pPr>
    </w:p>
    <w:p>
      <w:pPr>
        <w:jc w:val="both"/>
        <w:ind w:firstLine="1304"/>
        <w:spacing w:after="0" w:line="259" w:lineRule="auto"/>
        <w:tabs>
          <w:tab w:leader="none" w:pos="1941" w:val="left"/>
        </w:tabs>
        <w:numPr>
          <w:ilvl w:val="1"/>
          <w:numId w:val="301"/>
        </w:numPr>
        <w:rPr>
          <w:rFonts w:ascii="Arial" w:cs="Arial" w:eastAsia="Arial" w:hAnsi="Arial"/>
          <w:sz w:val="21"/>
          <w:szCs w:val="21"/>
          <w:color w:val="auto"/>
        </w:rPr>
      </w:pPr>
      <w:r>
        <w:rPr>
          <w:rFonts w:ascii="Arial" w:cs="Arial" w:eastAsia="Arial" w:hAnsi="Arial"/>
          <w:sz w:val="21"/>
          <w:szCs w:val="21"/>
          <w:u w:val="single" w:color="auto"/>
          <w:color w:val="auto"/>
        </w:rPr>
        <w:t>Holder’s Right to Transfer</w:t>
      </w:r>
      <w:r>
        <w:rPr>
          <w:rFonts w:ascii="Arial" w:cs="Arial" w:eastAsia="Arial" w:hAnsi="Arial"/>
          <w:sz w:val="21"/>
          <w:szCs w:val="21"/>
          <w:color w:val="auto"/>
        </w:rPr>
        <w:t xml:space="preserve">. If all of the Shares proposed in the Notice to be transferred to a given Proposed Transferee are not purchased by the Company and/or its assignee(s) as provided in this Section 14, then the Holder may sell or otherwise transfer such Shares to that Proposed Transferee at the Offered Price or at a higher price,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14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354" w:name="page355"/>
    <w:bookmarkEnd w:id="354"/>
    <w:p>
      <w:pPr>
        <w:jc w:val="both"/>
        <w:ind w:firstLine="1304"/>
        <w:spacing w:after="0" w:line="260" w:lineRule="auto"/>
        <w:tabs>
          <w:tab w:leader="none" w:pos="1944" w:val="left"/>
        </w:tabs>
        <w:numPr>
          <w:ilvl w:val="1"/>
          <w:numId w:val="302"/>
        </w:numPr>
        <w:rPr>
          <w:rFonts w:ascii="Arial" w:cs="Arial" w:eastAsia="Arial" w:hAnsi="Arial"/>
          <w:sz w:val="21"/>
          <w:szCs w:val="21"/>
          <w:color w:val="auto"/>
        </w:rPr>
      </w:pPr>
      <w:r>
        <w:rPr>
          <w:rFonts w:ascii="Arial" w:cs="Arial" w:eastAsia="Arial" w:hAnsi="Arial"/>
          <w:sz w:val="21"/>
          <w:szCs w:val="21"/>
          <w:u w:val="single" w:color="auto"/>
          <w:color w:val="auto"/>
        </w:rPr>
        <w:t>Exception for Certain Family Transfers</w:t>
      </w:r>
      <w:r>
        <w:rPr>
          <w:rFonts w:ascii="Arial" w:cs="Arial" w:eastAsia="Arial" w:hAnsi="Arial"/>
          <w:sz w:val="21"/>
          <w:szCs w:val="21"/>
          <w:color w:val="auto"/>
        </w:rPr>
        <w:t>. Anything to the contrary contained in this Section 14 notwithstanding, the transfer of any or all of the Shares during Participant’s lifetime or on Participant’s death by will or intestacy to Participant’s immediate family or a trust for the benefit of Participant’s immediate family shall be exempt from the provisions of this Section 14. “Immediate Family” as used herein shall mean spouse, lineal descendant or antecedent, father, mother, brother or sister. In such case, the transferee or other recipient shall receive and hold the Shares so transferred subject to the provisions of this Award Agreement, including but not limited to this Section 14, and there shall be no further transfer of such Shares except in accordance with the terms of this Section 14.</w:t>
      </w:r>
    </w:p>
    <w:p>
      <w:pPr>
        <w:spacing w:after="0" w:line="180" w:lineRule="exact"/>
        <w:rPr>
          <w:rFonts w:ascii="Arial" w:cs="Arial" w:eastAsia="Arial" w:hAnsi="Arial"/>
          <w:sz w:val="21"/>
          <w:szCs w:val="21"/>
          <w:color w:val="auto"/>
        </w:rPr>
      </w:pPr>
    </w:p>
    <w:p>
      <w:pPr>
        <w:jc w:val="both"/>
        <w:ind w:firstLine="1304"/>
        <w:spacing w:after="0" w:line="253" w:lineRule="auto"/>
        <w:tabs>
          <w:tab w:leader="none" w:pos="1939" w:val="left"/>
        </w:tabs>
        <w:numPr>
          <w:ilvl w:val="1"/>
          <w:numId w:val="302"/>
        </w:numPr>
        <w:rPr>
          <w:rFonts w:ascii="Arial" w:cs="Arial" w:eastAsia="Arial" w:hAnsi="Arial"/>
          <w:sz w:val="22"/>
          <w:szCs w:val="22"/>
          <w:color w:val="auto"/>
        </w:rPr>
      </w:pPr>
      <w:r>
        <w:rPr>
          <w:rFonts w:ascii="Arial" w:cs="Arial" w:eastAsia="Arial" w:hAnsi="Arial"/>
          <w:sz w:val="22"/>
          <w:szCs w:val="22"/>
          <w:u w:val="single" w:color="auto"/>
          <w:color w:val="auto"/>
        </w:rPr>
        <w:t>Termination of Right of First Refusal</w:t>
      </w:r>
      <w:r>
        <w:rPr>
          <w:rFonts w:ascii="Arial" w:cs="Arial" w:eastAsia="Arial" w:hAnsi="Arial"/>
          <w:sz w:val="22"/>
          <w:szCs w:val="22"/>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Restrictive Legends and Stop-Transfer Orders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303"/>
        </w:numPr>
        <w:rPr>
          <w:rFonts w:ascii="Arial" w:cs="Arial" w:eastAsia="Arial" w:hAnsi="Arial"/>
          <w:sz w:val="21"/>
          <w:szCs w:val="21"/>
          <w:color w:val="auto"/>
        </w:rPr>
      </w:pPr>
      <w:r>
        <w:rPr>
          <w:rFonts w:ascii="Arial" w:cs="Arial" w:eastAsia="Arial" w:hAnsi="Arial"/>
          <w:sz w:val="21"/>
          <w:szCs w:val="21"/>
          <w:u w:val="single" w:color="auto"/>
          <w:color w:val="auto"/>
        </w:rPr>
        <w:t>Legends</w:t>
      </w:r>
      <w:r>
        <w:rPr>
          <w:rFonts w:ascii="Arial" w:cs="Arial" w:eastAsia="Arial" w:hAnsi="Arial"/>
          <w:sz w:val="21"/>
          <w:szCs w:val="21"/>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67"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47"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THE SHARES REPRESENTED BY THIS CERTIFICATE ARE SUBJECT TO CERTAIN RESTRICTIONS ON TRANSFER AND A RIGHT OF FIRST REFUSAL IN FAVOR OF THE ISSUER OR ITS ASSIGNEE(S) AS SET FORTH IN THE RESTRICTED STOCK UNIT AWARD AGREEMENT BETWEEN THE ISSUER AND THE ORIGINAL HOLDER OF THESE SHARES, A COPY OF WHICH MAY BE OBTAINED AT THE PRINCIPAL OFFICE OF THE ISSUER. SUCH TRANSFER RESTRICTIONS AND RIGHT OF FIRST REFUSAL IN FAVOR OF THE ISSUER OR ITS ASSIGNEE(S) ARE BINDING ON TRANSFEREES OF THESE SHARES.</w:t>
      </w:r>
    </w:p>
    <w:p>
      <w:pPr>
        <w:spacing w:after="0" w:line="19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355" w:name="page356"/>
    <w:bookmarkEnd w:id="355"/>
    <w:p>
      <w:pPr>
        <w:jc w:val="both"/>
        <w:ind w:left="1300"/>
        <w:spacing w:after="0" w:line="253" w:lineRule="auto"/>
        <w:rPr>
          <w:sz w:val="20"/>
          <w:szCs w:val="20"/>
          <w:color w:val="auto"/>
        </w:rPr>
      </w:pPr>
      <w:r>
        <w:rPr>
          <w:rFonts w:ascii="Arial" w:cs="Arial" w:eastAsia="Arial" w:hAnsi="Arial"/>
          <w:sz w:val="22"/>
          <w:szCs w:val="22"/>
          <w:color w:val="auto"/>
        </w:rPr>
        <w:t>SHARES AND MAY NOT BE SOLD OR OTHERWISE DISPOSED OF BY THE HOLDER PRIOR TO THE EXPIRATION OF SUCH PERIOD WITHOUT THE CONSENT OF THE COMPANY OR THE MANAGING UNDERWRITER.</w:t>
      </w:r>
    </w:p>
    <w:p>
      <w:pPr>
        <w:spacing w:after="0" w:line="185" w:lineRule="exact"/>
        <w:rPr>
          <w:sz w:val="20"/>
          <w:szCs w:val="20"/>
          <w:color w:val="auto"/>
        </w:rPr>
      </w:pPr>
    </w:p>
    <w:p>
      <w:pPr>
        <w:jc w:val="both"/>
        <w:ind w:firstLine="1304"/>
        <w:spacing w:after="0" w:line="271" w:lineRule="auto"/>
        <w:tabs>
          <w:tab w:leader="none" w:pos="1939" w:val="left"/>
        </w:tabs>
        <w:numPr>
          <w:ilvl w:val="1"/>
          <w:numId w:val="304"/>
        </w:numPr>
        <w:rPr>
          <w:rFonts w:ascii="Arial" w:cs="Arial" w:eastAsia="Arial" w:hAnsi="Arial"/>
          <w:sz w:val="21"/>
          <w:szCs w:val="21"/>
          <w:color w:val="auto"/>
        </w:rPr>
      </w:pPr>
      <w:r>
        <w:rPr>
          <w:rFonts w:ascii="Arial" w:cs="Arial" w:eastAsia="Arial" w:hAnsi="Arial"/>
          <w:sz w:val="21"/>
          <w:szCs w:val="21"/>
          <w:u w:val="single" w:color="auto"/>
          <w:color w:val="auto"/>
        </w:rPr>
        <w:t>Stop-Transfer Notices</w:t>
      </w:r>
      <w:r>
        <w:rPr>
          <w:rFonts w:ascii="Arial" w:cs="Arial" w:eastAsia="Arial" w:hAnsi="Arial"/>
          <w:sz w:val="21"/>
          <w:szCs w:val="21"/>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7" w:lineRule="exact"/>
        <w:rPr>
          <w:rFonts w:ascii="Arial" w:cs="Arial" w:eastAsia="Arial" w:hAnsi="Arial"/>
          <w:sz w:val="21"/>
          <w:szCs w:val="21"/>
          <w:color w:val="auto"/>
        </w:rPr>
      </w:pPr>
    </w:p>
    <w:p>
      <w:pPr>
        <w:jc w:val="both"/>
        <w:ind w:firstLine="1304"/>
        <w:spacing w:after="0" w:line="250" w:lineRule="auto"/>
        <w:tabs>
          <w:tab w:leader="none" w:pos="1941" w:val="left"/>
        </w:tabs>
        <w:numPr>
          <w:ilvl w:val="1"/>
          <w:numId w:val="304"/>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 (i) to transfer on its books any Shares that have been sold or otherwise transferred in violation of any of the provisions of this Award Agreement or (ii) to treat as owner of such Shares or to accord the right to vote or pay dividends to any purchaser or other transferee to whom such Shares shall have been so transferred.</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Seer, Inc., 3800 Bridge Parkway, Suite 102, Redwood City, CA 94065, attention of the President, or at such other address as the Company may hereafter designate in writing.</w:t>
      </w:r>
    </w:p>
    <w:p>
      <w:pPr>
        <w:spacing w:after="0" w:line="185" w:lineRule="exact"/>
        <w:rPr>
          <w:rFonts w:ascii="Arial" w:cs="Arial" w:eastAsia="Arial" w:hAnsi="Arial"/>
          <w:sz w:val="22"/>
          <w:szCs w:val="22"/>
          <w:color w:val="auto"/>
        </w:rPr>
      </w:pPr>
    </w:p>
    <w:p>
      <w:pPr>
        <w:jc w:val="both"/>
        <w:ind w:firstLine="656"/>
        <w:spacing w:after="0" w:line="263" w:lineRule="auto"/>
        <w:tabs>
          <w:tab w:leader="none" w:pos="1296" w:val="left"/>
        </w:tabs>
        <w:numPr>
          <w:ilvl w:val="0"/>
          <w:numId w:val="305"/>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5" w:lineRule="exact"/>
        <w:rPr>
          <w:rFonts w:ascii="Arial" w:cs="Arial" w:eastAsia="Arial" w:hAnsi="Arial"/>
          <w:sz w:val="21"/>
          <w:szCs w:val="21"/>
          <w:color w:val="auto"/>
        </w:rPr>
      </w:pPr>
    </w:p>
    <w:p>
      <w:pPr>
        <w:jc w:val="both"/>
        <w:ind w:firstLine="656"/>
        <w:spacing w:after="0" w:line="265" w:lineRule="auto"/>
        <w:tabs>
          <w:tab w:leader="none" w:pos="1296" w:val="left"/>
        </w:tabs>
        <w:numPr>
          <w:ilvl w:val="0"/>
          <w:numId w:val="305"/>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5" w:lineRule="exact"/>
        <w:rPr>
          <w:rFonts w:ascii="Arial" w:cs="Arial" w:eastAsia="Arial" w:hAnsi="Arial"/>
          <w:sz w:val="21"/>
          <w:szCs w:val="21"/>
          <w:color w:val="auto"/>
        </w:rPr>
      </w:pPr>
    </w:p>
    <w:p>
      <w:pPr>
        <w:jc w:val="both"/>
        <w:ind w:firstLine="656"/>
        <w:spacing w:after="0" w:line="248" w:lineRule="auto"/>
        <w:tabs>
          <w:tab w:leader="none" w:pos="1296"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Additional Conditions to Issuance of Stock</w:t>
      </w:r>
      <w:r>
        <w:rPr>
          <w:rFonts w:ascii="Arial" w:cs="Arial" w:eastAsia="Arial" w:hAnsi="Arial"/>
          <w:sz w:val="22"/>
          <w:szCs w:val="22"/>
          <w:color w:val="auto"/>
        </w:rPr>
        <w:t>. If at any time the Company will determine, in its discretion, that the listing, registration, qualification or rule compliance of the Shares upon any securities exchange or under any state, federal or foreign law, the tax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8" w:right="339" w:bottom="1440" w:gutter="0" w:footer="0" w:header="0"/>
        </w:sectPr>
      </w:pPr>
    </w:p>
    <w:bookmarkStart w:id="356" w:name="page357"/>
    <w:bookmarkEnd w:id="356"/>
    <w:p>
      <w:pPr>
        <w:jc w:val="both"/>
        <w:spacing w:after="0" w:line="290" w:lineRule="auto"/>
        <w:rPr>
          <w:sz w:val="20"/>
          <w:szCs w:val="20"/>
          <w:color w:val="auto"/>
        </w:rPr>
      </w:pPr>
      <w:r>
        <w:rPr>
          <w:rFonts w:ascii="Arial" w:cs="Arial" w:eastAsia="Arial" w:hAnsi="Arial"/>
          <w:sz w:val="19"/>
          <w:szCs w:val="19"/>
          <w:color w:val="auto"/>
        </w:rPr>
        <w:t>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56" w:lineRule="exact"/>
        <w:rPr>
          <w:sz w:val="20"/>
          <w:szCs w:val="20"/>
          <w:color w:val="auto"/>
        </w:rPr>
      </w:pPr>
    </w:p>
    <w:p>
      <w:pPr>
        <w:jc w:val="both"/>
        <w:ind w:firstLine="656"/>
        <w:spacing w:after="0" w:line="246" w:lineRule="auto"/>
        <w:tabs>
          <w:tab w:leader="none" w:pos="1296"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96"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Modifications to the Award Agreement</w:t>
      </w:r>
      <w:r>
        <w:rPr>
          <w:rFonts w:ascii="Arial" w:cs="Arial" w:eastAsia="Arial" w:hAnsi="Arial"/>
          <w:sz w:val="21"/>
          <w:szCs w:val="2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83" w:lineRule="exact"/>
        <w:rPr>
          <w:rFonts w:ascii="Arial" w:cs="Arial" w:eastAsia="Arial" w:hAnsi="Arial"/>
          <w:sz w:val="21"/>
          <w:szCs w:val="21"/>
          <w:color w:val="auto"/>
        </w:rPr>
      </w:pPr>
    </w:p>
    <w:p>
      <w:pPr>
        <w:jc w:val="both"/>
        <w:ind w:firstLine="656"/>
        <w:spacing w:after="0" w:line="312" w:lineRule="auto"/>
        <w:tabs>
          <w:tab w:leader="none" w:pos="1296"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This Award Agreement and the Restricted Stock Units are governed by the internal substantive laws, but not the choice of law rules, of California. In the event that any provision hereof becomes or is declared by a court of competent jurisdiction to be illegal, unenforceable or void, this Award Agreement shall continue in full force and effect.</w:t>
      </w:r>
    </w:p>
    <w:p>
      <w:pPr>
        <w:spacing w:after="0" w:line="133"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357" w:name="page358"/>
    <w:bookmarkEnd w:id="357"/>
    <w:p>
      <w:pPr>
        <w:jc w:val="both"/>
        <w:ind w:firstLine="648"/>
        <w:spacing w:after="0" w:line="246" w:lineRule="auto"/>
        <w:rPr>
          <w:sz w:val="20"/>
          <w:szCs w:val="20"/>
          <w:color w:val="auto"/>
        </w:rPr>
      </w:pPr>
      <w:r>
        <w:rPr>
          <w:rFonts w:ascii="Arial" w:cs="Arial" w:eastAsia="Arial" w:hAnsi="Arial"/>
          <w:sz w:val="22"/>
          <w:szCs w:val="22"/>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358" w:name="page359"/>
    <w:bookmarkEnd w:id="35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524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72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SEER, INC</w:t>
            </w:r>
          </w:p>
        </w:tc>
      </w:tr>
      <w:tr>
        <w:trPr>
          <w:trHeight w:val="557"/>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73"/>
        </w:trPr>
        <w:tc>
          <w:tcPr>
            <w:tcW w:w="20" w:type="dxa"/>
            <w:vAlign w:val="bottom"/>
          </w:tcPr>
          <w:p>
            <w:pPr>
              <w:spacing w:after="0"/>
              <w:rPr>
                <w:sz w:val="23"/>
                <w:szCs w:val="23"/>
                <w:color w:val="auto"/>
              </w:rPr>
            </w:pPr>
          </w:p>
        </w:tc>
        <w:tc>
          <w:tcPr>
            <w:tcW w:w="524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72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By</w:t>
            </w:r>
          </w:p>
        </w:tc>
      </w:tr>
      <w:tr>
        <w:trPr>
          <w:trHeight w:val="557"/>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5240" w:type="dxa"/>
            <w:vAlign w:val="bottom"/>
            <w:gridSpan w:val="2"/>
          </w:tcPr>
          <w:p>
            <w:pPr>
              <w:spacing w:after="0"/>
              <w:rPr>
                <w:sz w:val="20"/>
                <w:szCs w:val="20"/>
                <w:color w:val="auto"/>
              </w:rPr>
            </w:pPr>
            <w:r>
              <w:rPr>
                <w:rFonts w:ascii="Arial" w:cs="Arial" w:eastAsia="Arial" w:hAnsi="Arial"/>
                <w:sz w:val="22"/>
                <w:szCs w:val="22"/>
                <w:color w:val="auto"/>
              </w:rPr>
              <w:t>Print Name</w:t>
            </w:r>
          </w:p>
        </w:tc>
        <w:tc>
          <w:tcPr>
            <w:tcW w:w="72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Title</w:t>
            </w:r>
          </w:p>
        </w:tc>
      </w:tr>
      <w:tr>
        <w:trPr>
          <w:trHeight w:val="516"/>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2"/>
                <w:szCs w:val="22"/>
                <w:color w:val="auto"/>
              </w:rPr>
              <w:t>Residence Address:</w:t>
            </w: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520"/>
        </w:trPr>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Seer, Inc. RSU Award Agreement]</w:t>
      </w:r>
    </w:p>
    <w:p>
      <w:pPr>
        <w:sectPr>
          <w:pgSz w:w="11900" w:h="16838" w:orient="portrait"/>
          <w:cols w:equalWidth="0" w:num="1">
            <w:col w:w="11240"/>
          </w:cols>
          <w:pgMar w:left="320" w:top="1440" w:right="339" w:bottom="1440" w:gutter="0" w:footer="0" w:header="0"/>
        </w:sectPr>
      </w:pPr>
    </w:p>
    <w:bookmarkStart w:id="359" w:name="page360"/>
    <w:bookmarkEnd w:id="359"/>
    <w:tbl>
      <w:tblPr>
        <w:tblLayout w:type="fixed"/>
        <w:tblInd w:w="20" w:type="dxa"/>
        <w:tblCellMar>
          <w:top w:w="0" w:type="dxa"/>
          <w:left w:w="0" w:type="dxa"/>
          <w:bottom w:w="0" w:type="dxa"/>
          <w:right w:w="0" w:type="dxa"/>
        </w:tblCellMar>
      </w:tblPr>
      <w:tr>
        <w:trPr>
          <w:trHeight w:val="253"/>
        </w:trPr>
        <w:tc>
          <w:tcPr>
            <w:tcW w:w="1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A</w:t>
            </w:r>
          </w:p>
        </w:tc>
        <w:tc>
          <w:tcPr>
            <w:tcW w:w="1860" w:type="dxa"/>
            <w:vAlign w:val="bottom"/>
          </w:tcPr>
          <w:p>
            <w:pPr>
              <w:spacing w:after="0"/>
              <w:rPr>
                <w:sz w:val="21"/>
                <w:szCs w:val="21"/>
                <w:color w:val="auto"/>
              </w:rPr>
            </w:pPr>
          </w:p>
        </w:tc>
      </w:tr>
      <w:tr>
        <w:trPr>
          <w:trHeight w:val="503"/>
        </w:trPr>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6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8"/>
              </w:rPr>
              <w:t>INVESTMENT REPRESENTATION STATEMENT</w:t>
            </w:r>
          </w:p>
        </w:tc>
      </w:tr>
      <w:tr>
        <w:trPr>
          <w:trHeight w:val="513"/>
        </w:trPr>
        <w:tc>
          <w:tcPr>
            <w:tcW w:w="1880" w:type="dxa"/>
            <w:vAlign w:val="bottom"/>
          </w:tcPr>
          <w:p>
            <w:pPr>
              <w:spacing w:after="0"/>
              <w:rPr>
                <w:sz w:val="20"/>
                <w:szCs w:val="20"/>
                <w:color w:val="auto"/>
              </w:rPr>
            </w:pPr>
            <w:r>
              <w:rPr>
                <w:rFonts w:ascii="Arial" w:cs="Arial" w:eastAsia="Arial" w:hAnsi="Arial"/>
                <w:sz w:val="22"/>
                <w:szCs w:val="22"/>
                <w:color w:val="auto"/>
              </w:rPr>
              <w:t>PARTICIPANT</w:t>
            </w:r>
          </w:p>
        </w:tc>
        <w:tc>
          <w:tcPr>
            <w:tcW w:w="90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67"/>
        </w:trPr>
        <w:tc>
          <w:tcPr>
            <w:tcW w:w="1880" w:type="dxa"/>
            <w:vAlign w:val="bottom"/>
          </w:tcPr>
          <w:p>
            <w:pPr>
              <w:spacing w:after="0"/>
              <w:rPr>
                <w:sz w:val="20"/>
                <w:szCs w:val="20"/>
                <w:color w:val="auto"/>
              </w:rPr>
            </w:pPr>
            <w:r>
              <w:rPr>
                <w:rFonts w:ascii="Arial" w:cs="Arial" w:eastAsia="Arial" w:hAnsi="Arial"/>
                <w:sz w:val="22"/>
                <w:szCs w:val="22"/>
                <w:color w:val="auto"/>
              </w:rPr>
              <w:t>COMPANY</w:t>
            </w:r>
          </w:p>
        </w:tc>
        <w:tc>
          <w:tcPr>
            <w:tcW w:w="90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5260" w:type="dxa"/>
            <w:vAlign w:val="bottom"/>
            <w:gridSpan w:val="3"/>
          </w:tcPr>
          <w:p>
            <w:pPr>
              <w:ind w:left="340"/>
              <w:spacing w:after="0"/>
              <w:rPr>
                <w:sz w:val="20"/>
                <w:szCs w:val="20"/>
                <w:color w:val="auto"/>
              </w:rPr>
            </w:pPr>
            <w:r>
              <w:rPr>
                <w:rFonts w:ascii="Arial" w:cs="Arial" w:eastAsia="Arial" w:hAnsi="Arial"/>
                <w:sz w:val="22"/>
                <w:szCs w:val="22"/>
                <w:color w:val="auto"/>
              </w:rPr>
              <w:t>SEER, INC.</w:t>
            </w:r>
          </w:p>
        </w:tc>
      </w:tr>
      <w:tr>
        <w:trPr>
          <w:trHeight w:val="567"/>
        </w:trPr>
        <w:tc>
          <w:tcPr>
            <w:tcW w:w="1880" w:type="dxa"/>
            <w:vAlign w:val="bottom"/>
          </w:tcPr>
          <w:p>
            <w:pPr>
              <w:spacing w:after="0"/>
              <w:rPr>
                <w:sz w:val="20"/>
                <w:szCs w:val="20"/>
                <w:color w:val="auto"/>
              </w:rPr>
            </w:pPr>
            <w:r>
              <w:rPr>
                <w:rFonts w:ascii="Arial" w:cs="Arial" w:eastAsia="Arial" w:hAnsi="Arial"/>
                <w:sz w:val="22"/>
                <w:szCs w:val="22"/>
                <w:color w:val="auto"/>
              </w:rPr>
              <w:t>SECURITY</w:t>
            </w:r>
          </w:p>
        </w:tc>
        <w:tc>
          <w:tcPr>
            <w:tcW w:w="90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5260" w:type="dxa"/>
            <w:vAlign w:val="bottom"/>
            <w:gridSpan w:val="3"/>
          </w:tcPr>
          <w:p>
            <w:pPr>
              <w:ind w:left="340"/>
              <w:spacing w:after="0"/>
              <w:rPr>
                <w:sz w:val="20"/>
                <w:szCs w:val="20"/>
                <w:color w:val="auto"/>
              </w:rPr>
            </w:pPr>
            <w:r>
              <w:rPr>
                <w:rFonts w:ascii="Arial" w:cs="Arial" w:eastAsia="Arial" w:hAnsi="Arial"/>
                <w:sz w:val="22"/>
                <w:szCs w:val="22"/>
                <w:color w:val="auto"/>
              </w:rPr>
              <w:t>CLASS A COMMON STOCK</w:t>
            </w:r>
          </w:p>
        </w:tc>
      </w:tr>
      <w:tr>
        <w:trPr>
          <w:trHeight w:val="567"/>
        </w:trPr>
        <w:tc>
          <w:tcPr>
            <w:tcW w:w="1880" w:type="dxa"/>
            <w:vAlign w:val="bottom"/>
          </w:tcPr>
          <w:p>
            <w:pPr>
              <w:spacing w:after="0"/>
              <w:rPr>
                <w:sz w:val="20"/>
                <w:szCs w:val="20"/>
                <w:color w:val="auto"/>
              </w:rPr>
            </w:pPr>
            <w:r>
              <w:rPr>
                <w:rFonts w:ascii="Arial" w:cs="Arial" w:eastAsia="Arial" w:hAnsi="Arial"/>
                <w:sz w:val="22"/>
                <w:szCs w:val="22"/>
                <w:color w:val="auto"/>
              </w:rPr>
              <w:t>AMOUNT</w:t>
            </w:r>
          </w:p>
        </w:tc>
        <w:tc>
          <w:tcPr>
            <w:tcW w:w="90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67"/>
        </w:trPr>
        <w:tc>
          <w:tcPr>
            <w:tcW w:w="1880" w:type="dxa"/>
            <w:vAlign w:val="bottom"/>
          </w:tcPr>
          <w:p>
            <w:pPr>
              <w:spacing w:after="0"/>
              <w:rPr>
                <w:sz w:val="20"/>
                <w:szCs w:val="20"/>
                <w:color w:val="auto"/>
              </w:rPr>
            </w:pPr>
            <w:r>
              <w:rPr>
                <w:rFonts w:ascii="Arial" w:cs="Arial" w:eastAsia="Arial" w:hAnsi="Arial"/>
                <w:sz w:val="22"/>
                <w:szCs w:val="22"/>
                <w:color w:val="auto"/>
              </w:rPr>
              <w:t>DATE</w:t>
            </w:r>
          </w:p>
        </w:tc>
        <w:tc>
          <w:tcPr>
            <w:tcW w:w="90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connection with the receipt of the above-listed Securities, the undersigned Participant represents to the Company the following:</w:t>
      </w:r>
    </w:p>
    <w:p>
      <w:pPr>
        <w:spacing w:after="0" w:line="175" w:lineRule="exact"/>
        <w:rPr>
          <w:sz w:val="20"/>
          <w:szCs w:val="20"/>
          <w:color w:val="auto"/>
        </w:rPr>
      </w:pPr>
    </w:p>
    <w:p>
      <w:pPr>
        <w:jc w:val="both"/>
        <w:ind w:firstLine="1304"/>
        <w:spacing w:after="0" w:line="302" w:lineRule="auto"/>
        <w:tabs>
          <w:tab w:leader="none" w:pos="1941"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42" w:lineRule="exact"/>
        <w:rPr>
          <w:rFonts w:ascii="Arial" w:cs="Arial" w:eastAsia="Arial" w:hAnsi="Arial"/>
          <w:sz w:val="19"/>
          <w:szCs w:val="19"/>
          <w:color w:val="auto"/>
        </w:rPr>
      </w:pPr>
    </w:p>
    <w:p>
      <w:pPr>
        <w:jc w:val="both"/>
        <w:ind w:firstLine="1304"/>
        <w:spacing w:after="0" w:line="287" w:lineRule="auto"/>
        <w:tabs>
          <w:tab w:leader="none" w:pos="1939"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63" w:lineRule="exact"/>
        <w:rPr>
          <w:rFonts w:ascii="Arial" w:cs="Arial" w:eastAsia="Arial" w:hAnsi="Arial"/>
          <w:sz w:val="19"/>
          <w:szCs w:val="19"/>
          <w:color w:val="auto"/>
        </w:rPr>
      </w:pPr>
    </w:p>
    <w:p>
      <w:pPr>
        <w:jc w:val="both"/>
        <w:ind w:firstLine="1304"/>
        <w:spacing w:after="0" w:line="250" w:lineRule="auto"/>
        <w:tabs>
          <w:tab w:leader="none" w:pos="1941" w:val="left"/>
        </w:tabs>
        <w:numPr>
          <w:ilvl w:val="0"/>
          <w:numId w:val="307"/>
        </w:numPr>
        <w:rPr>
          <w:rFonts w:ascii="Arial" w:cs="Arial" w:eastAsia="Arial" w:hAnsi="Arial"/>
          <w:sz w:val="22"/>
          <w:szCs w:val="22"/>
          <w:color w:val="auto"/>
        </w:rPr>
      </w:pPr>
      <w:r>
        <w:rPr>
          <w:rFonts w:ascii="Arial" w:cs="Arial" w:eastAsia="Arial" w:hAnsi="Arial"/>
          <w:sz w:val="22"/>
          <w:szCs w:val="22"/>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Restricted Stock Unit Award to</w:t>
      </w:r>
    </w:p>
    <w:p>
      <w:pPr>
        <w:sectPr>
          <w:pgSz w:w="11900" w:h="16838" w:orient="portrait"/>
          <w:cols w:equalWidth="0" w:num="1">
            <w:col w:w="11240"/>
          </w:cols>
          <w:pgMar w:left="320" w:top="1399" w:right="339" w:bottom="1440" w:gutter="0" w:footer="0" w:header="0"/>
        </w:sectPr>
      </w:pPr>
    </w:p>
    <w:bookmarkStart w:id="360" w:name="page361"/>
    <w:bookmarkEnd w:id="360"/>
    <w:p>
      <w:pPr>
        <w:jc w:val="both"/>
        <w:spacing w:after="0" w:line="259" w:lineRule="auto"/>
        <w:rPr>
          <w:sz w:val="20"/>
          <w:szCs w:val="20"/>
          <w:color w:val="auto"/>
        </w:rPr>
      </w:pPr>
      <w:r>
        <w:rPr>
          <w:rFonts w:ascii="Arial" w:cs="Arial" w:eastAsia="Arial" w:hAnsi="Arial"/>
          <w:sz w:val="21"/>
          <w:szCs w:val="21"/>
          <w:color w:val="auto"/>
        </w:rPr>
        <w:t>Participant, the receipt of the Securities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8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In the event that the Company does not qualify under Rule 701 at the time of grant of the Restricted Stock Unit Award,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93" w:lineRule="exact"/>
        <w:rPr>
          <w:sz w:val="20"/>
          <w:szCs w:val="20"/>
          <w:color w:val="auto"/>
        </w:rPr>
      </w:pPr>
    </w:p>
    <w:p>
      <w:pPr>
        <w:jc w:val="both"/>
        <w:ind w:firstLine="1304"/>
        <w:spacing w:after="0" w:line="259" w:lineRule="auto"/>
        <w:tabs>
          <w:tab w:leader="none" w:pos="1939" w:val="left"/>
        </w:tabs>
        <w:numPr>
          <w:ilvl w:val="0"/>
          <w:numId w:val="308"/>
        </w:numPr>
        <w:rPr>
          <w:rFonts w:ascii="Arial" w:cs="Arial" w:eastAsia="Arial" w:hAnsi="Arial"/>
          <w:sz w:val="21"/>
          <w:szCs w:val="21"/>
          <w:color w:val="auto"/>
        </w:rPr>
      </w:pPr>
      <w:r>
        <w:rPr>
          <w:rFonts w:ascii="Arial" w:cs="Arial" w:eastAsia="Arial" w:hAnsi="Arial"/>
          <w:sz w:val="21"/>
          <w:szCs w:val="21"/>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22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367030</wp:posOffset>
            </wp:positionV>
            <wp:extent cx="30429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374650</wp:posOffset>
            </wp:positionV>
            <wp:extent cx="30429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374650</wp:posOffset>
            </wp:positionV>
            <wp:extent cx="3042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428"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1628775" cy="402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8775" cy="4025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900" w:firstLine="8"/>
        <w:spacing w:after="0" w:line="287" w:lineRule="auto"/>
        <w:tabs>
          <w:tab w:leader="none" w:pos="3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Umbrella Development &amp;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Hamilton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20"/>
          </w:cols>
          <w:pgMar w:left="320" w:top="175" w:right="359" w:bottom="1440" w:gutter="0" w:footer="0" w:header="0"/>
        </w:sectPr>
      </w:pPr>
    </w:p>
    <w:bookmarkStart w:id="362" w:name="page363"/>
    <w:bookmarkEnd w:id="362"/>
    <w:p>
      <w:pPr>
        <w:ind w:left="4900"/>
        <w:spacing w:after="0"/>
        <w:rPr>
          <w:sz w:val="20"/>
          <w:szCs w:val="20"/>
          <w:color w:val="auto"/>
        </w:rPr>
      </w:pPr>
      <w:r>
        <w:rPr>
          <w:rFonts w:ascii="Arial" w:cs="Arial" w:eastAsia="Arial" w:hAnsi="Arial"/>
          <w:sz w:val="18"/>
          <w:szCs w:val="18"/>
          <w:color w:val="auto"/>
        </w:rPr>
        <w:t>Table of Contents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gridSpan w:val="2"/>
          </w:tcPr>
          <w:p>
            <w:pPr>
              <w:spacing w:after="0"/>
              <w:rPr>
                <w:sz w:val="20"/>
                <w:szCs w:val="20"/>
                <w:color w:val="auto"/>
              </w:rPr>
            </w:pPr>
            <w:r>
              <w:rPr>
                <w:rFonts w:ascii="Arial" w:cs="Arial" w:eastAsia="Arial" w:hAnsi="Arial"/>
                <w:sz w:val="16"/>
                <w:szCs w:val="16"/>
                <w:color w:val="auto"/>
              </w:rPr>
              <w:t>ARTICLE 1 – DEFINITIONS</w:t>
            </w:r>
          </w:p>
        </w:tc>
        <w:tc>
          <w:tcPr>
            <w:tcW w:w="2080" w:type="dxa"/>
            <w:vAlign w:val="bottom"/>
          </w:tcPr>
          <w:p>
            <w:pPr>
              <w:ind w:left="1900"/>
              <w:spacing w:after="0"/>
              <w:rPr>
                <w:sz w:val="20"/>
                <w:szCs w:val="20"/>
                <w:color w:val="auto"/>
              </w:rPr>
            </w:pPr>
            <w:r>
              <w:rPr>
                <w:rFonts w:ascii="Arial" w:cs="Arial" w:eastAsia="Arial" w:hAnsi="Arial"/>
                <w:sz w:val="16"/>
                <w:szCs w:val="16"/>
                <w:color w:val="auto"/>
              </w:rPr>
              <w:t>4</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2 – SUPPLY, PRICING, FORECASTS, ORDERS, SERVICES</w:t>
            </w:r>
          </w:p>
        </w:tc>
        <w:tc>
          <w:tcPr>
            <w:tcW w:w="2080" w:type="dxa"/>
            <w:vAlign w:val="bottom"/>
          </w:tcPr>
          <w:p>
            <w:pPr>
              <w:ind w:left="1900"/>
              <w:spacing w:after="0"/>
              <w:rPr>
                <w:sz w:val="20"/>
                <w:szCs w:val="20"/>
                <w:color w:val="auto"/>
              </w:rPr>
            </w:pPr>
            <w:r>
              <w:rPr>
                <w:rFonts w:ascii="Arial" w:cs="Arial" w:eastAsia="Arial" w:hAnsi="Arial"/>
                <w:sz w:val="16"/>
                <w:szCs w:val="16"/>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2.1</w:t>
            </w:r>
          </w:p>
        </w:tc>
        <w:tc>
          <w:tcPr>
            <w:tcW w:w="7740" w:type="dxa"/>
            <w:vAlign w:val="bottom"/>
          </w:tcPr>
          <w:p>
            <w:pPr>
              <w:ind w:left="180"/>
              <w:spacing w:after="0"/>
              <w:rPr>
                <w:sz w:val="20"/>
                <w:szCs w:val="20"/>
                <w:color w:val="auto"/>
              </w:rPr>
            </w:pPr>
            <w:r>
              <w:rPr>
                <w:rFonts w:ascii="Arial" w:cs="Arial" w:eastAsia="Arial" w:hAnsi="Arial"/>
                <w:sz w:val="16"/>
                <w:szCs w:val="16"/>
                <w:color w:val="auto"/>
              </w:rPr>
              <w:t>Supply of Product.</w:t>
            </w:r>
          </w:p>
        </w:tc>
        <w:tc>
          <w:tcPr>
            <w:tcW w:w="2080" w:type="dxa"/>
            <w:vAlign w:val="bottom"/>
          </w:tcPr>
          <w:p>
            <w:pPr>
              <w:ind w:left="1900"/>
              <w:spacing w:after="0"/>
              <w:rPr>
                <w:sz w:val="20"/>
                <w:szCs w:val="20"/>
                <w:color w:val="auto"/>
              </w:rPr>
            </w:pPr>
            <w:r>
              <w:rPr>
                <w:rFonts w:ascii="Arial" w:cs="Arial" w:eastAsia="Arial" w:hAnsi="Arial"/>
                <w:sz w:val="16"/>
                <w:szCs w:val="16"/>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2.2</w:t>
            </w:r>
          </w:p>
        </w:tc>
        <w:tc>
          <w:tcPr>
            <w:tcW w:w="7740" w:type="dxa"/>
            <w:vAlign w:val="bottom"/>
          </w:tcPr>
          <w:p>
            <w:pPr>
              <w:ind w:left="180"/>
              <w:spacing w:after="0"/>
              <w:rPr>
                <w:sz w:val="20"/>
                <w:szCs w:val="20"/>
                <w:color w:val="auto"/>
              </w:rPr>
            </w:pPr>
            <w:r>
              <w:rPr>
                <w:rFonts w:ascii="Arial" w:cs="Arial" w:eastAsia="Arial" w:hAnsi="Arial"/>
                <w:sz w:val="16"/>
                <w:szCs w:val="16"/>
                <w:color w:val="auto"/>
              </w:rPr>
              <w:t>Prices.</w:t>
            </w:r>
          </w:p>
        </w:tc>
        <w:tc>
          <w:tcPr>
            <w:tcW w:w="2080" w:type="dxa"/>
            <w:vAlign w:val="bottom"/>
          </w:tcPr>
          <w:p>
            <w:pPr>
              <w:ind w:left="1900"/>
              <w:spacing w:after="0"/>
              <w:rPr>
                <w:sz w:val="20"/>
                <w:szCs w:val="20"/>
                <w:color w:val="auto"/>
              </w:rPr>
            </w:pPr>
            <w:r>
              <w:rPr>
                <w:rFonts w:ascii="Arial" w:cs="Arial" w:eastAsia="Arial" w:hAnsi="Arial"/>
                <w:sz w:val="16"/>
                <w:szCs w:val="16"/>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2.3</w:t>
            </w:r>
          </w:p>
        </w:tc>
        <w:tc>
          <w:tcPr>
            <w:tcW w:w="7740" w:type="dxa"/>
            <w:vAlign w:val="bottom"/>
          </w:tcPr>
          <w:p>
            <w:pPr>
              <w:ind w:left="180"/>
              <w:spacing w:after="0"/>
              <w:rPr>
                <w:sz w:val="20"/>
                <w:szCs w:val="20"/>
                <w:color w:val="auto"/>
              </w:rPr>
            </w:pPr>
            <w:r>
              <w:rPr>
                <w:rFonts w:ascii="Arial" w:cs="Arial" w:eastAsia="Arial" w:hAnsi="Arial"/>
                <w:sz w:val="16"/>
                <w:szCs w:val="16"/>
                <w:color w:val="auto"/>
              </w:rPr>
              <w:t>Price Adjustments.</w:t>
            </w:r>
          </w:p>
        </w:tc>
        <w:tc>
          <w:tcPr>
            <w:tcW w:w="2080" w:type="dxa"/>
            <w:vAlign w:val="bottom"/>
          </w:tcPr>
          <w:p>
            <w:pPr>
              <w:ind w:left="1900"/>
              <w:spacing w:after="0"/>
              <w:rPr>
                <w:sz w:val="20"/>
                <w:szCs w:val="20"/>
                <w:color w:val="auto"/>
              </w:rPr>
            </w:pPr>
            <w:r>
              <w:rPr>
                <w:rFonts w:ascii="Arial" w:cs="Arial" w:eastAsia="Arial" w:hAnsi="Arial"/>
                <w:sz w:val="16"/>
                <w:szCs w:val="16"/>
                <w:color w:val="auto"/>
              </w:rPr>
              <w:t>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2.4</w:t>
            </w:r>
          </w:p>
        </w:tc>
        <w:tc>
          <w:tcPr>
            <w:tcW w:w="7740" w:type="dxa"/>
            <w:vAlign w:val="bottom"/>
          </w:tcPr>
          <w:p>
            <w:pPr>
              <w:ind w:left="180"/>
              <w:spacing w:after="0"/>
              <w:rPr>
                <w:sz w:val="20"/>
                <w:szCs w:val="20"/>
                <w:color w:val="auto"/>
              </w:rPr>
            </w:pPr>
            <w:r>
              <w:rPr>
                <w:rFonts w:ascii="Arial" w:cs="Arial" w:eastAsia="Arial" w:hAnsi="Arial"/>
                <w:sz w:val="16"/>
                <w:szCs w:val="16"/>
                <w:color w:val="auto"/>
              </w:rPr>
              <w:t>Forecasts.</w:t>
            </w:r>
          </w:p>
        </w:tc>
        <w:tc>
          <w:tcPr>
            <w:tcW w:w="2080" w:type="dxa"/>
            <w:vAlign w:val="bottom"/>
          </w:tcPr>
          <w:p>
            <w:pPr>
              <w:ind w:left="1900"/>
              <w:spacing w:after="0"/>
              <w:rPr>
                <w:sz w:val="20"/>
                <w:szCs w:val="20"/>
                <w:color w:val="auto"/>
              </w:rPr>
            </w:pPr>
            <w:r>
              <w:rPr>
                <w:rFonts w:ascii="Arial" w:cs="Arial" w:eastAsia="Arial" w:hAnsi="Arial"/>
                <w:sz w:val="16"/>
                <w:szCs w:val="16"/>
                <w:color w:val="auto"/>
              </w:rPr>
              <w:t>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2.5</w:t>
            </w:r>
          </w:p>
        </w:tc>
        <w:tc>
          <w:tcPr>
            <w:tcW w:w="7740" w:type="dxa"/>
            <w:vAlign w:val="bottom"/>
          </w:tcPr>
          <w:p>
            <w:pPr>
              <w:ind w:left="180"/>
              <w:spacing w:after="0"/>
              <w:rPr>
                <w:sz w:val="20"/>
                <w:szCs w:val="20"/>
                <w:color w:val="auto"/>
              </w:rPr>
            </w:pPr>
            <w:r>
              <w:rPr>
                <w:rFonts w:ascii="Arial" w:cs="Arial" w:eastAsia="Arial" w:hAnsi="Arial"/>
                <w:sz w:val="16"/>
                <w:szCs w:val="16"/>
                <w:color w:val="auto"/>
              </w:rPr>
              <w:t>Orders.</w:t>
            </w:r>
          </w:p>
        </w:tc>
        <w:tc>
          <w:tcPr>
            <w:tcW w:w="2080" w:type="dxa"/>
            <w:vAlign w:val="bottom"/>
          </w:tcPr>
          <w:p>
            <w:pPr>
              <w:ind w:left="1900"/>
              <w:spacing w:after="0"/>
              <w:rPr>
                <w:sz w:val="20"/>
                <w:szCs w:val="20"/>
                <w:color w:val="auto"/>
              </w:rPr>
            </w:pPr>
            <w:r>
              <w:rPr>
                <w:rFonts w:ascii="Arial" w:cs="Arial" w:eastAsia="Arial" w:hAnsi="Arial"/>
                <w:sz w:val="16"/>
                <w:szCs w:val="16"/>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2.6</w:t>
            </w:r>
          </w:p>
        </w:tc>
        <w:tc>
          <w:tcPr>
            <w:tcW w:w="7740" w:type="dxa"/>
            <w:vAlign w:val="bottom"/>
          </w:tcPr>
          <w:p>
            <w:pPr>
              <w:ind w:left="180"/>
              <w:spacing w:after="0"/>
              <w:rPr>
                <w:sz w:val="20"/>
                <w:szCs w:val="20"/>
                <w:color w:val="auto"/>
              </w:rPr>
            </w:pPr>
            <w:r>
              <w:rPr>
                <w:rFonts w:ascii="Arial" w:cs="Arial" w:eastAsia="Arial" w:hAnsi="Arial"/>
                <w:sz w:val="16"/>
                <w:szCs w:val="16"/>
                <w:color w:val="auto"/>
              </w:rPr>
              <w:t>Performance of Engineering Services.</w:t>
            </w:r>
          </w:p>
        </w:tc>
        <w:tc>
          <w:tcPr>
            <w:tcW w:w="2080" w:type="dxa"/>
            <w:vAlign w:val="bottom"/>
          </w:tcPr>
          <w:p>
            <w:pPr>
              <w:ind w:left="1900"/>
              <w:spacing w:after="0"/>
              <w:rPr>
                <w:sz w:val="20"/>
                <w:szCs w:val="20"/>
                <w:color w:val="auto"/>
              </w:rPr>
            </w:pPr>
            <w:r>
              <w:rPr>
                <w:rFonts w:ascii="Arial" w:cs="Arial" w:eastAsia="Arial" w:hAnsi="Arial"/>
                <w:sz w:val="16"/>
                <w:szCs w:val="16"/>
                <w:color w:val="auto"/>
              </w:rPr>
              <w:t>8</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3 - PAYMENT AND DELIVERY</w:t>
            </w:r>
          </w:p>
        </w:tc>
        <w:tc>
          <w:tcPr>
            <w:tcW w:w="2080" w:type="dxa"/>
            <w:vAlign w:val="bottom"/>
          </w:tcPr>
          <w:p>
            <w:pPr>
              <w:ind w:left="1900"/>
              <w:spacing w:after="0"/>
              <w:rPr>
                <w:sz w:val="20"/>
                <w:szCs w:val="20"/>
                <w:color w:val="auto"/>
              </w:rPr>
            </w:pPr>
            <w:r>
              <w:rPr>
                <w:rFonts w:ascii="Arial" w:cs="Arial" w:eastAsia="Arial" w:hAnsi="Arial"/>
                <w:sz w:val="16"/>
                <w:szCs w:val="16"/>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3.1</w:t>
            </w:r>
          </w:p>
        </w:tc>
        <w:tc>
          <w:tcPr>
            <w:tcW w:w="7740" w:type="dxa"/>
            <w:vAlign w:val="bottom"/>
          </w:tcPr>
          <w:p>
            <w:pPr>
              <w:ind w:left="180"/>
              <w:spacing w:after="0"/>
              <w:rPr>
                <w:sz w:val="20"/>
                <w:szCs w:val="20"/>
                <w:color w:val="auto"/>
              </w:rPr>
            </w:pPr>
            <w:r>
              <w:rPr>
                <w:rFonts w:ascii="Arial" w:cs="Arial" w:eastAsia="Arial" w:hAnsi="Arial"/>
                <w:sz w:val="16"/>
                <w:szCs w:val="16"/>
                <w:color w:val="auto"/>
              </w:rPr>
              <w:t>Payment Terms.</w:t>
            </w:r>
          </w:p>
        </w:tc>
        <w:tc>
          <w:tcPr>
            <w:tcW w:w="2080" w:type="dxa"/>
            <w:vAlign w:val="bottom"/>
          </w:tcPr>
          <w:p>
            <w:pPr>
              <w:ind w:left="1900"/>
              <w:spacing w:after="0"/>
              <w:rPr>
                <w:sz w:val="20"/>
                <w:szCs w:val="20"/>
                <w:color w:val="auto"/>
              </w:rPr>
            </w:pPr>
            <w:r>
              <w:rPr>
                <w:rFonts w:ascii="Arial" w:cs="Arial" w:eastAsia="Arial" w:hAnsi="Arial"/>
                <w:sz w:val="16"/>
                <w:szCs w:val="16"/>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3.2</w:t>
            </w:r>
          </w:p>
        </w:tc>
        <w:tc>
          <w:tcPr>
            <w:tcW w:w="7740" w:type="dxa"/>
            <w:vAlign w:val="bottom"/>
          </w:tcPr>
          <w:p>
            <w:pPr>
              <w:ind w:left="180"/>
              <w:spacing w:after="0"/>
              <w:rPr>
                <w:sz w:val="20"/>
                <w:szCs w:val="20"/>
                <w:color w:val="auto"/>
              </w:rPr>
            </w:pPr>
            <w:r>
              <w:rPr>
                <w:rFonts w:ascii="Arial" w:cs="Arial" w:eastAsia="Arial" w:hAnsi="Arial"/>
                <w:sz w:val="16"/>
                <w:szCs w:val="16"/>
                <w:color w:val="auto"/>
              </w:rPr>
              <w:t>Delivery.</w:t>
            </w:r>
          </w:p>
        </w:tc>
        <w:tc>
          <w:tcPr>
            <w:tcW w:w="2080" w:type="dxa"/>
            <w:vAlign w:val="bottom"/>
          </w:tcPr>
          <w:p>
            <w:pPr>
              <w:ind w:left="1900"/>
              <w:spacing w:after="0"/>
              <w:rPr>
                <w:sz w:val="20"/>
                <w:szCs w:val="20"/>
                <w:color w:val="auto"/>
              </w:rPr>
            </w:pPr>
            <w:r>
              <w:rPr>
                <w:rFonts w:ascii="Arial" w:cs="Arial" w:eastAsia="Arial" w:hAnsi="Arial"/>
                <w:sz w:val="16"/>
                <w:szCs w:val="16"/>
                <w:color w:val="auto"/>
              </w:rPr>
              <w:t>9</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4 - TRAINING</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10</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4.1</w:t>
            </w:r>
          </w:p>
        </w:tc>
        <w:tc>
          <w:tcPr>
            <w:tcW w:w="7740" w:type="dxa"/>
            <w:vAlign w:val="bottom"/>
          </w:tcPr>
          <w:p>
            <w:pPr>
              <w:ind w:left="180"/>
              <w:spacing w:after="0"/>
              <w:rPr>
                <w:sz w:val="20"/>
                <w:szCs w:val="20"/>
                <w:color w:val="auto"/>
              </w:rPr>
            </w:pPr>
            <w:r>
              <w:rPr>
                <w:rFonts w:ascii="Arial" w:cs="Arial" w:eastAsia="Arial" w:hAnsi="Arial"/>
                <w:sz w:val="16"/>
                <w:szCs w:val="16"/>
                <w:color w:val="auto"/>
              </w:rPr>
              <w:t>Technical Training.</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10</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4.2</w:t>
            </w:r>
          </w:p>
        </w:tc>
        <w:tc>
          <w:tcPr>
            <w:tcW w:w="7740" w:type="dxa"/>
            <w:vAlign w:val="bottom"/>
          </w:tcPr>
          <w:p>
            <w:pPr>
              <w:ind w:left="180"/>
              <w:spacing w:after="0"/>
              <w:rPr>
                <w:sz w:val="20"/>
                <w:szCs w:val="20"/>
                <w:color w:val="auto"/>
              </w:rPr>
            </w:pPr>
            <w:r>
              <w:rPr>
                <w:rFonts w:ascii="Arial" w:cs="Arial" w:eastAsia="Arial" w:hAnsi="Arial"/>
                <w:sz w:val="16"/>
                <w:szCs w:val="16"/>
                <w:color w:val="auto"/>
              </w:rPr>
              <w:t>Training Materials.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10</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5 - IMPROVEMENTS AND CHANGES TO THE PRODUCT</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10</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6 – TERM</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6.1</w:t>
            </w:r>
          </w:p>
        </w:tc>
        <w:tc>
          <w:tcPr>
            <w:tcW w:w="7740" w:type="dxa"/>
            <w:vAlign w:val="bottom"/>
          </w:tcPr>
          <w:p>
            <w:pPr>
              <w:ind w:left="180"/>
              <w:spacing w:after="0"/>
              <w:rPr>
                <w:sz w:val="20"/>
                <w:szCs w:val="20"/>
                <w:color w:val="auto"/>
              </w:rPr>
            </w:pPr>
            <w:r>
              <w:rPr>
                <w:rFonts w:ascii="Arial" w:cs="Arial" w:eastAsia="Arial" w:hAnsi="Arial"/>
                <w:sz w:val="16"/>
                <w:szCs w:val="16"/>
                <w:color w:val="auto"/>
              </w:rPr>
              <w:t>Initial Term.</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6.2</w:t>
            </w:r>
          </w:p>
        </w:tc>
        <w:tc>
          <w:tcPr>
            <w:tcW w:w="7740" w:type="dxa"/>
            <w:vAlign w:val="bottom"/>
          </w:tcPr>
          <w:p>
            <w:pPr>
              <w:ind w:left="180"/>
              <w:spacing w:after="0"/>
              <w:rPr>
                <w:sz w:val="20"/>
                <w:szCs w:val="20"/>
                <w:color w:val="auto"/>
              </w:rPr>
            </w:pPr>
            <w:r>
              <w:rPr>
                <w:rFonts w:ascii="Arial" w:cs="Arial" w:eastAsia="Arial" w:hAnsi="Arial"/>
                <w:sz w:val="16"/>
                <w:szCs w:val="16"/>
                <w:color w:val="auto"/>
              </w:rPr>
              <w:t>Automatic Extensions.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7 – TERMINATION</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7.1</w:t>
            </w:r>
          </w:p>
        </w:tc>
        <w:tc>
          <w:tcPr>
            <w:tcW w:w="7740" w:type="dxa"/>
            <w:vAlign w:val="bottom"/>
          </w:tcPr>
          <w:p>
            <w:pPr>
              <w:ind w:left="180"/>
              <w:spacing w:after="0"/>
              <w:rPr>
                <w:sz w:val="20"/>
                <w:szCs w:val="20"/>
                <w:color w:val="auto"/>
              </w:rPr>
            </w:pPr>
            <w:r>
              <w:rPr>
                <w:rFonts w:ascii="Arial" w:cs="Arial" w:eastAsia="Arial" w:hAnsi="Arial"/>
                <w:sz w:val="16"/>
                <w:szCs w:val="16"/>
                <w:color w:val="auto"/>
              </w:rPr>
              <w:t>Termination by Buyer for Convenience.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7.2</w:t>
            </w:r>
          </w:p>
        </w:tc>
        <w:tc>
          <w:tcPr>
            <w:tcW w:w="7740" w:type="dxa"/>
            <w:vAlign w:val="bottom"/>
          </w:tcPr>
          <w:p>
            <w:pPr>
              <w:ind w:left="180"/>
              <w:spacing w:after="0"/>
              <w:rPr>
                <w:sz w:val="20"/>
                <w:szCs w:val="20"/>
                <w:color w:val="auto"/>
              </w:rPr>
            </w:pPr>
            <w:r>
              <w:rPr>
                <w:rFonts w:ascii="Arial" w:cs="Arial" w:eastAsia="Arial" w:hAnsi="Arial"/>
                <w:sz w:val="16"/>
                <w:szCs w:val="16"/>
                <w:color w:val="auto"/>
              </w:rPr>
              <w:t>Termination by Hamilton for Discontinuance of Business.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11</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7.3</w:t>
            </w:r>
          </w:p>
        </w:tc>
        <w:tc>
          <w:tcPr>
            <w:tcW w:w="7740" w:type="dxa"/>
            <w:vAlign w:val="bottom"/>
          </w:tcPr>
          <w:p>
            <w:pPr>
              <w:ind w:left="180"/>
              <w:spacing w:after="0"/>
              <w:rPr>
                <w:sz w:val="20"/>
                <w:szCs w:val="20"/>
                <w:color w:val="auto"/>
              </w:rPr>
            </w:pPr>
            <w:r>
              <w:rPr>
                <w:rFonts w:ascii="Arial" w:cs="Arial" w:eastAsia="Arial" w:hAnsi="Arial"/>
                <w:sz w:val="16"/>
                <w:szCs w:val="16"/>
                <w:color w:val="auto"/>
              </w:rPr>
              <w:t>Termination for Breach.</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12</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7.4</w:t>
            </w:r>
          </w:p>
        </w:tc>
        <w:tc>
          <w:tcPr>
            <w:tcW w:w="7740" w:type="dxa"/>
            <w:vAlign w:val="bottom"/>
          </w:tcPr>
          <w:p>
            <w:pPr>
              <w:ind w:left="180"/>
              <w:spacing w:after="0"/>
              <w:rPr>
                <w:sz w:val="20"/>
                <w:szCs w:val="20"/>
                <w:color w:val="auto"/>
              </w:rPr>
            </w:pPr>
            <w:r>
              <w:rPr>
                <w:rFonts w:ascii="Arial" w:cs="Arial" w:eastAsia="Arial" w:hAnsi="Arial"/>
                <w:sz w:val="16"/>
                <w:szCs w:val="16"/>
                <w:color w:val="auto"/>
              </w:rPr>
              <w:t>Termination for Insolvency.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12</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7.5</w:t>
            </w:r>
          </w:p>
        </w:tc>
        <w:tc>
          <w:tcPr>
            <w:tcW w:w="7740" w:type="dxa"/>
            <w:vAlign w:val="bottom"/>
          </w:tcPr>
          <w:p>
            <w:pPr>
              <w:ind w:left="180"/>
              <w:spacing w:after="0"/>
              <w:rPr>
                <w:sz w:val="20"/>
                <w:szCs w:val="20"/>
                <w:color w:val="auto"/>
              </w:rPr>
            </w:pPr>
            <w:r>
              <w:rPr>
                <w:rFonts w:ascii="Arial" w:cs="Arial" w:eastAsia="Arial" w:hAnsi="Arial"/>
                <w:sz w:val="16"/>
                <w:szCs w:val="16"/>
                <w:color w:val="auto"/>
              </w:rPr>
              <w:t>Termination by Hamilton for Competitor Acquisition.</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12</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7.6</w:t>
            </w:r>
          </w:p>
        </w:tc>
        <w:tc>
          <w:tcPr>
            <w:tcW w:w="7740" w:type="dxa"/>
            <w:vAlign w:val="bottom"/>
          </w:tcPr>
          <w:p>
            <w:pPr>
              <w:ind w:left="180"/>
              <w:spacing w:after="0"/>
              <w:rPr>
                <w:sz w:val="20"/>
                <w:szCs w:val="20"/>
                <w:color w:val="auto"/>
              </w:rPr>
            </w:pPr>
            <w:r>
              <w:rPr>
                <w:rFonts w:ascii="Arial" w:cs="Arial" w:eastAsia="Arial" w:hAnsi="Arial"/>
                <w:sz w:val="16"/>
                <w:szCs w:val="16"/>
                <w:color w:val="auto"/>
              </w:rPr>
              <w:t>Effect of Termination.</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12</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8 – INVENTORY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13</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8.1</w:t>
            </w:r>
          </w:p>
        </w:tc>
        <w:tc>
          <w:tcPr>
            <w:tcW w:w="7740" w:type="dxa"/>
            <w:vAlign w:val="bottom"/>
          </w:tcPr>
          <w:p>
            <w:pPr>
              <w:ind w:left="180"/>
              <w:spacing w:after="0"/>
              <w:rPr>
                <w:sz w:val="20"/>
                <w:szCs w:val="20"/>
                <w:color w:val="auto"/>
              </w:rPr>
            </w:pPr>
            <w:r>
              <w:rPr>
                <w:rFonts w:ascii="Arial" w:cs="Arial" w:eastAsia="Arial" w:hAnsi="Arial"/>
                <w:sz w:val="16"/>
                <w:szCs w:val="16"/>
                <w:color w:val="auto"/>
              </w:rPr>
              <w:t>Inventory/Tooling.</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13</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9 – LIMITED WARRANTY, PRODUCT ACCEPTANCE, SUPPORT SERVICES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13</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9.1</w:t>
            </w:r>
          </w:p>
        </w:tc>
        <w:tc>
          <w:tcPr>
            <w:tcW w:w="7740" w:type="dxa"/>
            <w:vAlign w:val="bottom"/>
          </w:tcPr>
          <w:p>
            <w:pPr>
              <w:ind w:left="180"/>
              <w:spacing w:after="0"/>
              <w:rPr>
                <w:sz w:val="20"/>
                <w:szCs w:val="20"/>
                <w:color w:val="auto"/>
              </w:rPr>
            </w:pPr>
            <w:r>
              <w:rPr>
                <w:rFonts w:ascii="Arial" w:cs="Arial" w:eastAsia="Arial" w:hAnsi="Arial"/>
                <w:sz w:val="16"/>
                <w:szCs w:val="16"/>
                <w:color w:val="auto"/>
              </w:rPr>
              <w:t>Warranty.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13</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9.2</w:t>
            </w:r>
          </w:p>
        </w:tc>
        <w:tc>
          <w:tcPr>
            <w:tcW w:w="7740" w:type="dxa"/>
            <w:vAlign w:val="bottom"/>
          </w:tcPr>
          <w:p>
            <w:pPr>
              <w:ind w:left="180"/>
              <w:spacing w:after="0"/>
              <w:rPr>
                <w:sz w:val="20"/>
                <w:szCs w:val="20"/>
                <w:color w:val="auto"/>
              </w:rPr>
            </w:pPr>
            <w:r>
              <w:rPr>
                <w:rFonts w:ascii="Arial" w:cs="Arial" w:eastAsia="Arial" w:hAnsi="Arial"/>
                <w:sz w:val="16"/>
                <w:szCs w:val="16"/>
                <w:color w:val="auto"/>
              </w:rPr>
              <w:t>Product Acceptance.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13</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9.3</w:t>
            </w:r>
          </w:p>
        </w:tc>
        <w:tc>
          <w:tcPr>
            <w:tcW w:w="7740" w:type="dxa"/>
            <w:vAlign w:val="bottom"/>
          </w:tcPr>
          <w:p>
            <w:pPr>
              <w:ind w:left="180"/>
              <w:spacing w:after="0"/>
              <w:rPr>
                <w:sz w:val="20"/>
                <w:szCs w:val="20"/>
                <w:color w:val="auto"/>
              </w:rPr>
            </w:pPr>
            <w:r>
              <w:rPr>
                <w:rFonts w:ascii="Arial" w:cs="Arial" w:eastAsia="Arial" w:hAnsi="Arial"/>
                <w:sz w:val="16"/>
                <w:szCs w:val="16"/>
                <w:color w:val="auto"/>
              </w:rPr>
              <w:t>Support Services.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14</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10 – COMPLIANCE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15</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11 - REGULATORY MATTERS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15</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11.1</w:t>
            </w:r>
          </w:p>
        </w:tc>
        <w:tc>
          <w:tcPr>
            <w:tcW w:w="7740" w:type="dxa"/>
            <w:vAlign w:val="bottom"/>
          </w:tcPr>
          <w:p>
            <w:pPr>
              <w:ind w:left="180"/>
              <w:spacing w:after="0"/>
              <w:rPr>
                <w:sz w:val="20"/>
                <w:szCs w:val="20"/>
                <w:color w:val="auto"/>
              </w:rPr>
            </w:pPr>
            <w:r>
              <w:rPr>
                <w:rFonts w:ascii="Arial" w:cs="Arial" w:eastAsia="Arial" w:hAnsi="Arial"/>
                <w:sz w:val="16"/>
                <w:szCs w:val="16"/>
                <w:color w:val="auto"/>
              </w:rPr>
              <w:t>Notification of Certain Events.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15</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12 - FAILURE TO SUPPLY; FORCE MAJEURE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15</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12.1</w:t>
            </w:r>
          </w:p>
        </w:tc>
        <w:tc>
          <w:tcPr>
            <w:tcW w:w="7740" w:type="dxa"/>
            <w:vAlign w:val="bottom"/>
          </w:tcPr>
          <w:p>
            <w:pPr>
              <w:ind w:left="180"/>
              <w:spacing w:after="0"/>
              <w:rPr>
                <w:sz w:val="20"/>
                <w:szCs w:val="20"/>
                <w:color w:val="auto"/>
              </w:rPr>
            </w:pPr>
            <w:r>
              <w:rPr>
                <w:rFonts w:ascii="Arial" w:cs="Arial" w:eastAsia="Arial" w:hAnsi="Arial"/>
                <w:sz w:val="16"/>
                <w:szCs w:val="16"/>
                <w:color w:val="auto"/>
              </w:rPr>
              <w:t>Failure to Supply.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12.2</w:t>
            </w:r>
          </w:p>
        </w:tc>
        <w:tc>
          <w:tcPr>
            <w:tcW w:w="7740" w:type="dxa"/>
            <w:vAlign w:val="bottom"/>
          </w:tcPr>
          <w:p>
            <w:pPr>
              <w:ind w:left="180"/>
              <w:spacing w:after="0"/>
              <w:rPr>
                <w:sz w:val="20"/>
                <w:szCs w:val="20"/>
                <w:color w:val="auto"/>
              </w:rPr>
            </w:pPr>
            <w:r>
              <w:rPr>
                <w:rFonts w:ascii="Arial" w:cs="Arial" w:eastAsia="Arial" w:hAnsi="Arial"/>
                <w:sz w:val="16"/>
                <w:szCs w:val="16"/>
                <w:color w:val="auto"/>
              </w:rPr>
              <w:t>Force Majeure Events.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12.3</w:t>
            </w:r>
          </w:p>
        </w:tc>
        <w:tc>
          <w:tcPr>
            <w:tcW w:w="7740" w:type="dxa"/>
            <w:vAlign w:val="bottom"/>
          </w:tcPr>
          <w:p>
            <w:pPr>
              <w:ind w:left="180"/>
              <w:spacing w:after="0"/>
              <w:rPr>
                <w:sz w:val="20"/>
                <w:szCs w:val="20"/>
                <w:color w:val="auto"/>
              </w:rPr>
            </w:pPr>
            <w:r>
              <w:rPr>
                <w:rFonts w:ascii="Arial" w:cs="Arial" w:eastAsia="Arial" w:hAnsi="Arial"/>
                <w:sz w:val="16"/>
                <w:szCs w:val="16"/>
                <w:color w:val="auto"/>
              </w:rPr>
              <w:t>Other Arrangements.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16</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13 - LABELING; ARTWORK; PROPRIETARY RIGHTS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16</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13.3</w:t>
            </w:r>
          </w:p>
        </w:tc>
        <w:tc>
          <w:tcPr>
            <w:tcW w:w="7740" w:type="dxa"/>
            <w:vAlign w:val="bottom"/>
          </w:tcPr>
          <w:p>
            <w:pPr>
              <w:ind w:left="180"/>
              <w:spacing w:after="0"/>
              <w:rPr>
                <w:sz w:val="20"/>
                <w:szCs w:val="20"/>
                <w:color w:val="auto"/>
              </w:rPr>
            </w:pPr>
            <w:r>
              <w:rPr>
                <w:rFonts w:ascii="Arial" w:cs="Arial" w:eastAsia="Arial" w:hAnsi="Arial"/>
                <w:sz w:val="16"/>
                <w:szCs w:val="16"/>
                <w:color w:val="auto"/>
              </w:rPr>
              <w:t>Instrument Skin; Packaging.</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13.4</w:t>
            </w:r>
          </w:p>
        </w:tc>
        <w:tc>
          <w:tcPr>
            <w:tcW w:w="7740" w:type="dxa"/>
            <w:vAlign w:val="bottom"/>
          </w:tcPr>
          <w:p>
            <w:pPr>
              <w:ind w:left="180"/>
              <w:spacing w:after="0"/>
              <w:rPr>
                <w:sz w:val="20"/>
                <w:szCs w:val="20"/>
                <w:color w:val="auto"/>
              </w:rPr>
            </w:pPr>
            <w:r>
              <w:rPr>
                <w:rFonts w:ascii="Arial" w:cs="Arial" w:eastAsia="Arial" w:hAnsi="Arial"/>
                <w:sz w:val="16"/>
                <w:szCs w:val="16"/>
                <w:color w:val="auto"/>
              </w:rPr>
              <w:t>Intellectual Property.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17</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14 - GENERAL AND SPECIFIC REPRESENTATIONS AND WARRANTIES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14.1</w:t>
            </w:r>
          </w:p>
        </w:tc>
        <w:tc>
          <w:tcPr>
            <w:tcW w:w="7740" w:type="dxa"/>
            <w:vAlign w:val="bottom"/>
          </w:tcPr>
          <w:p>
            <w:pPr>
              <w:ind w:left="180"/>
              <w:spacing w:after="0"/>
              <w:rPr>
                <w:sz w:val="20"/>
                <w:szCs w:val="20"/>
                <w:color w:val="auto"/>
              </w:rPr>
            </w:pPr>
            <w:r>
              <w:rPr>
                <w:rFonts w:ascii="Arial" w:cs="Arial" w:eastAsia="Arial" w:hAnsi="Arial"/>
                <w:sz w:val="16"/>
                <w:szCs w:val="16"/>
                <w:color w:val="auto"/>
              </w:rPr>
              <w:t>Corporate Standing.</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14.2</w:t>
            </w:r>
          </w:p>
        </w:tc>
        <w:tc>
          <w:tcPr>
            <w:tcW w:w="7740" w:type="dxa"/>
            <w:vAlign w:val="bottom"/>
          </w:tcPr>
          <w:p>
            <w:pPr>
              <w:ind w:left="180"/>
              <w:spacing w:after="0"/>
              <w:rPr>
                <w:sz w:val="20"/>
                <w:szCs w:val="20"/>
                <w:color w:val="auto"/>
              </w:rPr>
            </w:pPr>
            <w:r>
              <w:rPr>
                <w:rFonts w:ascii="Arial" w:cs="Arial" w:eastAsia="Arial" w:hAnsi="Arial"/>
                <w:sz w:val="16"/>
                <w:szCs w:val="16"/>
                <w:color w:val="auto"/>
              </w:rPr>
              <w:t>Due Authorization/Enforceability.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17</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14.3</w:t>
            </w:r>
          </w:p>
        </w:tc>
        <w:tc>
          <w:tcPr>
            <w:tcW w:w="7740" w:type="dxa"/>
            <w:vAlign w:val="bottom"/>
          </w:tcPr>
          <w:p>
            <w:pPr>
              <w:ind w:left="180"/>
              <w:spacing w:after="0"/>
              <w:rPr>
                <w:sz w:val="20"/>
                <w:szCs w:val="20"/>
                <w:color w:val="auto"/>
              </w:rPr>
            </w:pPr>
            <w:r>
              <w:rPr>
                <w:rFonts w:ascii="Arial" w:cs="Arial" w:eastAsia="Arial" w:hAnsi="Arial"/>
                <w:sz w:val="16"/>
                <w:szCs w:val="16"/>
                <w:color w:val="auto"/>
              </w:rPr>
              <w:t>No Infringement.</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14.4</w:t>
            </w:r>
          </w:p>
        </w:tc>
        <w:tc>
          <w:tcPr>
            <w:tcW w:w="7740" w:type="dxa"/>
            <w:vAlign w:val="bottom"/>
          </w:tcPr>
          <w:p>
            <w:pPr>
              <w:ind w:left="180"/>
              <w:spacing w:after="0"/>
              <w:rPr>
                <w:sz w:val="20"/>
                <w:szCs w:val="20"/>
                <w:color w:val="auto"/>
              </w:rPr>
            </w:pPr>
            <w:r>
              <w:rPr>
                <w:rFonts w:ascii="Arial" w:cs="Arial" w:eastAsia="Arial" w:hAnsi="Arial"/>
                <w:sz w:val="16"/>
                <w:szCs w:val="16"/>
                <w:color w:val="auto"/>
              </w:rPr>
              <w:t>Title.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14.5</w:t>
            </w:r>
          </w:p>
        </w:tc>
        <w:tc>
          <w:tcPr>
            <w:tcW w:w="7740" w:type="dxa"/>
            <w:vAlign w:val="bottom"/>
          </w:tcPr>
          <w:p>
            <w:pPr>
              <w:ind w:left="180"/>
              <w:spacing w:after="0"/>
              <w:rPr>
                <w:sz w:val="20"/>
                <w:szCs w:val="20"/>
                <w:color w:val="auto"/>
              </w:rPr>
            </w:pPr>
            <w:r>
              <w:rPr>
                <w:rFonts w:ascii="Arial" w:cs="Arial" w:eastAsia="Arial" w:hAnsi="Arial"/>
                <w:sz w:val="16"/>
                <w:szCs w:val="16"/>
                <w:color w:val="auto"/>
              </w:rPr>
              <w:t>ISO Certification.</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14.6</w:t>
            </w:r>
          </w:p>
        </w:tc>
        <w:tc>
          <w:tcPr>
            <w:tcW w:w="7740" w:type="dxa"/>
            <w:vAlign w:val="bottom"/>
          </w:tcPr>
          <w:p>
            <w:pPr>
              <w:ind w:left="180"/>
              <w:spacing w:after="0"/>
              <w:rPr>
                <w:sz w:val="20"/>
                <w:szCs w:val="20"/>
                <w:color w:val="auto"/>
              </w:rPr>
            </w:pPr>
            <w:r>
              <w:rPr>
                <w:rFonts w:ascii="Arial" w:cs="Arial" w:eastAsia="Arial" w:hAnsi="Arial"/>
                <w:sz w:val="16"/>
                <w:szCs w:val="16"/>
                <w:color w:val="auto"/>
              </w:rPr>
              <w:t>Buyer’s Assays.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15 – INDEMNIFICATION / INSURANCE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15.1</w:t>
            </w:r>
          </w:p>
        </w:tc>
        <w:tc>
          <w:tcPr>
            <w:tcW w:w="7740" w:type="dxa"/>
            <w:vAlign w:val="bottom"/>
          </w:tcPr>
          <w:p>
            <w:pPr>
              <w:ind w:left="180"/>
              <w:spacing w:after="0"/>
              <w:rPr>
                <w:sz w:val="20"/>
                <w:szCs w:val="20"/>
                <w:color w:val="auto"/>
              </w:rPr>
            </w:pPr>
            <w:r>
              <w:rPr>
                <w:rFonts w:ascii="Arial" w:cs="Arial" w:eastAsia="Arial" w:hAnsi="Arial"/>
                <w:sz w:val="16"/>
                <w:szCs w:val="16"/>
                <w:color w:val="auto"/>
              </w:rPr>
              <w:t>Indemnification by Hamilton.</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15.2</w:t>
            </w:r>
          </w:p>
        </w:tc>
        <w:tc>
          <w:tcPr>
            <w:tcW w:w="7740" w:type="dxa"/>
            <w:vAlign w:val="bottom"/>
          </w:tcPr>
          <w:p>
            <w:pPr>
              <w:ind w:left="180"/>
              <w:spacing w:after="0"/>
              <w:rPr>
                <w:sz w:val="20"/>
                <w:szCs w:val="20"/>
                <w:color w:val="auto"/>
              </w:rPr>
            </w:pPr>
            <w:r>
              <w:rPr>
                <w:rFonts w:ascii="Arial" w:cs="Arial" w:eastAsia="Arial" w:hAnsi="Arial"/>
                <w:sz w:val="16"/>
                <w:szCs w:val="16"/>
                <w:color w:val="auto"/>
              </w:rPr>
              <w:t>Indemnification by Buyer.</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18</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15.3</w:t>
            </w:r>
          </w:p>
        </w:tc>
        <w:tc>
          <w:tcPr>
            <w:tcW w:w="7740" w:type="dxa"/>
            <w:vAlign w:val="bottom"/>
          </w:tcPr>
          <w:p>
            <w:pPr>
              <w:ind w:left="180"/>
              <w:spacing w:after="0"/>
              <w:rPr>
                <w:sz w:val="20"/>
                <w:szCs w:val="20"/>
                <w:color w:val="auto"/>
              </w:rPr>
            </w:pPr>
            <w:r>
              <w:rPr>
                <w:rFonts w:ascii="Arial" w:cs="Arial" w:eastAsia="Arial" w:hAnsi="Arial"/>
                <w:sz w:val="16"/>
                <w:szCs w:val="16"/>
                <w:color w:val="auto"/>
              </w:rPr>
              <w:t>Claims.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19</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15.4</w:t>
            </w:r>
          </w:p>
        </w:tc>
        <w:tc>
          <w:tcPr>
            <w:tcW w:w="774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19</w:t>
            </w:r>
          </w:p>
        </w:tc>
      </w:tr>
      <w:tr>
        <w:trPr>
          <w:trHeight w:val="243"/>
        </w:trPr>
        <w:tc>
          <w:tcPr>
            <w:tcW w:w="8240" w:type="dxa"/>
            <w:vAlign w:val="bottom"/>
            <w:gridSpan w:val="2"/>
          </w:tcPr>
          <w:p>
            <w:pPr>
              <w:spacing w:after="0"/>
              <w:rPr>
                <w:sz w:val="20"/>
                <w:szCs w:val="20"/>
                <w:color w:val="auto"/>
              </w:rPr>
            </w:pPr>
            <w:r>
              <w:rPr>
                <w:rFonts w:ascii="Arial" w:cs="Arial" w:eastAsia="Arial" w:hAnsi="Arial"/>
                <w:sz w:val="16"/>
                <w:szCs w:val="16"/>
                <w:color w:val="auto"/>
              </w:rPr>
              <w:t>ARTICLE 16 – MISCELLANEOUS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19</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16.1</w:t>
            </w:r>
          </w:p>
        </w:tc>
        <w:tc>
          <w:tcPr>
            <w:tcW w:w="7740" w:type="dxa"/>
            <w:vAlign w:val="bottom"/>
          </w:tcPr>
          <w:p>
            <w:pPr>
              <w:ind w:left="180"/>
              <w:spacing w:after="0"/>
              <w:rPr>
                <w:sz w:val="20"/>
                <w:szCs w:val="20"/>
                <w:color w:val="auto"/>
              </w:rPr>
            </w:pPr>
            <w:r>
              <w:rPr>
                <w:rFonts w:ascii="Arial" w:cs="Arial" w:eastAsia="Arial" w:hAnsi="Arial"/>
                <w:sz w:val="16"/>
                <w:szCs w:val="16"/>
                <w:color w:val="auto"/>
              </w:rPr>
              <w:t>Confidentiality.</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19</w:t>
            </w:r>
          </w:p>
        </w:tc>
      </w:tr>
      <w:tr>
        <w:trPr>
          <w:trHeight w:val="243"/>
        </w:trPr>
        <w:tc>
          <w:tcPr>
            <w:tcW w:w="500" w:type="dxa"/>
            <w:vAlign w:val="bottom"/>
          </w:tcPr>
          <w:p>
            <w:pPr>
              <w:spacing w:after="0"/>
              <w:rPr>
                <w:sz w:val="20"/>
                <w:szCs w:val="20"/>
                <w:color w:val="auto"/>
              </w:rPr>
            </w:pPr>
            <w:r>
              <w:rPr>
                <w:rFonts w:ascii="Arial" w:cs="Arial" w:eastAsia="Arial" w:hAnsi="Arial"/>
                <w:sz w:val="16"/>
                <w:szCs w:val="16"/>
                <w:color w:val="auto"/>
              </w:rPr>
              <w:t>16.2</w:t>
            </w:r>
          </w:p>
        </w:tc>
        <w:tc>
          <w:tcPr>
            <w:tcW w:w="7740" w:type="dxa"/>
            <w:vAlign w:val="bottom"/>
          </w:tcPr>
          <w:p>
            <w:pPr>
              <w:ind w:left="180"/>
              <w:spacing w:after="0"/>
              <w:rPr>
                <w:sz w:val="20"/>
                <w:szCs w:val="20"/>
                <w:color w:val="auto"/>
              </w:rPr>
            </w:pPr>
            <w:r>
              <w:rPr>
                <w:rFonts w:ascii="Arial" w:cs="Arial" w:eastAsia="Arial" w:hAnsi="Arial"/>
                <w:sz w:val="16"/>
                <w:szCs w:val="16"/>
                <w:color w:val="auto"/>
              </w:rPr>
              <w:t>Public Announcements.</w:t>
            </w:r>
          </w:p>
        </w:tc>
        <w:tc>
          <w:tcPr>
            <w:tcW w:w="2080" w:type="dxa"/>
            <w:vAlign w:val="bottom"/>
          </w:tcPr>
          <w:p>
            <w:pPr>
              <w:ind w:left="1900"/>
              <w:spacing w:after="0"/>
              <w:rPr>
                <w:sz w:val="20"/>
                <w:szCs w:val="20"/>
                <w:color w:val="auto"/>
              </w:rPr>
            </w:pPr>
            <w:r>
              <w:rPr>
                <w:rFonts w:ascii="Arial" w:cs="Arial" w:eastAsia="Arial" w:hAnsi="Arial"/>
                <w:sz w:val="16"/>
                <w:szCs w:val="16"/>
                <w:color w:val="auto"/>
                <w:w w:val="89"/>
              </w:rPr>
              <w:t>20</w:t>
            </w:r>
          </w:p>
        </w:tc>
      </w:tr>
    </w:tbl>
    <w:p>
      <w:pPr>
        <w:spacing w:after="0" w:line="200" w:lineRule="exact"/>
        <w:rPr>
          <w:sz w:val="20"/>
          <w:szCs w:val="20"/>
          <w:color w:val="auto"/>
        </w:rPr>
      </w:pPr>
    </w:p>
    <w:p>
      <w:pPr>
        <w:sectPr>
          <w:pgSz w:w="11900" w:h="16838" w:orient="portrait"/>
          <w:cols w:equalWidth="0" w:num="1">
            <w:col w:w="10320"/>
          </w:cols>
          <w:pgMar w:left="340" w:top="1030" w:right="1239" w:bottom="758" w:gutter="0" w:footer="0" w:header="0"/>
        </w:sect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0320"/>
          </w:cols>
          <w:pgMar w:left="340" w:top="1030" w:right="1239" w:bottom="758" w:gutter="0" w:footer="0" w:header="0"/>
          <w:type w:val="continuous"/>
        </w:sectPr>
      </w:pPr>
    </w:p>
    <w:bookmarkStart w:id="363" w:name="page364"/>
    <w:bookmarkEnd w:id="363"/>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6"/>
                <w:szCs w:val="16"/>
                <w:color w:val="auto"/>
              </w:rPr>
              <w:t>16.3</w:t>
            </w:r>
          </w:p>
        </w:tc>
        <w:tc>
          <w:tcPr>
            <w:tcW w:w="6020" w:type="dxa"/>
            <w:vAlign w:val="bottom"/>
          </w:tcPr>
          <w:p>
            <w:pPr>
              <w:ind w:left="140"/>
              <w:spacing w:after="0"/>
              <w:rPr>
                <w:sz w:val="20"/>
                <w:szCs w:val="20"/>
                <w:color w:val="auto"/>
              </w:rPr>
            </w:pPr>
            <w:r>
              <w:rPr>
                <w:rFonts w:ascii="Arial" w:cs="Arial" w:eastAsia="Arial" w:hAnsi="Arial"/>
                <w:sz w:val="16"/>
                <w:szCs w:val="16"/>
                <w:color w:val="auto"/>
              </w:rPr>
              <w:t>Arbitration.</w:t>
            </w:r>
          </w:p>
        </w:tc>
        <w:tc>
          <w:tcPr>
            <w:tcW w:w="3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16.4</w:t>
            </w:r>
          </w:p>
        </w:tc>
        <w:tc>
          <w:tcPr>
            <w:tcW w:w="6020" w:type="dxa"/>
            <w:vAlign w:val="bottom"/>
          </w:tcPr>
          <w:p>
            <w:pPr>
              <w:ind w:left="140"/>
              <w:spacing w:after="0"/>
              <w:rPr>
                <w:sz w:val="20"/>
                <w:szCs w:val="20"/>
                <w:color w:val="auto"/>
              </w:rPr>
            </w:pPr>
            <w:r>
              <w:rPr>
                <w:rFonts w:ascii="Arial" w:cs="Arial" w:eastAsia="Arial" w:hAnsi="Arial"/>
                <w:sz w:val="16"/>
                <w:szCs w:val="16"/>
                <w:color w:val="auto"/>
              </w:rPr>
              <w:t>Governing Law.</w:t>
            </w:r>
          </w:p>
        </w:tc>
        <w:tc>
          <w:tcPr>
            <w:tcW w:w="3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16.5</w:t>
            </w:r>
          </w:p>
        </w:tc>
        <w:tc>
          <w:tcPr>
            <w:tcW w:w="6020" w:type="dxa"/>
            <w:vAlign w:val="bottom"/>
          </w:tcPr>
          <w:p>
            <w:pPr>
              <w:ind w:left="140"/>
              <w:spacing w:after="0"/>
              <w:rPr>
                <w:sz w:val="20"/>
                <w:szCs w:val="20"/>
                <w:color w:val="auto"/>
              </w:rPr>
            </w:pPr>
            <w:r>
              <w:rPr>
                <w:rFonts w:ascii="Arial" w:cs="Arial" w:eastAsia="Arial" w:hAnsi="Arial"/>
                <w:sz w:val="16"/>
                <w:szCs w:val="16"/>
                <w:color w:val="auto"/>
              </w:rPr>
              <w:t>Relationship of the Parties.</w:t>
            </w:r>
          </w:p>
        </w:tc>
        <w:tc>
          <w:tcPr>
            <w:tcW w:w="3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16.6</w:t>
            </w:r>
          </w:p>
        </w:tc>
        <w:tc>
          <w:tcPr>
            <w:tcW w:w="6020" w:type="dxa"/>
            <w:vAlign w:val="bottom"/>
          </w:tcPr>
          <w:p>
            <w:pPr>
              <w:ind w:left="140"/>
              <w:spacing w:after="0"/>
              <w:rPr>
                <w:sz w:val="20"/>
                <w:szCs w:val="20"/>
                <w:color w:val="auto"/>
              </w:rPr>
            </w:pPr>
            <w:r>
              <w:rPr>
                <w:rFonts w:ascii="Arial" w:cs="Arial" w:eastAsia="Arial" w:hAnsi="Arial"/>
                <w:sz w:val="16"/>
                <w:szCs w:val="16"/>
                <w:color w:val="auto"/>
              </w:rPr>
              <w:t>Entire Agreement.</w:t>
            </w:r>
          </w:p>
        </w:tc>
        <w:tc>
          <w:tcPr>
            <w:tcW w:w="3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16.7</w:t>
            </w:r>
          </w:p>
        </w:tc>
        <w:tc>
          <w:tcPr>
            <w:tcW w:w="6020" w:type="dxa"/>
            <w:vAlign w:val="bottom"/>
          </w:tcPr>
          <w:p>
            <w:pPr>
              <w:ind w:left="140"/>
              <w:spacing w:after="0"/>
              <w:rPr>
                <w:sz w:val="20"/>
                <w:szCs w:val="20"/>
                <w:color w:val="auto"/>
              </w:rPr>
            </w:pPr>
            <w:r>
              <w:rPr>
                <w:rFonts w:ascii="Arial" w:cs="Arial" w:eastAsia="Arial" w:hAnsi="Arial"/>
                <w:sz w:val="16"/>
                <w:szCs w:val="16"/>
                <w:color w:val="auto"/>
              </w:rPr>
              <w:t>Headings.</w:t>
            </w:r>
          </w:p>
        </w:tc>
        <w:tc>
          <w:tcPr>
            <w:tcW w:w="3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16.8</w:t>
            </w:r>
          </w:p>
        </w:tc>
        <w:tc>
          <w:tcPr>
            <w:tcW w:w="6020" w:type="dxa"/>
            <w:vAlign w:val="bottom"/>
          </w:tcPr>
          <w:p>
            <w:pPr>
              <w:ind w:left="140"/>
              <w:spacing w:after="0"/>
              <w:rPr>
                <w:sz w:val="20"/>
                <w:szCs w:val="20"/>
                <w:color w:val="auto"/>
              </w:rPr>
            </w:pPr>
            <w:r>
              <w:rPr>
                <w:rFonts w:ascii="Arial" w:cs="Arial" w:eastAsia="Arial" w:hAnsi="Arial"/>
                <w:sz w:val="16"/>
                <w:szCs w:val="16"/>
                <w:color w:val="auto"/>
              </w:rPr>
              <w:t>Notices.</w:t>
            </w:r>
          </w:p>
        </w:tc>
        <w:tc>
          <w:tcPr>
            <w:tcW w:w="3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16.9</w:t>
            </w:r>
          </w:p>
        </w:tc>
        <w:tc>
          <w:tcPr>
            <w:tcW w:w="6020" w:type="dxa"/>
            <w:vAlign w:val="bottom"/>
          </w:tcPr>
          <w:p>
            <w:pPr>
              <w:ind w:left="140"/>
              <w:spacing w:after="0"/>
              <w:rPr>
                <w:sz w:val="20"/>
                <w:szCs w:val="20"/>
                <w:color w:val="auto"/>
              </w:rPr>
            </w:pPr>
            <w:r>
              <w:rPr>
                <w:rFonts w:ascii="Arial" w:cs="Arial" w:eastAsia="Arial" w:hAnsi="Arial"/>
                <w:sz w:val="16"/>
                <w:szCs w:val="16"/>
                <w:color w:val="auto"/>
              </w:rPr>
              <w:t>Failure to Exercise.</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w:t>
            </w:r>
          </w:p>
        </w:tc>
        <w:tc>
          <w:tcPr>
            <w:tcW w:w="6020" w:type="dxa"/>
            <w:vAlign w:val="bottom"/>
          </w:tcPr>
          <w:p>
            <w:pPr>
              <w:ind w:left="140"/>
              <w:spacing w:after="0"/>
              <w:rPr>
                <w:sz w:val="20"/>
                <w:szCs w:val="20"/>
                <w:color w:val="auto"/>
              </w:rPr>
            </w:pPr>
            <w:r>
              <w:rPr>
                <w:rFonts w:ascii="Arial" w:cs="Arial" w:eastAsia="Arial" w:hAnsi="Arial"/>
                <w:sz w:val="16"/>
                <w:szCs w:val="16"/>
                <w:color w:val="auto"/>
              </w:rPr>
              <w:t>Assignment.</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16.11</w:t>
            </w:r>
          </w:p>
        </w:tc>
        <w:tc>
          <w:tcPr>
            <w:tcW w:w="6020" w:type="dxa"/>
            <w:vAlign w:val="bottom"/>
          </w:tcPr>
          <w:p>
            <w:pPr>
              <w:ind w:left="140"/>
              <w:spacing w:after="0"/>
              <w:rPr>
                <w:sz w:val="20"/>
                <w:szCs w:val="20"/>
                <w:color w:val="auto"/>
              </w:rPr>
            </w:pPr>
            <w:r>
              <w:rPr>
                <w:rFonts w:ascii="Arial" w:cs="Arial" w:eastAsia="Arial" w:hAnsi="Arial"/>
                <w:sz w:val="16"/>
                <w:szCs w:val="16"/>
                <w:color w:val="auto"/>
              </w:rPr>
              <w:t>Severability.</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16.12</w:t>
            </w:r>
          </w:p>
        </w:tc>
        <w:tc>
          <w:tcPr>
            <w:tcW w:w="6020" w:type="dxa"/>
            <w:vAlign w:val="bottom"/>
          </w:tcPr>
          <w:p>
            <w:pPr>
              <w:ind w:left="140"/>
              <w:spacing w:after="0"/>
              <w:rPr>
                <w:sz w:val="20"/>
                <w:szCs w:val="20"/>
                <w:color w:val="auto"/>
              </w:rPr>
            </w:pPr>
            <w:r>
              <w:rPr>
                <w:rFonts w:ascii="Arial" w:cs="Arial" w:eastAsia="Arial" w:hAnsi="Arial"/>
                <w:sz w:val="16"/>
                <w:szCs w:val="16"/>
                <w:color w:val="auto"/>
              </w:rPr>
              <w:t>Expenses.</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16.13</w:t>
            </w:r>
          </w:p>
        </w:tc>
        <w:tc>
          <w:tcPr>
            <w:tcW w:w="6020" w:type="dxa"/>
            <w:vAlign w:val="bottom"/>
          </w:tcPr>
          <w:p>
            <w:pPr>
              <w:ind w:left="140"/>
              <w:spacing w:after="0"/>
              <w:rPr>
                <w:sz w:val="20"/>
                <w:szCs w:val="20"/>
                <w:color w:val="auto"/>
              </w:rPr>
            </w:pPr>
            <w:r>
              <w:rPr>
                <w:rFonts w:ascii="Arial" w:cs="Arial" w:eastAsia="Arial" w:hAnsi="Arial"/>
                <w:sz w:val="16"/>
                <w:szCs w:val="16"/>
                <w:color w:val="auto"/>
              </w:rPr>
              <w:t>Maintaining Records.</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16.14</w:t>
            </w:r>
          </w:p>
        </w:tc>
        <w:tc>
          <w:tcPr>
            <w:tcW w:w="6020" w:type="dxa"/>
            <w:vAlign w:val="bottom"/>
          </w:tcPr>
          <w:p>
            <w:pPr>
              <w:ind w:left="140"/>
              <w:spacing w:after="0"/>
              <w:rPr>
                <w:sz w:val="20"/>
                <w:szCs w:val="20"/>
                <w:color w:val="auto"/>
              </w:rPr>
            </w:pPr>
            <w:r>
              <w:rPr>
                <w:rFonts w:ascii="Arial" w:cs="Arial" w:eastAsia="Arial" w:hAnsi="Arial"/>
                <w:sz w:val="16"/>
                <w:szCs w:val="16"/>
                <w:color w:val="auto"/>
              </w:rPr>
              <w:t>Project Work Scope Schedule.</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16.15</w:t>
            </w:r>
          </w:p>
        </w:tc>
        <w:tc>
          <w:tcPr>
            <w:tcW w:w="6020" w:type="dxa"/>
            <w:vAlign w:val="bottom"/>
          </w:tcPr>
          <w:p>
            <w:pPr>
              <w:ind w:left="140"/>
              <w:spacing w:after="0"/>
              <w:rPr>
                <w:sz w:val="20"/>
                <w:szCs w:val="20"/>
                <w:color w:val="auto"/>
              </w:rPr>
            </w:pPr>
            <w:r>
              <w:rPr>
                <w:rFonts w:ascii="Arial" w:cs="Arial" w:eastAsia="Arial" w:hAnsi="Arial"/>
                <w:sz w:val="16"/>
                <w:szCs w:val="16"/>
                <w:color w:val="auto"/>
              </w:rPr>
              <w:t>Interpretation.</w:t>
            </w:r>
          </w:p>
        </w:tc>
        <w:tc>
          <w:tcPr>
            <w:tcW w:w="3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540" w:type="dxa"/>
            <w:vAlign w:val="bottom"/>
          </w:tcPr>
          <w:p>
            <w:pPr>
              <w:spacing w:after="0"/>
              <w:rPr>
                <w:sz w:val="20"/>
                <w:szCs w:val="20"/>
                <w:color w:val="auto"/>
              </w:rPr>
            </w:pPr>
            <w:r>
              <w:rPr>
                <w:rFonts w:ascii="Arial" w:cs="Arial" w:eastAsia="Arial" w:hAnsi="Arial"/>
                <w:sz w:val="16"/>
                <w:szCs w:val="16"/>
                <w:color w:val="auto"/>
              </w:rPr>
              <w:t>16.16</w:t>
            </w:r>
          </w:p>
        </w:tc>
        <w:tc>
          <w:tcPr>
            <w:tcW w:w="6020" w:type="dxa"/>
            <w:vAlign w:val="bottom"/>
          </w:tcPr>
          <w:p>
            <w:pPr>
              <w:ind w:left="140"/>
              <w:spacing w:after="0"/>
              <w:rPr>
                <w:sz w:val="20"/>
                <w:szCs w:val="20"/>
                <w:color w:val="auto"/>
              </w:rPr>
            </w:pPr>
            <w:r>
              <w:rPr>
                <w:rFonts w:ascii="Arial" w:cs="Arial" w:eastAsia="Arial" w:hAnsi="Arial"/>
                <w:sz w:val="16"/>
                <w:szCs w:val="16"/>
                <w:color w:val="auto"/>
              </w:rPr>
              <w:t>Counterparts.</w:t>
            </w:r>
          </w:p>
        </w:tc>
        <w:tc>
          <w:tcPr>
            <w:tcW w:w="37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6560" w:type="dxa"/>
            <w:vAlign w:val="bottom"/>
            <w:gridSpan w:val="2"/>
          </w:tcPr>
          <w:p>
            <w:pPr>
              <w:spacing w:after="0"/>
              <w:rPr>
                <w:sz w:val="20"/>
                <w:szCs w:val="20"/>
                <w:color w:val="auto"/>
              </w:rPr>
            </w:pPr>
            <w:r>
              <w:rPr>
                <w:rFonts w:ascii="Arial" w:cs="Arial" w:eastAsia="Arial" w:hAnsi="Arial"/>
                <w:sz w:val="16"/>
                <w:szCs w:val="16"/>
                <w:color w:val="auto"/>
              </w:rPr>
              <w:t>Exhibit 1 – Instrument</w:t>
            </w:r>
          </w:p>
        </w:tc>
        <w:tc>
          <w:tcPr>
            <w:tcW w:w="3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6560" w:type="dxa"/>
            <w:vAlign w:val="bottom"/>
            <w:gridSpan w:val="2"/>
          </w:tcPr>
          <w:p>
            <w:pPr>
              <w:spacing w:after="0"/>
              <w:rPr>
                <w:sz w:val="20"/>
                <w:szCs w:val="20"/>
                <w:color w:val="auto"/>
              </w:rPr>
            </w:pPr>
            <w:r>
              <w:rPr>
                <w:rFonts w:ascii="Arial" w:cs="Arial" w:eastAsia="Arial" w:hAnsi="Arial"/>
                <w:sz w:val="16"/>
                <w:szCs w:val="16"/>
                <w:color w:val="auto"/>
              </w:rPr>
              <w:t>Exhibit 2 – Price Schedule</w:t>
            </w:r>
          </w:p>
        </w:tc>
        <w:tc>
          <w:tcPr>
            <w:tcW w:w="3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3"/>
        </w:trPr>
        <w:tc>
          <w:tcPr>
            <w:tcW w:w="6560" w:type="dxa"/>
            <w:vAlign w:val="bottom"/>
            <w:gridSpan w:val="2"/>
          </w:tcPr>
          <w:p>
            <w:pPr>
              <w:spacing w:after="0"/>
              <w:rPr>
                <w:sz w:val="20"/>
                <w:szCs w:val="20"/>
                <w:color w:val="auto"/>
              </w:rPr>
            </w:pPr>
            <w:r>
              <w:rPr>
                <w:rFonts w:ascii="Arial" w:cs="Arial" w:eastAsia="Arial" w:hAnsi="Arial"/>
                <w:sz w:val="16"/>
                <w:szCs w:val="16"/>
                <w:color w:val="auto"/>
              </w:rPr>
              <w:t>Exhibit 3 – Service Terms and Conditions</w:t>
            </w:r>
          </w:p>
        </w:tc>
        <w:tc>
          <w:tcPr>
            <w:tcW w:w="37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6560" w:type="dxa"/>
            <w:vAlign w:val="bottom"/>
            <w:gridSpan w:val="2"/>
          </w:tcPr>
          <w:p>
            <w:pPr>
              <w:spacing w:after="0"/>
              <w:rPr>
                <w:sz w:val="20"/>
                <w:szCs w:val="20"/>
                <w:color w:val="auto"/>
              </w:rPr>
            </w:pPr>
            <w:r>
              <w:rPr>
                <w:rFonts w:ascii="Arial" w:cs="Arial" w:eastAsia="Arial" w:hAnsi="Arial"/>
                <w:sz w:val="16"/>
                <w:szCs w:val="16"/>
                <w:color w:val="auto"/>
              </w:rPr>
              <w:t>Exhibit 4 – Change Notification</w:t>
            </w:r>
          </w:p>
        </w:tc>
        <w:tc>
          <w:tcPr>
            <w:tcW w:w="37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6560" w:type="dxa"/>
            <w:vAlign w:val="bottom"/>
            <w:gridSpan w:val="2"/>
          </w:tcPr>
          <w:p>
            <w:pPr>
              <w:spacing w:after="0"/>
              <w:rPr>
                <w:sz w:val="20"/>
                <w:szCs w:val="20"/>
                <w:color w:val="auto"/>
              </w:rPr>
            </w:pPr>
            <w:r>
              <w:rPr>
                <w:rFonts w:ascii="Arial" w:cs="Arial" w:eastAsia="Arial" w:hAnsi="Arial"/>
                <w:sz w:val="16"/>
                <w:szCs w:val="16"/>
                <w:color w:val="auto"/>
              </w:rPr>
              <w:t>Exhibit 5 – Site Requirements</w:t>
            </w:r>
          </w:p>
        </w:tc>
        <w:tc>
          <w:tcPr>
            <w:tcW w:w="3760" w:type="dxa"/>
            <w:vAlign w:val="bottom"/>
          </w:tcPr>
          <w:p>
            <w:pPr>
              <w:jc w:val="right"/>
              <w:spacing w:after="0"/>
              <w:rPr>
                <w:sz w:val="20"/>
                <w:szCs w:val="20"/>
                <w:color w:val="auto"/>
              </w:rPr>
            </w:pPr>
            <w:r>
              <w:rPr>
                <w:rFonts w:ascii="Arial" w:cs="Arial" w:eastAsia="Arial" w:hAnsi="Arial"/>
                <w:sz w:val="16"/>
                <w:szCs w:val="16"/>
                <w:color w:val="auto"/>
              </w:rPr>
              <w:t>45</w:t>
            </w:r>
          </w:p>
        </w:tc>
      </w:tr>
    </w:tbl>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0320"/>
          </w:cols>
          <w:pgMar w:left="340" w:top="1086" w:right="12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UMBRELLA DEVELOPMENT &amp; SUPPLY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UMBRELLA DEVELOPMENT &amp; SUPPLY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SEER, INC., a State of California corporation (“</w:t>
      </w:r>
      <w:r>
        <w:rPr>
          <w:rFonts w:ascii="Arial" w:cs="Arial" w:eastAsia="Arial" w:hAnsi="Arial"/>
          <w:sz w:val="18"/>
          <w:szCs w:val="18"/>
          <w:b w:val="1"/>
          <w:bCs w:val="1"/>
          <w:color w:val="auto"/>
        </w:rPr>
        <w:t>Buyer</w:t>
      </w:r>
      <w:r>
        <w:rPr>
          <w:rFonts w:ascii="Arial" w:cs="Arial" w:eastAsia="Arial" w:hAnsi="Arial"/>
          <w:sz w:val="18"/>
          <w:szCs w:val="18"/>
          <w:color w:val="auto"/>
        </w:rPr>
        <w:t>”), and HAMILTON COMPANY, a State of Nevada corporation (“</w:t>
      </w:r>
      <w:r>
        <w:rPr>
          <w:rFonts w:ascii="Arial" w:cs="Arial" w:eastAsia="Arial" w:hAnsi="Arial"/>
          <w:sz w:val="18"/>
          <w:szCs w:val="18"/>
          <w:b w:val="1"/>
          <w:bCs w:val="1"/>
          <w:color w:val="auto"/>
        </w:rPr>
        <w:t>Hamilton</w:t>
      </w:r>
      <w:r>
        <w:rPr>
          <w:rFonts w:ascii="Arial" w:cs="Arial" w:eastAsia="Arial" w:hAnsi="Arial"/>
          <w:sz w:val="18"/>
          <w:szCs w:val="18"/>
          <w:color w:val="auto"/>
        </w:rPr>
        <w:t>”), is effective as of March 9,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Buyer and Hamilton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Buyer is a life sciences company focused on developing and commercializing its Proteograph™ platform for high-throughput and accurate analyses of the proteome for research and clinical applications;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Hamilton is in the business of developing liquid handling solutions, assisting with the development of application specifications of liquid handling processes and selling the Products (as defined below); and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Buyer desires to purchase directly from Hamilton the Products and receive support for aftermarket activities from Hamilton, and Hamilton desires to sell the Products and provide such support to Buyer, all pursuant to the terms and conditions of this Agreement.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consideration of the mutual covenants set forth herein and for other good and valuable consideration, the receipt and sufficiency of which are hereby acknowledged, the Parties hereto covenant and agree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 –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throughout this Agreement, each of the following initially capitalized terms has the respective meaning set forth below:</w:t>
      </w:r>
    </w:p>
    <w:p>
      <w:pPr>
        <w:spacing w:after="0" w:line="203" w:lineRule="exact"/>
        <w:rPr>
          <w:sz w:val="20"/>
          <w:szCs w:val="20"/>
          <w:color w:val="auto"/>
        </w:rPr>
      </w:pPr>
    </w:p>
    <w:p>
      <w:pPr>
        <w:jc w:val="both"/>
        <w:ind w:left="660" w:hanging="652"/>
        <w:spacing w:after="0" w:line="257" w:lineRule="auto"/>
        <w:tabs>
          <w:tab w:leader="none" w:pos="64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Party hereto means any entity that directly or indirectly controls, is controlled by or is under common control with such Party, for so long as such control exists. For purposes of this definition only, “</w:t>
      </w:r>
      <w:r>
        <w:rPr>
          <w:rFonts w:ascii="Arial" w:cs="Arial" w:eastAsia="Arial" w:hAnsi="Arial"/>
          <w:sz w:val="18"/>
          <w:szCs w:val="18"/>
          <w:b w:val="1"/>
          <w:bCs w:val="1"/>
          <w:color w:val="auto"/>
        </w:rPr>
        <w:t>control</w:t>
      </w:r>
      <w:r>
        <w:rPr>
          <w:rFonts w:ascii="Arial" w:cs="Arial" w:eastAsia="Arial" w:hAnsi="Arial"/>
          <w:sz w:val="18"/>
          <w:szCs w:val="18"/>
          <w:color w:val="auto"/>
        </w:rPr>
        <w:t>” (and, with correlative meanings, the terms “controlled by” and “under common control with”) means, in the case of a corporation, the ownership of more than fifty percent (50%) of the outstanding voting securities thereof or, in the case of any other type of entity, an interest that results in the ability to direct or cause the direction of the management and policies of such Party or the power to appoint more than 50% of the members of the governing body of the Party.</w:t>
      </w:r>
    </w:p>
    <w:p>
      <w:pPr>
        <w:spacing w:after="0" w:line="182" w:lineRule="exact"/>
        <w:rPr>
          <w:rFonts w:ascii="Arial" w:cs="Arial" w:eastAsia="Arial" w:hAnsi="Arial"/>
          <w:sz w:val="18"/>
          <w:szCs w:val="18"/>
          <w:color w:val="auto"/>
        </w:rPr>
      </w:pPr>
    </w:p>
    <w:p>
      <w:pPr>
        <w:jc w:val="both"/>
        <w:ind w:left="660" w:hanging="652"/>
        <w:spacing w:after="0" w:line="262" w:lineRule="auto"/>
        <w:tabs>
          <w:tab w:leader="none" w:pos="64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all federal, state, provincial, local, national and supra-national laws, statutes, rules and regulations, including any rules, regulations, guidance, guidelines or requirements of Regulatory Authorities, national securities exchanges or securities listing organizations, in any country, and applicable customary and reasonable industry practices, in each case that are in effect from time to time during the Term and applicable to a particular activity hereunder.</w:t>
      </w:r>
    </w:p>
    <w:p>
      <w:pPr>
        <w:spacing w:after="0" w:line="176" w:lineRule="exact"/>
        <w:rPr>
          <w:rFonts w:ascii="Arial" w:cs="Arial" w:eastAsia="Arial" w:hAnsi="Arial"/>
          <w:sz w:val="18"/>
          <w:szCs w:val="18"/>
          <w:color w:val="auto"/>
        </w:rPr>
      </w:pPr>
    </w:p>
    <w:p>
      <w:pPr>
        <w:ind w:left="660" w:hanging="652"/>
        <w:spacing w:after="0" w:line="287" w:lineRule="auto"/>
        <w:tabs>
          <w:tab w:leader="none" w:pos="64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other day on which banks in Reno, Nevada are authorized or required by law to close.</w:t>
      </w:r>
    </w:p>
    <w:p>
      <w:pPr>
        <w:spacing w:after="0" w:line="152"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Buyer’s Technology</w:t>
      </w:r>
      <w:r>
        <w:rPr>
          <w:rFonts w:ascii="Arial" w:cs="Arial" w:eastAsia="Arial" w:hAnsi="Arial"/>
          <w:sz w:val="18"/>
          <w:szCs w:val="18"/>
          <w:color w:val="auto"/>
        </w:rPr>
        <w:t>” means any Buyer Intellectual Property that is proprietary to Buyer and/or its Affiliates, including but not limited to Buyer’s Know-How, trade secrets, Proteograph™ platform and related technology and Confidential Information (to the extent not otherwise incorporating Hamilton Technology or Confidential Information). For clarity, Buyer’s Technology includes all assays and related Methods included in or otherwise necessary to exploit Buyer’s Proteograph™ platform (collectively, “</w:t>
      </w:r>
      <w:r>
        <w:rPr>
          <w:rFonts w:ascii="Arial" w:cs="Arial" w:eastAsia="Arial" w:hAnsi="Arial"/>
          <w:sz w:val="18"/>
          <w:szCs w:val="18"/>
          <w:b w:val="1"/>
          <w:bCs w:val="1"/>
          <w:color w:val="auto"/>
        </w:rPr>
        <w:t>Buyer’s Assays</w:t>
      </w:r>
      <w:r>
        <w:rPr>
          <w:rFonts w:ascii="Arial" w:cs="Arial" w:eastAsia="Arial" w:hAnsi="Arial"/>
          <w:sz w:val="18"/>
          <w:szCs w:val="18"/>
          <w:color w:val="auto"/>
        </w:rPr>
        <w:t>”). For clarity, Hamilton may manufacture and/or sell an Instrument that may compete with Final Product herein, so long as the Instrument does not contain Buyer Technology, proprietary information, or any technology or information based substantially on technology or information provided by Buyer or derived from such Buyer-provided technology or information.</w:t>
      </w:r>
    </w:p>
    <w:p>
      <w:pPr>
        <w:spacing w:after="0" w:line="182" w:lineRule="exact"/>
        <w:rPr>
          <w:rFonts w:ascii="Arial" w:cs="Arial" w:eastAsia="Arial" w:hAnsi="Arial"/>
          <w:sz w:val="18"/>
          <w:szCs w:val="18"/>
          <w:color w:val="auto"/>
        </w:rPr>
      </w:pPr>
    </w:p>
    <w:p>
      <w:pPr>
        <w:ind w:left="660" w:hanging="652"/>
        <w:spacing w:after="0" w:line="287" w:lineRule="auto"/>
        <w:tabs>
          <w:tab w:leader="none" w:pos="64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Launch</w:t>
      </w:r>
      <w:r>
        <w:rPr>
          <w:rFonts w:ascii="Arial" w:cs="Arial" w:eastAsia="Arial" w:hAnsi="Arial"/>
          <w:sz w:val="18"/>
          <w:szCs w:val="18"/>
          <w:color w:val="auto"/>
        </w:rPr>
        <w:t>” means the first date upon which Buyer makes Final Product available to the public for purchase and commercial use by third party customers.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08" w:right="339" w:bottom="1440" w:gutter="0" w:footer="0" w:header="0"/>
        </w:sectPr>
      </w:pPr>
    </w:p>
    <w:bookmarkStart w:id="365" w:name="page366"/>
    <w:bookmarkEnd w:id="365"/>
    <w:p>
      <w:pPr>
        <w:ind w:left="660" w:hanging="652"/>
        <w:spacing w:after="0" w:line="271" w:lineRule="auto"/>
        <w:tabs>
          <w:tab w:leader="none" w:pos="64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Consumables</w:t>
      </w:r>
      <w:r>
        <w:rPr>
          <w:rFonts w:ascii="Arial" w:cs="Arial" w:eastAsia="Arial" w:hAnsi="Arial"/>
          <w:sz w:val="18"/>
          <w:szCs w:val="18"/>
          <w:color w:val="auto"/>
        </w:rPr>
        <w:t>” means the Hamilton provided disposable tips (i.e., Nested Conductive Filter and Clear Tips), reagent reservoirs and other consumables (if any) described in the applicable Project Work Scope Schedule.</w:t>
      </w:r>
    </w:p>
    <w:p>
      <w:pPr>
        <w:spacing w:after="0" w:line="153" w:lineRule="exact"/>
        <w:rPr>
          <w:rFonts w:ascii="Arial" w:cs="Arial" w:eastAsia="Arial" w:hAnsi="Arial"/>
          <w:sz w:val="18"/>
          <w:szCs w:val="18"/>
          <w:color w:val="auto"/>
        </w:rPr>
      </w:pPr>
    </w:p>
    <w:p>
      <w:pPr>
        <w:ind w:left="660" w:hanging="652"/>
        <w:spacing w:after="0" w:line="271" w:lineRule="auto"/>
        <w:tabs>
          <w:tab w:leader="none" w:pos="64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Requirement Specifications</w:t>
      </w:r>
      <w:r>
        <w:rPr>
          <w:rFonts w:ascii="Arial" w:cs="Arial" w:eastAsia="Arial" w:hAnsi="Arial"/>
          <w:sz w:val="18"/>
          <w:szCs w:val="18"/>
          <w:color w:val="auto"/>
        </w:rPr>
        <w:t>” or “</w:t>
      </w:r>
      <w:r>
        <w:rPr>
          <w:rFonts w:ascii="Arial" w:cs="Arial" w:eastAsia="Arial" w:hAnsi="Arial"/>
          <w:sz w:val="18"/>
          <w:szCs w:val="18"/>
          <w:b w:val="1"/>
          <w:bCs w:val="1"/>
          <w:color w:val="auto"/>
        </w:rPr>
        <w:t>CRS</w:t>
      </w:r>
      <w:r>
        <w:rPr>
          <w:rFonts w:ascii="Arial" w:cs="Arial" w:eastAsia="Arial" w:hAnsi="Arial"/>
          <w:sz w:val="18"/>
          <w:szCs w:val="18"/>
          <w:color w:val="auto"/>
        </w:rPr>
        <w:t>” means a required document (maintained outside this Agreement) outlining the Buyer’s requirements for a project, updated and agreed upon between the Parties.</w:t>
      </w:r>
    </w:p>
    <w:p>
      <w:pPr>
        <w:spacing w:after="0" w:line="153" w:lineRule="exact"/>
        <w:rPr>
          <w:rFonts w:ascii="Arial" w:cs="Arial" w:eastAsia="Arial" w:hAnsi="Arial"/>
          <w:sz w:val="18"/>
          <w:szCs w:val="18"/>
          <w:color w:val="auto"/>
        </w:rPr>
      </w:pPr>
    </w:p>
    <w:p>
      <w:pPr>
        <w:ind w:left="640" w:hanging="632"/>
        <w:spacing w:after="0"/>
        <w:tabs>
          <w:tab w:leader="none" w:pos="6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agency thereto.</w:t>
      </w:r>
    </w:p>
    <w:p>
      <w:pPr>
        <w:spacing w:after="0" w:line="211" w:lineRule="exact"/>
        <w:rPr>
          <w:rFonts w:ascii="Arial" w:cs="Arial" w:eastAsia="Arial" w:hAnsi="Arial"/>
          <w:sz w:val="18"/>
          <w:szCs w:val="18"/>
          <w:color w:val="auto"/>
        </w:rPr>
      </w:pPr>
    </w:p>
    <w:p>
      <w:pPr>
        <w:jc w:val="both"/>
        <w:ind w:left="660" w:hanging="652"/>
        <w:spacing w:after="0" w:line="253" w:lineRule="auto"/>
        <w:tabs>
          <w:tab w:leader="none" w:pos="64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Product</w:t>
      </w:r>
      <w:r>
        <w:rPr>
          <w:rFonts w:ascii="Arial" w:cs="Arial" w:eastAsia="Arial" w:hAnsi="Arial"/>
          <w:sz w:val="18"/>
          <w:szCs w:val="18"/>
          <w:color w:val="auto"/>
        </w:rPr>
        <w:t>” means each of Buyer’s final saleable products comprising, collectively, the Product and any Buyer or third party offered products, and consumables used on or in conjunction with the Product not included in the Instrument bill of materials (“</w:t>
      </w:r>
      <w:r>
        <w:rPr>
          <w:rFonts w:ascii="Arial" w:cs="Arial" w:eastAsia="Arial" w:hAnsi="Arial"/>
          <w:sz w:val="18"/>
          <w:szCs w:val="18"/>
          <w:b w:val="1"/>
          <w:bCs w:val="1"/>
          <w:color w:val="auto"/>
        </w:rPr>
        <w:t>BOM</w:t>
      </w:r>
      <w:r>
        <w:rPr>
          <w:rFonts w:ascii="Arial" w:cs="Arial" w:eastAsia="Arial" w:hAnsi="Arial"/>
          <w:sz w:val="18"/>
          <w:szCs w:val="18"/>
          <w:color w:val="auto"/>
        </w:rPr>
        <w:t>”) set forth in the applicable Project Work Scope Schedule.</w:t>
      </w:r>
    </w:p>
    <w:p>
      <w:pPr>
        <w:spacing w:after="0" w:line="168" w:lineRule="exact"/>
        <w:rPr>
          <w:rFonts w:ascii="Arial" w:cs="Arial" w:eastAsia="Arial" w:hAnsi="Arial"/>
          <w:sz w:val="18"/>
          <w:szCs w:val="18"/>
          <w:color w:val="auto"/>
        </w:rPr>
      </w:pPr>
    </w:p>
    <w:p>
      <w:pPr>
        <w:ind w:left="640" w:hanging="632"/>
        <w:spacing w:after="0"/>
        <w:tabs>
          <w:tab w:leader="none" w:pos="6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12-month period starting July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a calendar year and ending June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calendar year.</w:t>
      </w:r>
    </w:p>
    <w:p>
      <w:pPr>
        <w:spacing w:after="0" w:line="154" w:lineRule="exact"/>
        <w:rPr>
          <w:rFonts w:ascii="Arial" w:cs="Arial" w:eastAsia="Arial" w:hAnsi="Arial"/>
          <w:sz w:val="18"/>
          <w:szCs w:val="18"/>
          <w:color w:val="auto"/>
        </w:rPr>
      </w:pPr>
    </w:p>
    <w:p>
      <w:pPr>
        <w:ind w:left="660" w:right="300" w:hanging="652"/>
        <w:spacing w:after="0" w:line="253"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Hamilton Technology</w:t>
      </w:r>
      <w:r>
        <w:rPr>
          <w:rFonts w:ascii="Arial" w:cs="Arial" w:eastAsia="Arial" w:hAnsi="Arial"/>
          <w:sz w:val="18"/>
          <w:szCs w:val="18"/>
          <w:color w:val="auto"/>
        </w:rPr>
        <w:t>” means any Hamilton Intellectual Property that is proprietary to Hamilton and/or its Affiliates, including but not limited to Hamilton’s Know-How, trade secrets, manufacturing processes, Product data, Confidential Information and Specifications (to the extent not otherwise incorporating Buyer’s Technology or Confidential Information).</w:t>
      </w:r>
    </w:p>
    <w:p>
      <w:pPr>
        <w:spacing w:after="0" w:line="168" w:lineRule="exact"/>
        <w:rPr>
          <w:rFonts w:ascii="Arial" w:cs="Arial" w:eastAsia="Arial" w:hAnsi="Arial"/>
          <w:sz w:val="18"/>
          <w:szCs w:val="18"/>
          <w:color w:val="auto"/>
        </w:rPr>
      </w:pPr>
    </w:p>
    <w:p>
      <w:pPr>
        <w:ind w:left="660" w:right="220" w:hanging="652"/>
        <w:spacing w:after="0" w:line="271"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means the configured automated liquid handling workstation(s) identified as described in the applicable Project Work Scope Schedule.</w:t>
      </w:r>
    </w:p>
    <w:p>
      <w:pPr>
        <w:spacing w:after="0" w:line="153" w:lineRule="exact"/>
        <w:rPr>
          <w:rFonts w:ascii="Arial" w:cs="Arial" w:eastAsia="Arial" w:hAnsi="Arial"/>
          <w:sz w:val="18"/>
          <w:szCs w:val="18"/>
          <w:color w:val="auto"/>
        </w:rPr>
      </w:pPr>
    </w:p>
    <w:p>
      <w:pPr>
        <w:jc w:val="both"/>
        <w:ind w:left="660" w:hanging="652"/>
        <w:spacing w:after="0" w:line="237"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item, property, process, product, trade secret, or similar creation or right, whether or not patentable, copyrightable, trademarkable or otherwise protectable under intellectual property or other Applicable Laws, as well as all inventions, discoveries, methods, ideas, designs, developments, hardware, firmware, software and programs (including object code and source code), improvements, innovations, formulas, processes, assays, written works, know-how, techniques, works of authorship and technology developed, conceived, contemplated, written, completed, reduced to practice, or learned by a Party, including any enhancements or modifications made by such Party (including its employees, agents, contractors and subcontractors) at any time to the above, and intellectual property rights worldwide associated with or relating to the foregoing whether arising under statutory or common law or by contract and whether or not perfected, now existing or hereafter filed, issued, or acquired, including all</w:t>
      </w:r>
    </w:p>
    <w:p>
      <w:pPr>
        <w:spacing w:after="0" w:line="6" w:lineRule="exact"/>
        <w:rPr>
          <w:rFonts w:ascii="Arial" w:cs="Arial" w:eastAsia="Arial" w:hAnsi="Arial"/>
          <w:sz w:val="18"/>
          <w:szCs w:val="18"/>
          <w:color w:val="auto"/>
        </w:rPr>
      </w:pPr>
    </w:p>
    <w:p>
      <w:pPr>
        <w:jc w:val="both"/>
        <w:ind w:left="660" w:hanging="4"/>
        <w:spacing w:after="0" w:line="238" w:lineRule="auto"/>
        <w:tabs>
          <w:tab w:leader="none" w:pos="89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patent rights (including patent applications and disclosures), (ii) rights of priority, (iii) rights associated with works of authorship including copyrights and mask work rights, (iv) trademark rights, (v) rights relating to the protection of trade secrets and non-public, confidential or proprietary information, and (vi) any right analogous to those set forth herein and any other proprietary rights relating to intangible property (collectively, (i)-(vi),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left="660" w:hanging="652"/>
        <w:spacing w:after="0" w:line="247"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with respect to a Party, any and all technical information presently available or generated during the Term of this Agreement that relates to the Products or any improvements thereto made by such Party (including its employees, agents, contractors and subcontractors) and shall include, without limitation, all manufacturing data and any other information relating thereto and useful for the development, manufacture, use or effectiveness of such Products.</w:t>
      </w:r>
    </w:p>
    <w:p>
      <w:pPr>
        <w:spacing w:after="0" w:line="173" w:lineRule="exact"/>
        <w:rPr>
          <w:rFonts w:ascii="Arial" w:cs="Arial" w:eastAsia="Arial" w:hAnsi="Arial"/>
          <w:sz w:val="18"/>
          <w:szCs w:val="18"/>
          <w:color w:val="auto"/>
        </w:rPr>
      </w:pPr>
    </w:p>
    <w:p>
      <w:pPr>
        <w:ind w:left="660" w:hanging="652"/>
        <w:spacing w:after="0" w:line="271"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Method</w:t>
      </w:r>
      <w:r>
        <w:rPr>
          <w:rFonts w:ascii="Arial" w:cs="Arial" w:eastAsia="Arial" w:hAnsi="Arial"/>
          <w:sz w:val="18"/>
          <w:szCs w:val="18"/>
          <w:color w:val="auto"/>
        </w:rPr>
        <w:t>” means a workflow for processing an assay in order to qualitatively assess or quantitatively measure the presence, amount, or functional activity of a target application.</w:t>
      </w:r>
    </w:p>
    <w:p>
      <w:pPr>
        <w:spacing w:after="0" w:line="153" w:lineRule="exact"/>
        <w:rPr>
          <w:rFonts w:ascii="Arial" w:cs="Arial" w:eastAsia="Arial" w:hAnsi="Arial"/>
          <w:sz w:val="18"/>
          <w:szCs w:val="18"/>
          <w:color w:val="auto"/>
        </w:rPr>
      </w:pPr>
    </w:p>
    <w:p>
      <w:pPr>
        <w:jc w:val="both"/>
        <w:ind w:left="660" w:hanging="652"/>
        <w:spacing w:after="0" w:line="247"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individually and/or collectively, the Instrument and Consumables and the associated Hamilton provided accessories, software, supplies and Spare Parts, in each case listed on a Project Work Scope Schedule(s) or Instrument BOM. For the avoidance of doubt, any and all products, consumables and other items incorporated in Final Product or intended for use with the Instrument, but in each case not supplied by Hamilton hereunder, are expressly excluded from the definition of Product.</w:t>
      </w:r>
    </w:p>
    <w:p>
      <w:pPr>
        <w:spacing w:after="0" w:line="173" w:lineRule="exact"/>
        <w:rPr>
          <w:rFonts w:ascii="Arial" w:cs="Arial" w:eastAsia="Arial" w:hAnsi="Arial"/>
          <w:sz w:val="18"/>
          <w:szCs w:val="18"/>
          <w:color w:val="auto"/>
        </w:rPr>
      </w:pPr>
    </w:p>
    <w:p>
      <w:pPr>
        <w:ind w:left="660" w:hanging="652"/>
        <w:spacing w:after="0" w:line="287" w:lineRule="auto"/>
        <w:tabs>
          <w:tab w:leader="none" w:pos="65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Work Scope Schedule</w:t>
      </w:r>
      <w:r>
        <w:rPr>
          <w:rFonts w:ascii="Arial" w:cs="Arial" w:eastAsia="Arial" w:hAnsi="Arial"/>
          <w:sz w:val="18"/>
          <w:szCs w:val="18"/>
          <w:color w:val="auto"/>
        </w:rPr>
        <w:t>” means each individual project specific scope, attached hereto (or to be attached hereto) as Exhibits and incorporated into this Agreement by reference, outlining the deliverables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08" w:right="339" w:bottom="1440" w:gutter="0" w:footer="0" w:header="0"/>
        </w:sectPr>
      </w:pPr>
    </w:p>
    <w:bookmarkStart w:id="366" w:name="page367"/>
    <w:bookmarkEnd w:id="366"/>
    <w:p>
      <w:pPr>
        <w:ind w:left="660"/>
        <w:spacing w:after="0" w:line="246" w:lineRule="auto"/>
        <w:rPr>
          <w:sz w:val="20"/>
          <w:szCs w:val="20"/>
          <w:color w:val="auto"/>
        </w:rPr>
      </w:pPr>
      <w:r>
        <w:rPr>
          <w:rFonts w:ascii="Arial" w:cs="Arial" w:eastAsia="Arial" w:hAnsi="Arial"/>
          <w:sz w:val="18"/>
          <w:szCs w:val="18"/>
          <w:color w:val="auto"/>
        </w:rPr>
        <w:t>based on the CRS, Product Specifications, Product pricing, and applicable lead time for Product, as may be entered into or amended by the Parties from time to time during the Term.</w:t>
      </w:r>
    </w:p>
    <w:p>
      <w:pPr>
        <w:spacing w:after="0" w:line="175" w:lineRule="exact"/>
        <w:rPr>
          <w:sz w:val="20"/>
          <w:szCs w:val="20"/>
          <w:color w:val="auto"/>
        </w:rPr>
      </w:pPr>
    </w:p>
    <w:p>
      <w:pPr>
        <w:ind w:left="660" w:hanging="652"/>
        <w:spacing w:after="0" w:line="271"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means a written request from Buyer submitted to Hamilton requesting the supply of Products in accordance with section 2.5.</w:t>
      </w:r>
    </w:p>
    <w:p>
      <w:pPr>
        <w:spacing w:after="0" w:line="153" w:lineRule="exact"/>
        <w:rPr>
          <w:rFonts w:ascii="Arial" w:cs="Arial" w:eastAsia="Arial" w:hAnsi="Arial"/>
          <w:sz w:val="18"/>
          <w:szCs w:val="18"/>
          <w:color w:val="auto"/>
        </w:rPr>
      </w:pPr>
    </w:p>
    <w:p>
      <w:pPr>
        <w:ind w:left="660" w:hanging="652"/>
        <w:spacing w:after="0" w:line="271"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each period of three consecutive calendar months commencing on July 1, October 1, January 1 and April 1 of each Fiscal Year.</w:t>
      </w:r>
    </w:p>
    <w:p>
      <w:pPr>
        <w:spacing w:after="0" w:line="153" w:lineRule="exact"/>
        <w:rPr>
          <w:rFonts w:ascii="Arial" w:cs="Arial" w:eastAsia="Arial" w:hAnsi="Arial"/>
          <w:sz w:val="18"/>
          <w:szCs w:val="18"/>
          <w:color w:val="auto"/>
        </w:rPr>
      </w:pPr>
    </w:p>
    <w:p>
      <w:pPr>
        <w:ind w:left="660" w:right="60" w:hanging="652"/>
        <w:spacing w:after="0" w:line="271"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Raw Materials</w:t>
      </w:r>
      <w:r>
        <w:rPr>
          <w:rFonts w:ascii="Arial" w:cs="Arial" w:eastAsia="Arial" w:hAnsi="Arial"/>
          <w:sz w:val="18"/>
          <w:szCs w:val="18"/>
          <w:color w:val="auto"/>
        </w:rPr>
        <w:t>” means the materials, components, and packaging required to manufacture and package the Product in accordance with the Specifications.</w:t>
      </w:r>
    </w:p>
    <w:p>
      <w:pPr>
        <w:spacing w:after="0" w:line="153" w:lineRule="exact"/>
        <w:rPr>
          <w:rFonts w:ascii="Arial" w:cs="Arial" w:eastAsia="Arial" w:hAnsi="Arial"/>
          <w:sz w:val="18"/>
          <w:szCs w:val="18"/>
          <w:color w:val="auto"/>
        </w:rPr>
      </w:pPr>
    </w:p>
    <w:p>
      <w:pPr>
        <w:jc w:val="both"/>
        <w:ind w:left="660" w:hanging="652"/>
        <w:spacing w:after="0" w:line="247"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approvals for the use, development, manufacture or commercialization of Products, including the FDA, or any other national, supra-national, regional, state or local regulatory agency, department, bureau, commission, council or other governmental entity with authority over the use, manufacture or commercialization of Products, or any successor agency thereto.</w:t>
      </w:r>
    </w:p>
    <w:p>
      <w:pPr>
        <w:spacing w:after="0" w:line="173" w:lineRule="exact"/>
        <w:rPr>
          <w:rFonts w:ascii="Arial" w:cs="Arial" w:eastAsia="Arial" w:hAnsi="Arial"/>
          <w:sz w:val="18"/>
          <w:szCs w:val="18"/>
          <w:color w:val="auto"/>
        </w:rPr>
      </w:pPr>
    </w:p>
    <w:p>
      <w:pPr>
        <w:ind w:left="660" w:right="100" w:hanging="652"/>
        <w:spacing w:after="0" w:line="271"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 Party, its subsidiaries and its Affiliates’ respective directors, officers, managers, members, employees, contractors and agents.</w:t>
      </w:r>
    </w:p>
    <w:p>
      <w:pPr>
        <w:spacing w:after="0" w:line="153" w:lineRule="exact"/>
        <w:rPr>
          <w:rFonts w:ascii="Arial" w:cs="Arial" w:eastAsia="Arial" w:hAnsi="Arial"/>
          <w:sz w:val="18"/>
          <w:szCs w:val="18"/>
          <w:color w:val="auto"/>
        </w:rPr>
      </w:pPr>
    </w:p>
    <w:p>
      <w:pPr>
        <w:ind w:left="660" w:right="20" w:hanging="652"/>
        <w:spacing w:after="0" w:line="271"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aftermarket hardware support and maintenance for Instruments under warranty or extended service agreement, as described in Exhibit 3.</w:t>
      </w:r>
    </w:p>
    <w:p>
      <w:pPr>
        <w:spacing w:after="0" w:line="153" w:lineRule="exact"/>
        <w:rPr>
          <w:rFonts w:ascii="Arial" w:cs="Arial" w:eastAsia="Arial" w:hAnsi="Arial"/>
          <w:sz w:val="18"/>
          <w:szCs w:val="18"/>
          <w:color w:val="auto"/>
        </w:rPr>
      </w:pPr>
    </w:p>
    <w:p>
      <w:pPr>
        <w:ind w:left="640" w:hanging="632"/>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Spare Parts</w:t>
      </w:r>
      <w:r>
        <w:rPr>
          <w:rFonts w:ascii="Arial" w:cs="Arial" w:eastAsia="Arial" w:hAnsi="Arial"/>
          <w:sz w:val="18"/>
          <w:szCs w:val="18"/>
          <w:color w:val="auto"/>
        </w:rPr>
        <w:t>” means items required for the care or enhancement of the original Product.</w:t>
      </w:r>
    </w:p>
    <w:p>
      <w:pPr>
        <w:spacing w:after="0" w:line="211" w:lineRule="exact"/>
        <w:rPr>
          <w:rFonts w:ascii="Arial" w:cs="Arial" w:eastAsia="Arial" w:hAnsi="Arial"/>
          <w:sz w:val="18"/>
          <w:szCs w:val="18"/>
          <w:color w:val="auto"/>
        </w:rPr>
      </w:pPr>
    </w:p>
    <w:p>
      <w:pPr>
        <w:jc w:val="both"/>
        <w:ind w:left="660" w:hanging="652"/>
        <w:spacing w:after="0" w:line="247" w:lineRule="auto"/>
        <w:tabs>
          <w:tab w:leader="none" w:pos="65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with respect to a Product, the specifications for the design, composition, product safety assurance, manufacture, packaging, acceptance criteria and quality control of such Product set forth or referenced in the applicable Project Work Scope Schedule. In addition, the Specifications shall include compliance with Applicable Laws. For clarity, the Specifications are Hamilton’s property to the extent not incorporating Buyer’s Technology or Confidential Information.</w:t>
      </w:r>
    </w:p>
    <w:p>
      <w:pPr>
        <w:spacing w:after="0" w:line="173" w:lineRule="exact"/>
        <w:rPr>
          <w:rFonts w:ascii="Arial" w:cs="Arial" w:eastAsia="Arial" w:hAnsi="Arial"/>
          <w:sz w:val="18"/>
          <w:szCs w:val="18"/>
          <w:color w:val="auto"/>
        </w:rPr>
      </w:pPr>
    </w:p>
    <w:p>
      <w:pPr>
        <w:ind w:left="640" w:hanging="632"/>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any Extended Term.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 – SUPPLY, PRICING, FORECASTS, ORDERS, SERVICES</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Supply of Product.</w:t>
      </w:r>
    </w:p>
    <w:p>
      <w:pPr>
        <w:spacing w:after="0" w:line="212" w:lineRule="exact"/>
        <w:rPr>
          <w:sz w:val="20"/>
          <w:szCs w:val="20"/>
          <w:color w:val="auto"/>
        </w:rPr>
      </w:pPr>
    </w:p>
    <w:p>
      <w:pPr>
        <w:jc w:val="both"/>
        <w:ind w:left="660" w:hanging="323"/>
        <w:spacing w:after="0"/>
        <w:rPr>
          <w:sz w:val="20"/>
          <w:szCs w:val="20"/>
          <w:color w:val="auto"/>
        </w:rPr>
      </w:pPr>
      <w:r>
        <w:rPr>
          <w:rFonts w:ascii="Arial" w:cs="Arial" w:eastAsia="Arial" w:hAnsi="Arial"/>
          <w:sz w:val="18"/>
          <w:szCs w:val="18"/>
          <w:color w:val="auto"/>
        </w:rPr>
        <w:t>2.1.1</w:t>
      </w:r>
      <w:r>
        <w:rPr>
          <w:sz w:val="20"/>
          <w:szCs w:val="20"/>
          <w:color w:val="auto"/>
        </w:rPr>
        <w:t xml:space="preserve"> </w:t>
      </w:r>
      <w:r>
        <w:rPr>
          <w:rFonts w:ascii="Arial" w:cs="Arial" w:eastAsia="Arial" w:hAnsi="Arial"/>
          <w:sz w:val="18"/>
          <w:szCs w:val="18"/>
          <w:color w:val="auto"/>
        </w:rPr>
        <w:t>During the Term, Hamilton shall supply Buyer with those quantities of Product ordered by Buyer pursuant to this Agreement, subject to the ordering procedures set forth in section 2.5 below. Each Product sold hereunder will conform to the Specifications for such Product.</w:t>
      </w:r>
    </w:p>
    <w:p>
      <w:pPr>
        <w:spacing w:after="0" w:line="203" w:lineRule="exact"/>
        <w:rPr>
          <w:sz w:val="20"/>
          <w:szCs w:val="20"/>
          <w:color w:val="auto"/>
        </w:rPr>
      </w:pPr>
    </w:p>
    <w:p>
      <w:pPr>
        <w:jc w:val="both"/>
        <w:ind w:left="660" w:hanging="323"/>
        <w:spacing w:after="0"/>
        <w:rPr>
          <w:sz w:val="20"/>
          <w:szCs w:val="20"/>
          <w:color w:val="auto"/>
        </w:rPr>
      </w:pPr>
      <w:r>
        <w:rPr>
          <w:rFonts w:ascii="Arial" w:cs="Arial" w:eastAsia="Arial" w:hAnsi="Arial"/>
          <w:sz w:val="18"/>
          <w:szCs w:val="18"/>
          <w:color w:val="auto"/>
        </w:rPr>
        <w:t>2.1.2</w:t>
      </w:r>
      <w:r>
        <w:rPr>
          <w:sz w:val="20"/>
          <w:szCs w:val="20"/>
          <w:color w:val="auto"/>
        </w:rPr>
        <w:t xml:space="preserve"> </w:t>
      </w:r>
      <w:r>
        <w:rPr>
          <w:rFonts w:ascii="Arial" w:cs="Arial" w:eastAsia="Arial" w:hAnsi="Arial"/>
          <w:sz w:val="18"/>
          <w:szCs w:val="18"/>
          <w:color w:val="auto"/>
        </w:rPr>
        <w:t>Buyer may request at any time by written notice to change any one or more of the following: (a) method of packaging; (b) carrier; or (c) place and/or time of delivery, subject to section 2.5.3. Hamilton shall accept and implement such changes as soon as reasonably practical at Buyer’s expense.</w:t>
      </w:r>
    </w:p>
    <w:p>
      <w:pPr>
        <w:spacing w:after="0" w:line="203" w:lineRule="exact"/>
        <w:rPr>
          <w:sz w:val="20"/>
          <w:szCs w:val="20"/>
          <w:color w:val="auto"/>
        </w:rPr>
      </w:pPr>
    </w:p>
    <w:p>
      <w:pPr>
        <w:jc w:val="both"/>
        <w:ind w:left="660" w:hanging="323"/>
        <w:spacing w:after="0" w:line="238" w:lineRule="auto"/>
        <w:rPr>
          <w:sz w:val="20"/>
          <w:szCs w:val="20"/>
          <w:color w:val="auto"/>
        </w:rPr>
      </w:pPr>
      <w:r>
        <w:rPr>
          <w:rFonts w:ascii="Arial" w:cs="Arial" w:eastAsia="Arial" w:hAnsi="Arial"/>
          <w:sz w:val="18"/>
          <w:szCs w:val="18"/>
          <w:color w:val="auto"/>
        </w:rPr>
        <w:t>2.1.3</w:t>
      </w:r>
      <w:r>
        <w:rPr>
          <w:sz w:val="20"/>
          <w:szCs w:val="20"/>
          <w:color w:val="auto"/>
        </w:rPr>
        <w:t xml:space="preserve"> </w:t>
      </w:r>
      <w:r>
        <w:rPr>
          <w:rFonts w:ascii="Arial" w:cs="Arial" w:eastAsia="Arial" w:hAnsi="Arial"/>
          <w:sz w:val="18"/>
          <w:szCs w:val="18"/>
          <w:color w:val="auto"/>
        </w:rPr>
        <w:t>Hamilton may subcontract or delegate any portion (but not all) of its obligations under this Agreement, provided that Hamilton shall (a) ensure that each subcontractor has and maintains all appropriate qualifications, and (b) be responsible for each subcontractor’s performance hereunder (including performance or non-performance by such subcontractor that would constitute a breach of this Agreement if conducted by Hamilton) as if Hamilton were itself performing such activities.</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Prices.</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prices for Products sold by Hamilton to Buyer during the Term are as set forth in the applicable Project Work Scope Schedule and subject to adjustment only as expressly provided herein. Such prices shall include all of Hamilton’s costs of normal packaging, labeling and testing in accordance with the Specifications. The price for Product does not include any shipping, freight, insurance or tax (other than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67" w:name="page368"/>
    <w:bookmarkEnd w:id="367"/>
    <w:p>
      <w:pPr>
        <w:ind w:left="660"/>
        <w:spacing w:after="0" w:line="246" w:lineRule="auto"/>
        <w:rPr>
          <w:sz w:val="20"/>
          <w:szCs w:val="20"/>
          <w:color w:val="auto"/>
        </w:rPr>
      </w:pPr>
      <w:r>
        <w:rPr>
          <w:rFonts w:ascii="Arial" w:cs="Arial" w:eastAsia="Arial" w:hAnsi="Arial"/>
          <w:sz w:val="18"/>
          <w:szCs w:val="18"/>
          <w:color w:val="auto"/>
        </w:rPr>
        <w:t>taxes on Hamilton’s income). Such shipping, freight, insurance, and tax expenses shall, to the extent incurred by Hamilton, be invoiced separately by Hamilton and borne by Buyer.</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Price Adjustments.</w:t>
      </w:r>
    </w:p>
    <w:p>
      <w:pPr>
        <w:spacing w:after="0" w:line="212"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18"/>
          <w:szCs w:val="18"/>
          <w:color w:val="auto"/>
        </w:rPr>
        <w:t>2.3.1</w:t>
      </w:r>
      <w:r>
        <w:rPr>
          <w:sz w:val="20"/>
          <w:szCs w:val="20"/>
          <w:color w:val="auto"/>
        </w:rPr>
        <w:t xml:space="preserve"> </w:t>
      </w:r>
      <w:r>
        <w:rPr>
          <w:rFonts w:ascii="Arial" w:cs="Arial" w:eastAsia="Arial" w:hAnsi="Arial"/>
          <w:sz w:val="18"/>
          <w:szCs w:val="18"/>
          <w:color w:val="auto"/>
        </w:rPr>
        <w:t>Annual Adjustments. Prices will be in effect and fixed for the duration of the Initial Term. Not later than 90 days prior to the beginning of the Extended Term, Hamilton may provide to Buyer an updated price list effective for the Extended Term to the extent reflecting actual changes to Hamilton’s list pricing for Products (which updated pricing, for clarity, shall be subject to the discounting described in this section 2.3 below). No later than 30 days prior to the beginning of the Extended Term, the relevant Exhibit(s) shall be amended and signed by both Parties to reflect any agreed price changes. A price change will not affect Purchase Orders placed by Buyer during the Initial Term.</w:t>
      </w:r>
    </w:p>
    <w:p>
      <w:pPr>
        <w:spacing w:after="0" w:line="205" w:lineRule="exact"/>
        <w:rPr>
          <w:sz w:val="20"/>
          <w:szCs w:val="20"/>
          <w:color w:val="auto"/>
        </w:rPr>
      </w:pPr>
    </w:p>
    <w:p>
      <w:pPr>
        <w:jc w:val="both"/>
        <w:ind w:left="660" w:hanging="323"/>
        <w:spacing w:after="0" w:line="235" w:lineRule="auto"/>
        <w:rPr>
          <w:sz w:val="20"/>
          <w:szCs w:val="20"/>
          <w:color w:val="auto"/>
        </w:rPr>
      </w:pPr>
      <w:r>
        <w:rPr>
          <w:rFonts w:ascii="Arial" w:cs="Arial" w:eastAsia="Arial" w:hAnsi="Arial"/>
          <w:sz w:val="18"/>
          <w:szCs w:val="18"/>
          <w:color w:val="auto"/>
        </w:rPr>
        <w:t>2.3.2</w:t>
      </w:r>
      <w:r>
        <w:rPr>
          <w:sz w:val="20"/>
          <w:szCs w:val="20"/>
          <w:color w:val="auto"/>
        </w:rPr>
        <w:t xml:space="preserve"> </w:t>
      </w:r>
      <w:r>
        <w:rPr>
          <w:rFonts w:ascii="Arial" w:cs="Arial" w:eastAsia="Arial" w:hAnsi="Arial"/>
          <w:sz w:val="18"/>
          <w:szCs w:val="18"/>
          <w:color w:val="auto"/>
        </w:rPr>
        <w:t>Tier Levels for Instrument purchases. The price for Instruments will be discounted as set forth in the applicable Project Work Scope Schedule based upon the cumulative number of Instruments ordered by Buyer over each 12-month period commencing on the first day of the Quarter during which Commercial Launch occurs, provided that Instruments ordered by Buyer prior to the first day of such Quarter will be deemed, for purposes of this section 2.3.2, to have been ordered during the first such 12-month period. The discount will initially be calculated based on Buyer’s Initial Forecast or Rolling Forecast, as applicable, for such 12-month period. If Buyer orders fewer Instruments than forecasted during the applicable 12-month period the discount will be recalculated to the appropriate tier for the number of Instruments ordered in such 12-month period, and Buyer will be required to pay Hamilton the difference between the discount taken and the discount earned. If Buyer orders more Instruments than forecasted during the applicable 12-month period, the discount will be recalculated to the appropriate tier for the number of Instruments ordered in such 12-month period, but Hamilton will not be required to credit or refund Buyer the difference between the discount taken and the discount earned for orders previously completed during such 12-month period. For example, with respect to a 12-month period, if Buyer estimated in its Rolling Forecast that it will order [***] Instruments, Buyer will be charged [***] pricing for each Instrument ordered by Buyer during such 12-month period ([***] units x $[***] per unit, $[***]). If Buyer actually ordered [***] units in aggregate during such 12-month period, the pricing will be adjusted to [***] pricing for each Instrument ordered by Buyer during such 12-month period, and Buyer will pay to Hamilton the difference ([***] units x $[***] per unit, $[***]).</w:t>
      </w:r>
    </w:p>
    <w:p>
      <w:pPr>
        <w:spacing w:after="0" w:line="213"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18"/>
          <w:szCs w:val="18"/>
          <w:color w:val="auto"/>
        </w:rPr>
        <w:t>2.3.3</w:t>
      </w:r>
      <w:r>
        <w:rPr>
          <w:sz w:val="20"/>
          <w:szCs w:val="20"/>
          <w:color w:val="auto"/>
        </w:rPr>
        <w:t xml:space="preserve"> </w:t>
      </w:r>
      <w:r>
        <w:rPr>
          <w:rFonts w:ascii="Arial" w:cs="Arial" w:eastAsia="Arial" w:hAnsi="Arial"/>
          <w:sz w:val="18"/>
          <w:szCs w:val="18"/>
          <w:color w:val="auto"/>
        </w:rPr>
        <w:t>Tier Levels for disposable tip purchases. The price for disposable tips will be discounted as set forth in the applicable Project Work Scope Schedule based upon the cumulative number of disposable tip cases ordered by Buyer over each 12-month period commencing on the first day of the Quarter during which Commercial Launch occurs, provided that disposable tip cases ordered by Buyer prior to the first day of such Quarter will be deemed, for purposes of this section 2.3.3, to have been ordered during the first such 12-month period. The discount will initially be calculated based on Buyer’s Initial Forecast or Rolling Forecast, as applicable, for such 12-month period. If Buyer orders fewer disposable tip cases than forecasted during the applicable 12-month period the discount will be recalculated to the appropriate tier for the number of disposable tip cases ordered in such 12 month period, and Buyer will be required to pay Hamilton the difference between the discount taken and the discount earned. If Buyer orders more disposable tip cases than forecasted during the applicable 12-month period the discount will be recalculated to the appropriate tier for the number of disposable cases ordered in such 12 month period, but Hamilton will not be required to credit or refund Buyer the difference between the discount taken and the discount earned for orders previously completed during such 12-month period.</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Forecasts.</w:t>
      </w:r>
    </w:p>
    <w:p>
      <w:pPr>
        <w:spacing w:after="0" w:line="212"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No later than one Quarter prior to Commercial Launch, Buyer shall provide Hamilton with Buyer’s anticipated number of Instruments and Consumables that Buyer plans to purchase for the 12-month period commencing on the first day of such Quarter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Thereafter, at least 60 calendar days prior to the beginning of each fiscal Quarter (i.e. by the first day of May, August,</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and February) the Buyer will provide an update of Buyer’s anticipated number of Instruments and Consumables for the 12-month period beginning on the first day of the Quarter for which the forecast is applicable ("</w:t>
      </w:r>
      <w:r>
        <w:rPr>
          <w:rFonts w:ascii="Arial" w:cs="Arial" w:eastAsia="Arial" w:hAnsi="Arial"/>
          <w:sz w:val="18"/>
          <w:szCs w:val="18"/>
          <w:b w:val="1"/>
          <w:bCs w:val="1"/>
          <w:color w:val="auto"/>
        </w:rPr>
        <w:t>Rolling Forecast</w:t>
      </w:r>
      <w:r>
        <w:rPr>
          <w:rFonts w:ascii="Arial" w:cs="Arial" w:eastAsia="Arial" w:hAnsi="Arial"/>
          <w:sz w:val="18"/>
          <w:szCs w:val="18"/>
          <w:color w:val="auto"/>
        </w:rPr>
        <w:t>"). Such Rolling Forecasts shall be prepared in good faith by Buyer in order to facilitate Hamilton’s timely manufacture according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68" w:name="page369"/>
    <w:bookmarkEnd w:id="368"/>
    <w:p>
      <w:pPr>
        <w:jc w:val="both"/>
        <w:ind w:left="660"/>
        <w:spacing w:after="0"/>
        <w:rPr>
          <w:sz w:val="20"/>
          <w:szCs w:val="20"/>
          <w:color w:val="auto"/>
        </w:rPr>
      </w:pPr>
      <w:r>
        <w:rPr>
          <w:rFonts w:ascii="Arial" w:cs="Arial" w:eastAsia="Arial" w:hAnsi="Arial"/>
          <w:sz w:val="18"/>
          <w:szCs w:val="18"/>
          <w:color w:val="auto"/>
        </w:rPr>
        <w:t>Except as expressly provided herein, the number of Instruments and Consumables included in the Initial Forecast and each Rolling Forecast shall be non-binding on the Parties and will be provided for planning purposes only, provided that Buyer shall attempt to make each forecast as accurate as reasonably possible.</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Orders.</w:t>
      </w:r>
    </w:p>
    <w:p>
      <w:pPr>
        <w:spacing w:after="0" w:line="212"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18"/>
          <w:szCs w:val="18"/>
          <w:color w:val="auto"/>
        </w:rPr>
        <w:t>2.5.1</w:t>
      </w:r>
      <w:r>
        <w:rPr>
          <w:sz w:val="20"/>
          <w:szCs w:val="20"/>
          <w:color w:val="auto"/>
        </w:rPr>
        <w:t xml:space="preserve"> </w:t>
      </w:r>
      <w:r>
        <w:rPr>
          <w:rFonts w:ascii="Arial" w:cs="Arial" w:eastAsia="Arial" w:hAnsi="Arial"/>
          <w:sz w:val="18"/>
          <w:szCs w:val="18"/>
          <w:color w:val="auto"/>
        </w:rPr>
        <w:t>Subject to section 2.5.4, Buyer shall place orders directly to Hamilton, and not through a third party, for Product by written or electronic Purchase Order. Such Purchase Orders shall set forth the desired date of delivery with respect to the Products ordered and shall be placed in accordance with the Product lead-time stated in the Project Work Scope Schedule(s). A Purchase Order will be deemed accepted by Hamilton upon the first of the following to occur: (a) Hamilton making, signing, or delivering to Buyer any letter, form, or other writing or instrument acknowledging acceptance of the Purchase Order, (b) any performance by Hamilton under the Purchase Order; or (c) Hamilton failing to make, sign or deliver any letter, form or other writing or instrument rejecting the Purchase Order within 10 business days of receipt. Once accepted (or deemed accepted), a Purchase Order will be binding upon the Parties.</w:t>
      </w:r>
    </w:p>
    <w:p>
      <w:pPr>
        <w:spacing w:after="0" w:line="208"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18"/>
          <w:szCs w:val="18"/>
          <w:color w:val="auto"/>
        </w:rPr>
        <w:t>2.5.2</w:t>
      </w:r>
      <w:r>
        <w:rPr>
          <w:sz w:val="20"/>
          <w:szCs w:val="20"/>
          <w:color w:val="auto"/>
        </w:rPr>
        <w:t xml:space="preserve"> </w:t>
      </w:r>
      <w:r>
        <w:rPr>
          <w:rFonts w:ascii="Arial" w:cs="Arial" w:eastAsia="Arial" w:hAnsi="Arial"/>
          <w:sz w:val="18"/>
          <w:szCs w:val="18"/>
          <w:color w:val="auto"/>
        </w:rPr>
        <w:t>Hamilton agrees to accept blanket Purchase Orders for Products, which Buyer may cancel upon 60 days’ written notice to Hamilton. Notwithstanding the foregoing, Buyer shall be obligated to purchase any finished Product or Raw Material that Hamilton has completed or ordered, as applicable, in furtherance of providing the Products ordered by Buyer pursuant to any blanket Purchase Order prior to the date Hamilton receives such notice of cancellation from Buyer. Hamilton shall use commercially reasonable efforts to mitigate expenses related to any such cancellation by Buyer. For clarity, manufacturing of Instruments against a blanket Purchase Order will not occur until Buyer provides required delivery dates (allowing for Product lead times).</w:t>
      </w:r>
    </w:p>
    <w:p>
      <w:pPr>
        <w:spacing w:after="0" w:line="205" w:lineRule="exact"/>
        <w:rPr>
          <w:sz w:val="20"/>
          <w:szCs w:val="20"/>
          <w:color w:val="auto"/>
        </w:rPr>
      </w:pPr>
    </w:p>
    <w:p>
      <w:pPr>
        <w:jc w:val="both"/>
        <w:ind w:left="660" w:right="20" w:hanging="323"/>
        <w:spacing w:after="0" w:line="246" w:lineRule="auto"/>
        <w:rPr>
          <w:sz w:val="20"/>
          <w:szCs w:val="20"/>
          <w:color w:val="auto"/>
        </w:rPr>
      </w:pPr>
      <w:r>
        <w:rPr>
          <w:rFonts w:ascii="Arial" w:cs="Arial" w:eastAsia="Arial" w:hAnsi="Arial"/>
          <w:sz w:val="18"/>
          <w:szCs w:val="18"/>
          <w:color w:val="auto"/>
        </w:rPr>
        <w:t>2.5.3</w:t>
      </w:r>
      <w:r>
        <w:rPr>
          <w:sz w:val="20"/>
          <w:szCs w:val="20"/>
          <w:color w:val="auto"/>
        </w:rPr>
        <w:t xml:space="preserve"> </w:t>
      </w:r>
      <w:r>
        <w:rPr>
          <w:rFonts w:ascii="Arial" w:cs="Arial" w:eastAsia="Arial" w:hAnsi="Arial"/>
          <w:sz w:val="18"/>
          <w:szCs w:val="18"/>
          <w:color w:val="auto"/>
        </w:rPr>
        <w:t>Buyer may, at any time prior to shipment, request to change the delivery schedule of ordered Instruments upon notice to Hamilton. Such change requests may only be made once per Quarter.</w:t>
      </w:r>
    </w:p>
    <w:p>
      <w:pPr>
        <w:spacing w:after="0" w:line="197" w:lineRule="exact"/>
        <w:rPr>
          <w:sz w:val="20"/>
          <w:szCs w:val="20"/>
          <w:color w:val="auto"/>
        </w:rPr>
      </w:pPr>
    </w:p>
    <w:p>
      <w:pPr>
        <w:jc w:val="both"/>
        <w:ind w:left="660" w:right="20" w:hanging="323"/>
        <w:spacing w:after="0"/>
        <w:rPr>
          <w:sz w:val="20"/>
          <w:szCs w:val="20"/>
          <w:color w:val="auto"/>
        </w:rPr>
      </w:pPr>
      <w:r>
        <w:rPr>
          <w:rFonts w:ascii="Arial" w:cs="Arial" w:eastAsia="Arial" w:hAnsi="Arial"/>
          <w:sz w:val="18"/>
          <w:szCs w:val="18"/>
          <w:color w:val="auto"/>
        </w:rPr>
        <w:t>2.5.4</w:t>
      </w:r>
      <w:r>
        <w:rPr>
          <w:sz w:val="20"/>
          <w:szCs w:val="20"/>
          <w:color w:val="auto"/>
        </w:rPr>
        <w:t xml:space="preserve"> </w:t>
      </w:r>
      <w:r>
        <w:rPr>
          <w:rFonts w:ascii="Arial" w:cs="Arial" w:eastAsia="Arial" w:hAnsi="Arial"/>
          <w:sz w:val="18"/>
          <w:szCs w:val="18"/>
          <w:color w:val="auto"/>
        </w:rPr>
        <w:t>Notwithstanding anything to the contrary in this Agreement, Hamilton will accept and fulfill Consumable orders placed by Buyer’s customers directly with Hamilton. Buyer will not be responsible for orders placed by its customers, and Hamilton’s recourse for non-payment will solely be against such customers and not against Buyer.</w:t>
      </w:r>
    </w:p>
    <w:p>
      <w:pPr>
        <w:spacing w:after="0" w:line="203" w:lineRule="exact"/>
        <w:rPr>
          <w:sz w:val="20"/>
          <w:szCs w:val="20"/>
          <w:color w:val="auto"/>
        </w:rPr>
      </w:pPr>
    </w:p>
    <w:p>
      <w:pPr>
        <w:jc w:val="both"/>
        <w:ind w:left="660" w:hanging="323"/>
        <w:spacing w:after="0" w:line="246" w:lineRule="auto"/>
        <w:rPr>
          <w:sz w:val="20"/>
          <w:szCs w:val="20"/>
          <w:color w:val="auto"/>
        </w:rPr>
      </w:pPr>
      <w:r>
        <w:rPr>
          <w:rFonts w:ascii="Arial" w:cs="Arial" w:eastAsia="Arial" w:hAnsi="Arial"/>
          <w:sz w:val="18"/>
          <w:szCs w:val="18"/>
          <w:color w:val="auto"/>
        </w:rPr>
        <w:t>2.5.5</w:t>
      </w:r>
      <w:r>
        <w:rPr>
          <w:sz w:val="20"/>
          <w:szCs w:val="20"/>
          <w:color w:val="auto"/>
        </w:rPr>
        <w:t xml:space="preserve"> </w:t>
      </w:r>
      <w:r>
        <w:rPr>
          <w:rFonts w:ascii="Arial" w:cs="Arial" w:eastAsia="Arial" w:hAnsi="Arial"/>
          <w:sz w:val="18"/>
          <w:szCs w:val="18"/>
          <w:color w:val="auto"/>
        </w:rPr>
        <w:t>Hamilton will accept and fill Purchase Orders up to 115% of the forecasted quantities by Buyer and use commercially reasonable efforts to supply additional Products ordered in excess of 115% of the forecasted quantities by Buyer.</w:t>
      </w:r>
    </w:p>
    <w:p>
      <w:pPr>
        <w:spacing w:after="0" w:line="197" w:lineRule="exact"/>
        <w:rPr>
          <w:sz w:val="20"/>
          <w:szCs w:val="20"/>
          <w:color w:val="auto"/>
        </w:rPr>
      </w:pPr>
    </w:p>
    <w:p>
      <w:pPr>
        <w:jc w:val="both"/>
        <w:ind w:left="660" w:right="20" w:hanging="323"/>
        <w:spacing w:after="0" w:line="246" w:lineRule="auto"/>
        <w:rPr>
          <w:sz w:val="20"/>
          <w:szCs w:val="20"/>
          <w:color w:val="auto"/>
        </w:rPr>
      </w:pPr>
      <w:r>
        <w:rPr>
          <w:rFonts w:ascii="Arial" w:cs="Arial" w:eastAsia="Arial" w:hAnsi="Arial"/>
          <w:sz w:val="18"/>
          <w:szCs w:val="18"/>
          <w:color w:val="auto"/>
        </w:rPr>
        <w:t>2.5.6</w:t>
      </w:r>
      <w:r>
        <w:rPr>
          <w:sz w:val="20"/>
          <w:szCs w:val="20"/>
          <w:color w:val="auto"/>
        </w:rPr>
        <w:t xml:space="preserve"> </w:t>
      </w:r>
      <w:r>
        <w:rPr>
          <w:rFonts w:ascii="Arial" w:cs="Arial" w:eastAsia="Arial" w:hAnsi="Arial"/>
          <w:sz w:val="18"/>
          <w:szCs w:val="18"/>
          <w:color w:val="auto"/>
        </w:rPr>
        <w:t>From time to time prior to Commercial Launch, Buyer may place orders, and Hamilton shall accept such orders, for manufacture and supply of beta prototype instruments, all on the terms and conditions of this Agreement.</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Performance of Engineering Services.</w:t>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Hamilton agrees to perform the non-recurring engineering (NRE) and other services described in each Project Work Scope Schedule and deliver to Buyer all deliverables in accordance with all Applicable Laws and the respective specifications, schedules and other criteria described in such Project Work Scope Schedule. For clarity, Hamilton shall perform such services at its facility in Reno, Nevada except as expressly set forth in the applicable Project Work Scope Schedule or otherwise mutually agreed in writing by the Parties. Buyer shall remit payment of any applicable fees within 45 days of the date of receipt of an applicable invoice from Hamilton following performance.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3 - PAYMENT AND DELIVERY</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Payment Terms.</w:t>
      </w:r>
    </w:p>
    <w:p>
      <w:pPr>
        <w:spacing w:after="0" w:line="212" w:lineRule="exact"/>
        <w:rPr>
          <w:sz w:val="20"/>
          <w:szCs w:val="20"/>
          <w:color w:val="auto"/>
        </w:rPr>
      </w:pPr>
    </w:p>
    <w:p>
      <w:pPr>
        <w:ind w:left="660" w:right="440" w:hanging="323"/>
        <w:spacing w:after="0" w:line="246" w:lineRule="auto"/>
        <w:rPr>
          <w:sz w:val="20"/>
          <w:szCs w:val="20"/>
          <w:color w:val="auto"/>
        </w:rPr>
      </w:pPr>
      <w:r>
        <w:rPr>
          <w:rFonts w:ascii="Arial" w:cs="Arial" w:eastAsia="Arial" w:hAnsi="Arial"/>
          <w:sz w:val="18"/>
          <w:szCs w:val="18"/>
          <w:color w:val="auto"/>
        </w:rPr>
        <w:t>3.1.1</w:t>
      </w:r>
      <w:r>
        <w:rPr>
          <w:sz w:val="20"/>
          <w:szCs w:val="20"/>
          <w:color w:val="auto"/>
        </w:rPr>
        <w:t xml:space="preserve"> </w:t>
      </w:r>
      <w:r>
        <w:rPr>
          <w:rFonts w:ascii="Arial" w:cs="Arial" w:eastAsia="Arial" w:hAnsi="Arial"/>
          <w:sz w:val="18"/>
          <w:szCs w:val="18"/>
          <w:color w:val="auto"/>
        </w:rPr>
        <w:t>Hamilton shall send Buyer an invoice for all Product purchases to Buyer’s address set forth on the front of an applicable Purchase Order. Such invoices shall be dated and sent no earlier than the date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69" w:name="page370"/>
    <w:bookmarkEnd w:id="369"/>
    <w:p>
      <w:pPr>
        <w:jc w:val="both"/>
        <w:ind w:left="660"/>
        <w:spacing w:after="0" w:line="227" w:lineRule="auto"/>
        <w:rPr>
          <w:sz w:val="20"/>
          <w:szCs w:val="20"/>
          <w:color w:val="auto"/>
        </w:rPr>
      </w:pPr>
      <w:r>
        <w:rPr>
          <w:rFonts w:ascii="Arial" w:cs="Arial" w:eastAsia="Arial" w:hAnsi="Arial"/>
          <w:sz w:val="18"/>
          <w:szCs w:val="18"/>
          <w:color w:val="auto"/>
        </w:rPr>
        <w:t>shipment. Provided that the Products delivered comply with the terms of this Agreement, Buyer shall pay in U.S. dollars the amount shown on such invoice. Buyer shall remit payment to Hamilton (i) within days of the date of receipt of an applicable invoice (Net 45) until Buyer has achieved “Tier 2” pricing with respect to Instruments (i.e., ordered [***] units), and (ii) thereafter, within 60 days of the date of receipt of an applicable invoice (Net 60). Buyer shall make payments by check, or electronic transfer of funds.</w:t>
      </w:r>
    </w:p>
    <w:p>
      <w:pPr>
        <w:spacing w:after="0" w:line="189" w:lineRule="exact"/>
        <w:rPr>
          <w:sz w:val="20"/>
          <w:szCs w:val="20"/>
          <w:color w:val="auto"/>
        </w:rPr>
      </w:pPr>
    </w:p>
    <w:p>
      <w:pPr>
        <w:jc w:val="both"/>
        <w:ind w:left="660" w:hanging="323"/>
        <w:spacing w:after="0" w:line="225" w:lineRule="auto"/>
        <w:rPr>
          <w:sz w:val="20"/>
          <w:szCs w:val="20"/>
          <w:color w:val="auto"/>
        </w:rPr>
      </w:pPr>
      <w:r>
        <w:rPr>
          <w:rFonts w:ascii="Arial" w:cs="Arial" w:eastAsia="Arial" w:hAnsi="Arial"/>
          <w:sz w:val="18"/>
          <w:szCs w:val="18"/>
          <w:color w:val="auto"/>
        </w:rPr>
        <w:t>3.1.2</w:t>
      </w:r>
      <w:r>
        <w:rPr>
          <w:sz w:val="20"/>
          <w:szCs w:val="20"/>
          <w:color w:val="auto"/>
        </w:rPr>
        <w:t xml:space="preserve"> </w:t>
      </w:r>
      <w:r>
        <w:rPr>
          <w:rFonts w:ascii="Arial" w:cs="Arial" w:eastAsia="Arial" w:hAnsi="Arial"/>
          <w:sz w:val="18"/>
          <w:szCs w:val="18"/>
          <w:color w:val="auto"/>
        </w:rPr>
        <w:t>Buyer shall pay interest on all undisputed late payments at the lesser of the rate of one percent (1%) per month or the highest rate permissible under applicable law, calculated daily and compounded monthly from the date payment was due. In addition to all other remedies available under this Agreement or at law (which Hamilton does not waive by the exercise of any rights hereunder), Hamilton shall be entitled to suspend the delivery of any Product if Buyer fails to pay any undisputed amounts when due hereunder and such failure continues for 10 business days following Buyer’s receipt of written notice thereof.</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Delivery.</w:t>
      </w:r>
    </w:p>
    <w:p>
      <w:pPr>
        <w:spacing w:after="0" w:line="198" w:lineRule="exact"/>
        <w:rPr>
          <w:sz w:val="20"/>
          <w:szCs w:val="20"/>
          <w:color w:val="auto"/>
        </w:rPr>
      </w:pPr>
    </w:p>
    <w:p>
      <w:pPr>
        <w:jc w:val="both"/>
        <w:ind w:left="660" w:hanging="323"/>
        <w:spacing w:after="0" w:line="222" w:lineRule="auto"/>
        <w:rPr>
          <w:sz w:val="20"/>
          <w:szCs w:val="20"/>
          <w:color w:val="auto"/>
        </w:rPr>
      </w:pPr>
      <w:r>
        <w:rPr>
          <w:rFonts w:ascii="Arial" w:cs="Arial" w:eastAsia="Arial" w:hAnsi="Arial"/>
          <w:sz w:val="18"/>
          <w:szCs w:val="18"/>
          <w:color w:val="auto"/>
        </w:rPr>
        <w:t>3.2.1</w:t>
      </w:r>
      <w:r>
        <w:rPr>
          <w:sz w:val="20"/>
          <w:szCs w:val="20"/>
          <w:color w:val="auto"/>
        </w:rPr>
        <w:t xml:space="preserve"> </w:t>
      </w:r>
      <w:r>
        <w:rPr>
          <w:rFonts w:ascii="Arial" w:cs="Arial" w:eastAsia="Arial" w:hAnsi="Arial"/>
          <w:sz w:val="18"/>
          <w:szCs w:val="18"/>
          <w:color w:val="auto"/>
        </w:rPr>
        <w:t>All Products shipped domestically (i.e., within the U.S.) shall be shipped to the location expressed on the Purchase Order, via FCA Hamilton’s manufacturing facility (INCOTERMS 2020). All Products shipped internationally shall be shipped to the location expressed on the Purchase Order, via Ex Works Hamilton’s manufacturing facility (INCOTERMS 2020). Hamilton shall (a) pack each of the Products in a manner suitable for export shipment, (b) arrange for shipment of the Products and (c) place the Products on a common carrier for shipment and shall promptly forward the full set of requisite shipping documents to Buyer. Accordingly, title to the Products and risk of loss thereof shall transfer to Buyer upon delivery to such common carrier. All shipments shall be accompanied by a packing slip that describes the Products, states the Purchase Order number, part number and quantity delivered and shows the shipment’s destination. Disposal of all packaging and packing materials is Buyer’s responsibility. For clarity, Hamilton shall manufacture Products solely at its facility in Reno, Nevada, except as expressly set forth in the applicable Project Work Scope Schedule or otherwise mutually agreed in writing by the Parties.</w:t>
      </w:r>
    </w:p>
    <w:p>
      <w:pPr>
        <w:spacing w:after="0" w:line="191" w:lineRule="exact"/>
        <w:rPr>
          <w:sz w:val="20"/>
          <w:szCs w:val="20"/>
          <w:color w:val="auto"/>
        </w:rPr>
      </w:pPr>
    </w:p>
    <w:p>
      <w:pPr>
        <w:jc w:val="both"/>
        <w:ind w:left="660" w:hanging="323"/>
        <w:spacing w:after="0" w:line="229" w:lineRule="auto"/>
        <w:rPr>
          <w:sz w:val="20"/>
          <w:szCs w:val="20"/>
          <w:color w:val="auto"/>
        </w:rPr>
      </w:pPr>
      <w:r>
        <w:rPr>
          <w:rFonts w:ascii="Arial" w:cs="Arial" w:eastAsia="Arial" w:hAnsi="Arial"/>
          <w:sz w:val="18"/>
          <w:szCs w:val="18"/>
          <w:color w:val="auto"/>
        </w:rPr>
        <w:t>3.2.2</w:t>
      </w:r>
      <w:r>
        <w:rPr>
          <w:sz w:val="20"/>
          <w:szCs w:val="20"/>
          <w:color w:val="auto"/>
        </w:rPr>
        <w:t xml:space="preserve"> </w:t>
      </w:r>
      <w:r>
        <w:rPr>
          <w:rFonts w:ascii="Arial" w:cs="Arial" w:eastAsia="Arial" w:hAnsi="Arial"/>
          <w:sz w:val="18"/>
          <w:szCs w:val="18"/>
          <w:color w:val="auto"/>
        </w:rPr>
        <w:t>In order for Hamilton to ensure that all Products are shipped timely, Buyer shall submit a completed Site Requirement form as referenced within Exhibit 5 to Hamilton at least 30 days prior to the delivery date. Failure to do so may cause a delay in shipping of Product, for which Hamilton shall not be liable.</w:t>
      </w:r>
    </w:p>
    <w:p>
      <w:pPr>
        <w:spacing w:after="0" w:line="191" w:lineRule="exact"/>
        <w:rPr>
          <w:sz w:val="20"/>
          <w:szCs w:val="20"/>
          <w:color w:val="auto"/>
        </w:rPr>
      </w:pPr>
    </w:p>
    <w:p>
      <w:pPr>
        <w:jc w:val="both"/>
        <w:ind w:left="660" w:hanging="323"/>
        <w:spacing w:after="0" w:line="235" w:lineRule="auto"/>
        <w:rPr>
          <w:sz w:val="20"/>
          <w:szCs w:val="20"/>
          <w:color w:val="auto"/>
        </w:rPr>
      </w:pPr>
      <w:r>
        <w:rPr>
          <w:rFonts w:ascii="Arial" w:cs="Arial" w:eastAsia="Arial" w:hAnsi="Arial"/>
          <w:sz w:val="18"/>
          <w:szCs w:val="18"/>
          <w:color w:val="auto"/>
        </w:rPr>
        <w:t>3.2.3</w:t>
      </w:r>
      <w:r>
        <w:rPr>
          <w:sz w:val="20"/>
          <w:szCs w:val="20"/>
          <w:color w:val="auto"/>
        </w:rPr>
        <w:t xml:space="preserve"> </w:t>
      </w:r>
      <w:r>
        <w:rPr>
          <w:rFonts w:ascii="Arial" w:cs="Arial" w:eastAsia="Arial" w:hAnsi="Arial"/>
          <w:sz w:val="18"/>
          <w:szCs w:val="18"/>
          <w:color w:val="auto"/>
        </w:rPr>
        <w:t>When assistance from third party riggers is required to assist with placement of Instruments the expense will, to the extent incurred by Hamilton, be added to the respective invoice and be the responsibility of Buyer.</w:t>
      </w:r>
    </w:p>
    <w:p>
      <w:pPr>
        <w:spacing w:after="0" w:line="189" w:lineRule="exact"/>
        <w:rPr>
          <w:sz w:val="20"/>
          <w:szCs w:val="20"/>
          <w:color w:val="auto"/>
        </w:rPr>
      </w:pPr>
    </w:p>
    <w:p>
      <w:pPr>
        <w:jc w:val="both"/>
        <w:ind w:left="660" w:hanging="323"/>
        <w:spacing w:after="0" w:line="219" w:lineRule="auto"/>
        <w:rPr>
          <w:sz w:val="20"/>
          <w:szCs w:val="20"/>
          <w:color w:val="auto"/>
        </w:rPr>
      </w:pPr>
      <w:r>
        <w:rPr>
          <w:rFonts w:ascii="Arial" w:cs="Arial" w:eastAsia="Arial" w:hAnsi="Arial"/>
          <w:sz w:val="18"/>
          <w:szCs w:val="18"/>
          <w:color w:val="auto"/>
        </w:rPr>
        <w:t>3.2.4</w:t>
      </w:r>
      <w:r>
        <w:rPr>
          <w:sz w:val="20"/>
          <w:szCs w:val="20"/>
          <w:color w:val="auto"/>
        </w:rPr>
        <w:t xml:space="preserve"> </w:t>
      </w:r>
      <w:r>
        <w:rPr>
          <w:rFonts w:ascii="Arial" w:cs="Arial" w:eastAsia="Arial" w:hAnsi="Arial"/>
          <w:sz w:val="18"/>
          <w:szCs w:val="18"/>
          <w:color w:val="auto"/>
        </w:rPr>
        <w:t>For shipments of Products requested by Buyer to be delayed by more than 60 days in accordance with section 2.5.3, the Parties agree that (a) as to Instruments, Buyer is permitted to reschedule shipment of up to two Instruments at no additional charge,</w:t>
      </w:r>
    </w:p>
    <w:p>
      <w:pPr>
        <w:jc w:val="both"/>
        <w:ind w:left="660" w:hanging="4"/>
        <w:spacing w:after="0" w:line="212" w:lineRule="auto"/>
        <w:tabs>
          <w:tab w:leader="none" w:pos="93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for each Instrument, Buyer shall be responsible to pay Hamilton a monthly storage fee of $[***] USD per unit that is not shipped on or by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and (c) as to Consumables, Buyer is permitted to reschedule shipment at no additional charge. Buyer shall remit payment of such charges applied in this section 3.2.4 (b) within 45 days of the date of receipt of an applicable invoice from Hamilton following the applicable storage.</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Installation, Qualification.</w:t>
      </w:r>
    </w:p>
    <w:p>
      <w:pPr>
        <w:spacing w:after="0" w:line="198"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Except as previously agreed in writing by Buyer, Hamilton shall be responsible for installing and qualifying each Instrument in accordance with the Specifications, Hamilton’s standard operating procedures (SOPs) and the applicable Project Scope Work Schedule. Such installation and qualification shall be at Buyer’s expense, except as otherwise mutually agreed in writing by the Parties. Payment for installation and qualification services (to the extent not included in Instrument pricing) will be due within 45 days from the date of Buyer’s receipt of an applicable invoice from Hamilton following such installation and qualification.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4 - TRAINING</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Technical Training.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16" w:right="339" w:bottom="1440" w:gutter="0" w:footer="0" w:header="0"/>
        </w:sectPr>
      </w:pPr>
    </w:p>
    <w:bookmarkStart w:id="370" w:name="page371"/>
    <w:bookmarkEnd w:id="370"/>
    <w:p>
      <w:pPr>
        <w:ind w:left="660" w:right="20" w:hanging="323"/>
        <w:spacing w:after="0" w:line="23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color w:val="auto"/>
        </w:rPr>
        <w:t xml:space="preserve">During the Term of this Agreement, Hamilton shall, at its expense, provide Buyer with one course per Product of basic user </w:t>
      </w:r>
      <w:r>
        <w:rPr>
          <w:rFonts w:ascii="Arial" w:cs="Arial" w:eastAsia="Arial" w:hAnsi="Arial"/>
          <w:sz w:val="18"/>
          <w:szCs w:val="18"/>
          <w:color w:val="auto"/>
          <w:highlight w:val="white"/>
        </w:rPr>
        <w:t>training for two of Buyer’s employees and one service training for two of Buyer’s employees who will be engaged in the technical support of the Product</w:t>
      </w:r>
      <w:r>
        <w:rPr>
          <w:rFonts w:ascii="Arial" w:cs="Arial" w:eastAsia="Arial" w:hAnsi="Arial"/>
          <w:sz w:val="18"/>
          <w:szCs w:val="18"/>
          <w:color w:val="666666"/>
          <w:highlight w:val="white"/>
        </w:rPr>
        <w:t>.</w:t>
      </w:r>
      <w:r>
        <w:rPr>
          <w:rFonts w:ascii="Arial" w:cs="Arial" w:eastAsia="Arial" w:hAnsi="Arial"/>
          <w:sz w:val="18"/>
          <w:szCs w:val="18"/>
          <w:color w:val="auto"/>
          <w:highlight w:val="white"/>
        </w:rPr>
        <w:t xml:space="preserve"> Training will be conducted at Hamilton's facility in Reno, NV or at Buyer's facility in Redwood City, CA as mutually agreed. If conducted at other than Hamilton's facility, Hamilton shall pay for the salary of its instructor(s) and Buyer shall pay all reasonable costs incurred by Hamilton's instructor(s) for travel and living expenses during the period of such training in accordance with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-777875</wp:posOffset>
            </wp:positionV>
            <wp:extent cx="6549390"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9390" cy="128270"/>
                    </a:xfrm>
                    <a:prstGeom prst="rect">
                      <a:avLst/>
                    </a:prstGeom>
                    <a:noFill/>
                  </pic:spPr>
                </pic:pic>
              </a:graphicData>
            </a:graphic>
          </wp:anchor>
        </w:drawing>
      </w:r>
    </w:p>
    <w:p>
      <w:pPr>
        <w:spacing w:after="0" w:line="185" w:lineRule="exact"/>
        <w:rPr>
          <w:sz w:val="20"/>
          <w:szCs w:val="20"/>
          <w:color w:val="auto"/>
        </w:rPr>
      </w:pPr>
    </w:p>
    <w:p>
      <w:pPr>
        <w:ind w:left="660" w:right="20" w:hanging="323"/>
        <w:spacing w:after="0" w:line="238" w:lineRule="auto"/>
        <w:rPr>
          <w:sz w:val="20"/>
          <w:szCs w:val="20"/>
          <w:color w:val="auto"/>
        </w:rPr>
      </w:pPr>
      <w:r>
        <w:rPr>
          <w:rFonts w:ascii="Arial" w:cs="Arial" w:eastAsia="Arial" w:hAnsi="Arial"/>
          <w:sz w:val="18"/>
          <w:szCs w:val="18"/>
          <w:color w:val="auto"/>
        </w:rPr>
        <w:t>4.1.2</w:t>
      </w:r>
      <w:r>
        <w:rPr>
          <w:sz w:val="20"/>
          <w:szCs w:val="20"/>
          <w:color w:val="auto"/>
        </w:rPr>
        <w:t xml:space="preserve"> </w:t>
      </w:r>
      <w:r>
        <w:rPr>
          <w:rFonts w:ascii="Arial" w:cs="Arial" w:eastAsia="Arial" w:hAnsi="Arial"/>
          <w:sz w:val="18"/>
          <w:szCs w:val="18"/>
          <w:color w:val="auto"/>
        </w:rPr>
        <w:t xml:space="preserve">At Buyer’s request, additional training courses will be offered to Buyer at Buyer’s expense in accordance with Exhibit 3. Such </w:t>
      </w:r>
      <w:r>
        <w:rPr>
          <w:rFonts w:ascii="Arial" w:cs="Arial" w:eastAsia="Arial" w:hAnsi="Arial"/>
          <w:sz w:val="18"/>
          <w:szCs w:val="18"/>
          <w:color w:val="auto"/>
          <w:highlight w:val="white"/>
        </w:rPr>
        <w:t>training shall cover in detail, the installation, configuration, operation, troubleshooting, adjustment, and test and maintenance of the Product. Hamilton shall provide a reasonable quantity of appropriate Product as training aids. When such classes are conducted at Buyer's facilities, Buyer shall provide one Instrument for every two trainees as well as required service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-520065</wp:posOffset>
            </wp:positionV>
            <wp:extent cx="690943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09435" cy="128905"/>
                    </a:xfrm>
                    <a:prstGeom prst="rect">
                      <a:avLst/>
                    </a:prstGeom>
                    <a:noFill/>
                  </pic:spPr>
                </pic:pic>
              </a:graphicData>
            </a:graphic>
          </wp:anchor>
        </w:drawing>
      </w:r>
    </w:p>
    <w:p>
      <w:pPr>
        <w:spacing w:after="0" w:line="185" w:lineRule="exact"/>
        <w:rPr>
          <w:sz w:val="20"/>
          <w:szCs w:val="20"/>
          <w:color w:val="auto"/>
        </w:rPr>
      </w:pPr>
    </w:p>
    <w:p>
      <w:pPr>
        <w:ind w:left="660" w:right="480" w:hanging="323"/>
        <w:spacing w:after="0" w:line="246" w:lineRule="auto"/>
        <w:rPr>
          <w:sz w:val="20"/>
          <w:szCs w:val="20"/>
          <w:color w:val="auto"/>
        </w:rPr>
      </w:pPr>
      <w:r>
        <w:rPr>
          <w:rFonts w:ascii="Arial" w:cs="Arial" w:eastAsia="Arial" w:hAnsi="Arial"/>
          <w:sz w:val="18"/>
          <w:szCs w:val="18"/>
          <w:color w:val="auto"/>
        </w:rPr>
        <w:t>4.1.3</w:t>
      </w:r>
      <w:r>
        <w:rPr>
          <w:sz w:val="20"/>
          <w:szCs w:val="20"/>
          <w:color w:val="auto"/>
        </w:rPr>
        <w:t xml:space="preserve"> </w:t>
      </w:r>
      <w:r>
        <w:rPr>
          <w:rFonts w:ascii="Arial" w:cs="Arial" w:eastAsia="Arial" w:hAnsi="Arial"/>
          <w:sz w:val="18"/>
          <w:szCs w:val="18"/>
          <w:color w:val="auto"/>
        </w:rPr>
        <w:t xml:space="preserve">Buyer is responsible to remit payment for training within 30 days of the date of receipt of an applicable invoice following </w:t>
      </w:r>
      <w:r>
        <w:rPr>
          <w:rFonts w:ascii="Arial" w:cs="Arial" w:eastAsia="Arial" w:hAnsi="Arial"/>
          <w:sz w:val="18"/>
          <w:szCs w:val="18"/>
          <w:color w:val="auto"/>
          <w:highlight w:val="white"/>
        </w:rPr>
        <w:t>completion of the applicable training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-267970</wp:posOffset>
            </wp:positionV>
            <wp:extent cx="636079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60795" cy="128905"/>
                    </a:xfrm>
                    <a:prstGeom prst="rect">
                      <a:avLst/>
                    </a:prstGeom>
                    <a:noFill/>
                  </pic:spPr>
                </pic:pic>
              </a:graphicData>
            </a:graphic>
          </wp:anchor>
        </w:drawing>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Training Materials.</w:t>
      </w:r>
    </w:p>
    <w:p>
      <w:pPr>
        <w:spacing w:after="0" w:line="212" w:lineRule="exact"/>
        <w:rPr>
          <w:sz w:val="20"/>
          <w:szCs w:val="20"/>
          <w:color w:val="auto"/>
        </w:rPr>
      </w:pPr>
    </w:p>
    <w:p>
      <w:pPr>
        <w:jc w:val="both"/>
        <w:ind w:left="660" w:hanging="323"/>
        <w:spacing w:after="0" w:line="238" w:lineRule="auto"/>
        <w:rPr>
          <w:sz w:val="20"/>
          <w:szCs w:val="20"/>
          <w:color w:val="auto"/>
        </w:rPr>
      </w:pPr>
      <w:r>
        <w:rPr>
          <w:rFonts w:ascii="Arial" w:cs="Arial" w:eastAsia="Arial" w:hAnsi="Arial"/>
          <w:sz w:val="18"/>
          <w:szCs w:val="18"/>
          <w:color w:val="auto"/>
        </w:rPr>
        <w:t>4.2.1</w:t>
      </w:r>
      <w:r>
        <w:rPr>
          <w:sz w:val="20"/>
          <w:szCs w:val="20"/>
          <w:color w:val="auto"/>
        </w:rPr>
        <w:t xml:space="preserve"> </w:t>
      </w:r>
      <w:r>
        <w:rPr>
          <w:rFonts w:ascii="Arial" w:cs="Arial" w:eastAsia="Arial" w:hAnsi="Arial"/>
          <w:sz w:val="18"/>
          <w:szCs w:val="18"/>
          <w:color w:val="auto"/>
        </w:rPr>
        <w:t xml:space="preserve">During the Term of this Agreement, Hamilton shall provide Buyer with all materials utilized to provide training in connection </w:t>
      </w:r>
      <w:r>
        <w:rPr>
          <w:rFonts w:ascii="Arial" w:cs="Arial" w:eastAsia="Arial" w:hAnsi="Arial"/>
          <w:sz w:val="18"/>
          <w:szCs w:val="18"/>
          <w:color w:val="auto"/>
          <w:highlight w:val="white"/>
        </w:rPr>
        <w:t>with the Products. Training materials shall include, but are not limited to, instructor guides, overheads, student workbooks, and manual/guides. Hamilton shall provide masters of such training materials in both hard copy and electronic media. Buyer is permitted to use such material in training Buyer's sales and support staff and its customers on the Products or as otherwise necessary or reasonably useful to exercise its rights or fulfill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-650240</wp:posOffset>
            </wp:positionV>
            <wp:extent cx="66694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9405" cy="128905"/>
                    </a:xfrm>
                    <a:prstGeom prst="rect">
                      <a:avLst/>
                    </a:prstGeom>
                    <a:noFill/>
                  </pic:spPr>
                </pic:pic>
              </a:graphicData>
            </a:graphic>
          </wp:anchor>
        </w:drawing>
      </w:r>
    </w:p>
    <w:p>
      <w:pPr>
        <w:spacing w:after="0" w:line="182" w:lineRule="exact"/>
        <w:rPr>
          <w:sz w:val="20"/>
          <w:szCs w:val="20"/>
          <w:color w:val="auto"/>
        </w:rPr>
      </w:pPr>
    </w:p>
    <w:p>
      <w:pPr>
        <w:jc w:val="both"/>
        <w:ind w:left="660" w:hanging="323"/>
        <w:spacing w:after="0" w:line="238" w:lineRule="auto"/>
        <w:rPr>
          <w:sz w:val="20"/>
          <w:szCs w:val="20"/>
          <w:color w:val="auto"/>
        </w:rPr>
      </w:pPr>
      <w:r>
        <w:rPr>
          <w:rFonts w:ascii="Arial" w:cs="Arial" w:eastAsia="Arial" w:hAnsi="Arial"/>
          <w:sz w:val="18"/>
          <w:szCs w:val="18"/>
          <w:color w:val="auto"/>
        </w:rPr>
        <w:t>4.2.2</w:t>
      </w:r>
      <w:r>
        <w:rPr>
          <w:sz w:val="20"/>
          <w:szCs w:val="20"/>
          <w:color w:val="auto"/>
        </w:rPr>
        <w:t xml:space="preserve"> </w:t>
      </w:r>
      <w:r>
        <w:rPr>
          <w:rFonts w:ascii="Arial" w:cs="Arial" w:eastAsia="Arial" w:hAnsi="Arial"/>
          <w:sz w:val="18"/>
          <w:szCs w:val="18"/>
          <w:color w:val="auto"/>
        </w:rPr>
        <w:t xml:space="preserve">Hamilton hereby grants to Buyer a royalty-free, non-exclusive, worldwide license to use, modify, create derivative works based upon, reproduce, display, demonstrate and distribute the training materials (whether modified or unmodified but excluding proprietary technical information relating to the Products) for course development use solely in connection with the Products </w:t>
      </w:r>
      <w:r>
        <w:rPr>
          <w:rFonts w:ascii="Arial" w:cs="Arial" w:eastAsia="Arial" w:hAnsi="Arial"/>
          <w:sz w:val="18"/>
          <w:szCs w:val="18"/>
          <w:color w:val="auto"/>
          <w:highlight w:val="white"/>
        </w:rPr>
        <w:t>distributed under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-520065</wp:posOffset>
            </wp:positionV>
            <wp:extent cx="6720840"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20840" cy="38608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5 - IMPROVEMENTS AND CHANGES TO THE PRODUCT</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Improvements.</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From time to time upon written notification, Buyer may request to modify the work in a related CRS or Project Work Scope Schedule (including but not limited to changes in the drawings, designs, Specifications and/or packaging of the Products) (“</w:t>
      </w:r>
      <w:r>
        <w:rPr>
          <w:rFonts w:ascii="Arial" w:cs="Arial" w:eastAsia="Arial" w:hAnsi="Arial"/>
          <w:sz w:val="18"/>
          <w:szCs w:val="18"/>
          <w:b w:val="1"/>
          <w:bCs w:val="1"/>
          <w:color w:val="auto"/>
        </w:rPr>
        <w:t>Change Order</w:t>
      </w:r>
      <w:r>
        <w:rPr>
          <w:rFonts w:ascii="Arial" w:cs="Arial" w:eastAsia="Arial" w:hAnsi="Arial"/>
          <w:sz w:val="18"/>
          <w:szCs w:val="18"/>
          <w:color w:val="auto"/>
        </w:rPr>
        <w:t>”). For clarity, Hamilton will not be required to perform work that is beyond the initial scope of work described in the Project Work Scope Schedule or CRS without an approved Change Order. Hamilton will use commercially reasonable efforts to approve a Change Order based on assessment of needs, risks, and resources. Hamilton reserves the right to charge Buyer for additional labor and expense in connection with a Change Order. Buyer will be responsible for additional labor, expense, and price increases that may occur due to any change to the Project Work Scope Schedule or CRS caused by inclusion of a Change Order, in each case solely to the extent previously approved in writing by Buyer.</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Critical Parts.</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From time to time during the Term, the Parties shall define a list of specific components/parts used in a Product that are considered critical to the functionality of Instrument performance or to safety, environmental or other governmental compliance of the Product, and shall update the applicable Project Work Scope Schedule (“</w:t>
      </w:r>
      <w:r>
        <w:rPr>
          <w:rFonts w:ascii="Arial" w:cs="Arial" w:eastAsia="Arial" w:hAnsi="Arial"/>
          <w:sz w:val="18"/>
          <w:szCs w:val="18"/>
          <w:b w:val="1"/>
          <w:bCs w:val="1"/>
          <w:color w:val="auto"/>
        </w:rPr>
        <w:t>Critical Parts</w:t>
      </w:r>
      <w:r>
        <w:rPr>
          <w:rFonts w:ascii="Arial" w:cs="Arial" w:eastAsia="Arial" w:hAnsi="Arial"/>
          <w:sz w:val="18"/>
          <w:szCs w:val="18"/>
          <w:color w:val="auto"/>
        </w:rPr>
        <w:t>”). As of the Effective Date, Critical Parts are listed on Exhibit 4.</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Change Notification.</w:t>
      </w:r>
    </w:p>
    <w:p>
      <w:pPr>
        <w:spacing w:after="0" w:line="21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highlight w:val="white"/>
        </w:rPr>
        <w:t>Hamilton shall not make any changes to Critical Parts without prior approval from Buyer except as outlined in Exhibit 4. Buyer has 90 days from the date of receipt of Hamilton’s notification therefor to (a) accept such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1" w:name="page372"/>
    <w:bookmarkEnd w:id="371"/>
    <w:p>
      <w:pPr>
        <w:jc w:val="both"/>
        <w:ind w:left="660"/>
        <w:spacing w:after="0" w:line="252" w:lineRule="auto"/>
        <w:rPr>
          <w:sz w:val="20"/>
          <w:szCs w:val="20"/>
          <w:color w:val="auto"/>
        </w:rPr>
      </w:pPr>
      <w:r>
        <w:rPr>
          <w:rFonts w:ascii="Arial" w:cs="Arial" w:eastAsia="Arial" w:hAnsi="Arial"/>
          <w:sz w:val="18"/>
          <w:szCs w:val="18"/>
          <w:color w:val="auto"/>
          <w:highlight w:val="white"/>
        </w:rPr>
        <w:t>change to a Critical Part and/or Specification, (b) reject such change, in which case Buyer may continue to place Purchase Orders for Products during the 6-month period following such rejection with the unchanged Critical Part and/or Specifications for delivery during the 18-month period following such implementation (provided, for clarity, that Buyer may place Purchase Orders for changed Products notwithstanding such rejection), or (c) request a Change Order for consideration. For clarity, Hamilton shall accept all such Purchase Orders, and shall use commercially reasonable efforts to approve all such Change Orders, in each case in accordance with this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 – TERM</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Initial Term.</w:t>
      </w:r>
    </w:p>
    <w:p>
      <w:pPr>
        <w:spacing w:after="0" w:line="20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initial term of this Agreement (the “</w:t>
      </w:r>
      <w:r>
        <w:rPr>
          <w:rFonts w:ascii="Arial" w:cs="Arial" w:eastAsia="Arial" w:hAnsi="Arial"/>
          <w:sz w:val="18"/>
          <w:szCs w:val="18"/>
          <w:b w:val="1"/>
          <w:bCs w:val="1"/>
          <w:color w:val="auto"/>
        </w:rPr>
        <w:t>Initial Term</w:t>
      </w:r>
      <w:r>
        <w:rPr>
          <w:rFonts w:ascii="Arial" w:cs="Arial" w:eastAsia="Arial" w:hAnsi="Arial"/>
          <w:sz w:val="18"/>
          <w:szCs w:val="18"/>
          <w:color w:val="auto"/>
        </w:rPr>
        <w:t>”) shall commence on the Effective Date hereof and remain in effect for a period of three years following Commercial Launch, unless sooner terminated as expressly provided herein.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Automatic Extensions.</w:t>
      </w:r>
    </w:p>
    <w:p>
      <w:pPr>
        <w:spacing w:after="0" w:line="203" w:lineRule="exact"/>
        <w:rPr>
          <w:sz w:val="20"/>
          <w:szCs w:val="20"/>
          <w:color w:val="auto"/>
        </w:rPr>
      </w:pPr>
    </w:p>
    <w:p>
      <w:pPr>
        <w:jc w:val="both"/>
        <w:ind w:left="660" w:hanging="323"/>
        <w:spacing w:after="0" w:line="287" w:lineRule="auto"/>
        <w:rPr>
          <w:sz w:val="20"/>
          <w:szCs w:val="20"/>
          <w:color w:val="auto"/>
        </w:rPr>
      </w:pPr>
      <w:r>
        <w:rPr>
          <w:rFonts w:ascii="Arial" w:cs="Arial" w:eastAsia="Arial" w:hAnsi="Arial"/>
          <w:sz w:val="18"/>
          <w:szCs w:val="18"/>
          <w:color w:val="auto"/>
        </w:rPr>
        <w:t>6.2.1</w:t>
      </w:r>
      <w:r>
        <w:rPr>
          <w:sz w:val="20"/>
          <w:szCs w:val="20"/>
          <w:color w:val="auto"/>
        </w:rPr>
        <w:t xml:space="preserve"> </w:t>
      </w:r>
      <w:r>
        <w:rPr>
          <w:rFonts w:ascii="Arial" w:cs="Arial" w:eastAsia="Arial" w:hAnsi="Arial"/>
          <w:sz w:val="18"/>
          <w:szCs w:val="18"/>
          <w:color w:val="auto"/>
        </w:rPr>
        <w:t>This Agreement shall renew for a [***] renewal period following the Initial Term (the “</w:t>
      </w:r>
      <w:r>
        <w:rPr>
          <w:rFonts w:ascii="Arial" w:cs="Arial" w:eastAsia="Arial" w:hAnsi="Arial"/>
          <w:sz w:val="18"/>
          <w:szCs w:val="18"/>
          <w:b w:val="1"/>
          <w:bCs w:val="1"/>
          <w:color w:val="auto"/>
        </w:rPr>
        <w:t>Extended Term</w:t>
      </w:r>
      <w:r>
        <w:rPr>
          <w:rFonts w:ascii="Arial" w:cs="Arial" w:eastAsia="Arial" w:hAnsi="Arial"/>
          <w:sz w:val="18"/>
          <w:szCs w:val="18"/>
          <w:color w:val="auto"/>
        </w:rPr>
        <w:t>”) upon Buyer’s delivery of written notice given to Hamilton at least 90 days prior to the end of the Initial Term.</w:t>
      </w:r>
    </w:p>
    <w:p>
      <w:pPr>
        <w:spacing w:after="0" w:line="175"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6.2.2</w:t>
      </w:r>
      <w:r>
        <w:rPr>
          <w:sz w:val="20"/>
          <w:szCs w:val="20"/>
          <w:color w:val="auto"/>
        </w:rPr>
        <w:t xml:space="preserve"> </w:t>
      </w:r>
      <w:r>
        <w:rPr>
          <w:rFonts w:ascii="Arial" w:cs="Arial" w:eastAsia="Arial" w:hAnsi="Arial"/>
          <w:sz w:val="18"/>
          <w:szCs w:val="18"/>
          <w:color w:val="auto"/>
        </w:rPr>
        <w:t>Deliveries will be scheduled after the Term for Purchase Orders issued during the Term and unfulfilled as of the end of the Term.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 – TERMINATION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Termination by Buyer for Convenience.</w:t>
      </w:r>
    </w:p>
    <w:p>
      <w:pPr>
        <w:spacing w:after="0" w:line="225"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Buyer may terminate this Agreement, or any Project Work Scope Schedule with or without cause, upon 120 days prior written notice to Hamilton, and subject to any accrued or outstanding obligations of Buyer under this Agreement.</w:t>
      </w:r>
    </w:p>
    <w:p>
      <w:pPr>
        <w:spacing w:after="0" w:line="198" w:lineRule="exact"/>
        <w:rPr>
          <w:sz w:val="20"/>
          <w:szCs w:val="20"/>
          <w:color w:val="auto"/>
        </w:rPr>
      </w:pPr>
    </w:p>
    <w:p>
      <w:pPr>
        <w:jc w:val="both"/>
        <w:ind w:left="660" w:hanging="323"/>
        <w:spacing w:after="0" w:line="253" w:lineRule="auto"/>
        <w:rPr>
          <w:sz w:val="20"/>
          <w:szCs w:val="20"/>
          <w:color w:val="auto"/>
        </w:rPr>
      </w:pPr>
      <w:r>
        <w:rPr>
          <w:rFonts w:ascii="Arial" w:cs="Arial" w:eastAsia="Arial" w:hAnsi="Arial"/>
          <w:sz w:val="18"/>
          <w:szCs w:val="18"/>
          <w:color w:val="auto"/>
        </w:rPr>
        <w:t>7.1.1</w:t>
      </w:r>
      <w:r>
        <w:rPr>
          <w:sz w:val="20"/>
          <w:szCs w:val="20"/>
          <w:color w:val="auto"/>
        </w:rPr>
        <w:t xml:space="preserve"> </w:t>
      </w:r>
      <w:r>
        <w:rPr>
          <w:rFonts w:ascii="Arial" w:cs="Arial" w:eastAsia="Arial" w:hAnsi="Arial"/>
          <w:sz w:val="18"/>
          <w:szCs w:val="18"/>
          <w:color w:val="auto"/>
        </w:rPr>
        <w:t>Upon receipt of a termination notice for any Project Work Scope Schedule, unless otherwise directed by Buyer, Hamilton shall take commercially reasonable steps to mitigate any expenses or losses arising from such termination, including but not limited to: (i) stopping work under all Purchase Orders to the extent specified; (ii) terminating all orders to the extent they relate to terminated work; and (iii) placing no further orders for Raw Materials, goods, supplies or services required to be furnished by Hamilton to complete the Products ordered hereunder (collectively, “</w:t>
      </w:r>
      <w:r>
        <w:rPr>
          <w:rFonts w:ascii="Arial" w:cs="Arial" w:eastAsia="Arial" w:hAnsi="Arial"/>
          <w:sz w:val="18"/>
          <w:szCs w:val="18"/>
          <w:b w:val="1"/>
          <w:bCs w:val="1"/>
          <w:color w:val="auto"/>
        </w:rPr>
        <w:t>Material</w:t>
      </w:r>
      <w:r>
        <w:rPr>
          <w:rFonts w:ascii="Arial" w:cs="Arial" w:eastAsia="Arial" w:hAnsi="Arial"/>
          <w:sz w:val="18"/>
          <w:szCs w:val="18"/>
          <w:color w:val="auto"/>
        </w:rPr>
        <w:t>”).</w:t>
      </w:r>
    </w:p>
    <w:p>
      <w:pPr>
        <w:spacing w:after="0" w:line="205" w:lineRule="exact"/>
        <w:rPr>
          <w:sz w:val="20"/>
          <w:szCs w:val="20"/>
          <w:color w:val="auto"/>
        </w:rPr>
      </w:pPr>
    </w:p>
    <w:p>
      <w:pPr>
        <w:jc w:val="both"/>
        <w:ind w:left="660" w:hanging="323"/>
        <w:spacing w:after="0" w:line="256" w:lineRule="auto"/>
        <w:rPr>
          <w:sz w:val="20"/>
          <w:szCs w:val="20"/>
          <w:color w:val="auto"/>
        </w:rPr>
      </w:pPr>
      <w:r>
        <w:rPr>
          <w:rFonts w:ascii="Arial" w:cs="Arial" w:eastAsia="Arial" w:hAnsi="Arial"/>
          <w:sz w:val="18"/>
          <w:szCs w:val="18"/>
          <w:color w:val="auto"/>
        </w:rPr>
        <w:t>7.1.2</w:t>
      </w:r>
      <w:r>
        <w:rPr>
          <w:sz w:val="20"/>
          <w:szCs w:val="20"/>
          <w:color w:val="auto"/>
        </w:rPr>
        <w:t xml:space="preserve"> </w:t>
      </w:r>
      <w:r>
        <w:rPr>
          <w:rFonts w:ascii="Arial" w:cs="Arial" w:eastAsia="Arial" w:hAnsi="Arial"/>
          <w:sz w:val="18"/>
          <w:szCs w:val="18"/>
          <w:color w:val="auto"/>
        </w:rPr>
        <w:t>Upon termination of any Project Work Scope Schedule, Hamilton shall use commercially reasonable effort to (i) settle all claims with its suppliers for Raw Materials, (ii) use commercially reasonable effort to sell any Material relating to the terminated work, and (iii) re-direct finished Product to other products or customers to minimize Buyer’s liability.</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Termination by Hamilton for Discontinuance of Business.</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Hamilton may terminate this Agreement at any time upon 365 days’ prior written notice to Buyer in the event Hamilton determines in its sole and absolute discretion to discontinue the manufacture and sale of the Instruments. Buyer shall be entitled to place Purchase Orders for such discontinued Instruments for delivery during the 18-month period following such termination. In addition, if requested by Buyer, Hamilton will cooperate with Buyer to amend and restate this Agreement to replace such discontinued Instruments with Hamilton’s intended replacement instrument(s), including without limitation the MicroLab® VANTAGE Liquid Handling System product lines.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Termination for Breach.</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2" w:name="page373"/>
    <w:bookmarkEnd w:id="372"/>
    <w:p>
      <w:pPr>
        <w:ind w:left="660" w:right="20"/>
        <w:spacing w:after="0" w:line="236" w:lineRule="auto"/>
        <w:rPr>
          <w:sz w:val="20"/>
          <w:szCs w:val="20"/>
          <w:color w:val="auto"/>
        </w:rPr>
      </w:pPr>
      <w:r>
        <w:rPr>
          <w:rFonts w:ascii="Arial" w:cs="Arial" w:eastAsia="Arial" w:hAnsi="Arial"/>
          <w:sz w:val="18"/>
          <w:szCs w:val="18"/>
          <w:color w:val="auto"/>
        </w:rPr>
        <w:t>This Agreement may be terminated, prior to the expiration of the Term, by either Party by giving written notice of its intent to terminate and stating the grounds therefore if the other Party shall have materially breached or materially failed in the observance or performance of any representation, warranty, guarantee, covenant or obligation under this Agreement. The Party receiving such notice shall have 60 days from the date of receipt thereof to cure such breach or failure. In the event such breach is cured during such period, such notice shall be of no force or effect and this Agreement shall not be terminated. If the breach is not cured, this Agreement will terminate 60 days after a Party receives such notice. Notwithstanding the foregoing, if the Party alleged to be in material breach of this Agreement disputes such breach in good faith by written notice to the alleging Party promptly after receiving notice of such breach, the alleging Party shall not have the right to terminate this Agreement pursuant to this section 7.3 unless it has been determined that this Agreement was materially breached in accordance with section 16.3 and the breaching Party fails to comply with its obligations hereunder within 60 days after such determination.</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Termination for Insolvency.</w:t>
      </w:r>
    </w:p>
    <w:p>
      <w:pPr>
        <w:spacing w:after="0" w:line="212"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Either Party may terminate this Agreement with notice to the other Party: (a) if a proceeding or case shall be commenced against the other Party hereto in any court of competent jurisdiction, seeking (1) its liquidation, reorganization, dissolution or winding-up, or the composition or readjustment of its debts, (2) the appointment of a trustee, receiver, custodian, liquidator or the like of the Party or of all or any substantial part of its assets, or (3) similar relief under any bankruptcy laws, and in each case (1)-(3) such proceeding or case is not voluntarily dismissed within a period of 90 days; or (b) in the event an order for relief against the other Party hereto shall be entered in an involuntary case under the Bankruptcy Code or any bankruptcy law.</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 represents one paragraph of the termination policy]</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Effect of Termination.</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In the event of termination of this Agreement by either Party in accordance with the terms of this Agreement, other than termination by Buyer for Hamilton’s material breach, Buyer shall be liable for the following: (a) payment for all Products ordered by Buyer whether or not delivered or in transit to Buyer or its customer as well as all finished Products in Hamilton’s inventory prior to written notification of Termination, (b) payment for all work-in-process related to any Product, and (c) payment for all non-cancelable Hamilton purchase orders for Materials to be used by Hamilton in the production of Products in amounts necessary to fulfill Buyer’s Rolling Forecast for 12 months. Hamilton shall use commercially reasonable efforts to minimize cancellation charges by returning inventory and Material for credit, canceling Material on order and applying Material to other Hamilton projects (when possible and at the sole and absolute discretion of Hamilton). Upon Buyer’s payment of the amounts outlined above, all work-in-process, and components in Hamilton’s possession and control or on order (non-cancelable) shall be delivered to and become property of Buyer on an as is basis.</w:t>
      </w:r>
    </w:p>
    <w:p>
      <w:pPr>
        <w:spacing w:after="0" w:line="206"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the event of termination of this Agreement by either Party or expiration of this Agreement, Buyer shall have the right to purchase Consumables, Spare Parts, and other Products, excluding the Instrument, for a period of seven years, at Hamilton’s then applicable price for such items, if and to the extent that such items are regularly stocked by Hamilton. Buyer expressly acknowledges and agrees that Hamilton has no obligation to stock or order any such items, and Buyer’s rights set forth in this section 7.6 are limited to Hamilton’s inventory.</w:t>
      </w:r>
    </w:p>
    <w:p>
      <w:pPr>
        <w:spacing w:after="0" w:line="20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Termination or expiration of this Agreement shall not relieve a Party from any liability or obligation that, at the time of termination or expiration, has accrued to the other Party. The provisions of articles 1, 7, 11 (solely for a period of three years), 14, 15 (with respect to section 15.4, solely for 3 years), and 16 (with respect to section 16.1, solely for seven years) and sections 3.1, 4.2.2, 8.1.1, 9.1, 13.1 (solely with respect to Products supplied under this Agreement) and 13.4 shall survive the expiration or termination of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 – INVENTORY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3" w:name="page374"/>
    <w:bookmarkEnd w:id="373"/>
    <w:p>
      <w:pPr>
        <w:spacing w:after="0"/>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Inventory/Tooling.</w:t>
      </w:r>
    </w:p>
    <w:p>
      <w:pPr>
        <w:spacing w:after="0" w:line="212"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18"/>
          <w:szCs w:val="18"/>
          <w:color w:val="auto"/>
        </w:rPr>
        <w:t>8.1.1</w:t>
      </w:r>
      <w:r>
        <w:rPr>
          <w:sz w:val="20"/>
          <w:szCs w:val="20"/>
          <w:color w:val="auto"/>
        </w:rPr>
        <w:t xml:space="preserve"> </w:t>
      </w:r>
      <w:r>
        <w:rPr>
          <w:rFonts w:ascii="Arial" w:cs="Arial" w:eastAsia="Arial" w:hAnsi="Arial"/>
          <w:sz w:val="18"/>
          <w:szCs w:val="18"/>
          <w:color w:val="auto"/>
        </w:rPr>
        <w:t>Unless otherwise agreed to in writing: (i) title to tooling, equipment, or material furnished to Hamilton by Buyer, or paid for by Buyer, and any replacement thereof, including any materials affixed thereto, is and shall remain solely Buyer’s property; and (ii) Hamilton holds such property solely as bailee. Hamilton shall not substitute any property for Buyer’s property or use Buyer’s property for any purpose other than for filling Buyer’s Purchase Orders. Hamilton shall keep accurate records showing that Buyer’s property is held on behalf of Buyer, and on Buyer’s written request shall furnish Buyer as soon as reasonably practical, an inventory of Buyer’s property held by Hamilton. Upon Buyer’s request, Hamilton shall transfer to Buyer all such tooling, equipment and/or material, as well as copies of any related drawings or other documentation, at Buyer’s expense.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 – LIMITED WARRANTY, PRODUCT ACCEPTANCE, SUPPORT SERVICES</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Warranty.</w:t>
      </w:r>
    </w:p>
    <w:p>
      <w:pPr>
        <w:spacing w:after="0" w:line="212" w:lineRule="exact"/>
        <w:rPr>
          <w:sz w:val="20"/>
          <w:szCs w:val="20"/>
          <w:color w:val="auto"/>
        </w:rPr>
      </w:pPr>
    </w:p>
    <w:p>
      <w:pPr>
        <w:jc w:val="both"/>
        <w:ind w:left="660" w:hanging="323"/>
        <w:spacing w:after="0" w:line="238" w:lineRule="auto"/>
        <w:rPr>
          <w:sz w:val="20"/>
          <w:szCs w:val="20"/>
          <w:color w:val="auto"/>
        </w:rPr>
      </w:pPr>
      <w:r>
        <w:rPr>
          <w:rFonts w:ascii="Arial" w:cs="Arial" w:eastAsia="Arial" w:hAnsi="Arial"/>
          <w:sz w:val="18"/>
          <w:szCs w:val="18"/>
          <w:color w:val="auto"/>
        </w:rPr>
        <w:t>9.1.1</w:t>
      </w:r>
      <w:r>
        <w:rPr>
          <w:sz w:val="20"/>
          <w:szCs w:val="20"/>
          <w:color w:val="auto"/>
        </w:rPr>
        <w:t xml:space="preserve"> </w:t>
      </w:r>
      <w:r>
        <w:rPr>
          <w:rFonts w:ascii="Arial" w:cs="Arial" w:eastAsia="Arial" w:hAnsi="Arial"/>
          <w:sz w:val="18"/>
          <w:szCs w:val="18"/>
          <w:color w:val="auto"/>
        </w:rPr>
        <w:t xml:space="preserve">Hamilton represents and warrants to Buyer that all Products, at the time of shipment to Buyer, shall be (i) of merchantable quality, and (ii) manufactured in accordance and conformity with the Specifications. </w:t>
      </w:r>
      <w:r>
        <w:rPr>
          <w:rFonts w:ascii="Arial" w:cs="Arial" w:eastAsia="Arial" w:hAnsi="Arial"/>
          <w:sz w:val="18"/>
          <w:szCs w:val="18"/>
          <w:color w:val="231F20"/>
        </w:rPr>
        <w:t>The warranty period is [***],</w:t>
      </w:r>
      <w:r>
        <w:rPr>
          <w:rFonts w:ascii="Arial" w:cs="Arial" w:eastAsia="Arial" w:hAnsi="Arial"/>
          <w:sz w:val="18"/>
          <w:szCs w:val="18"/>
          <w:color w:val="auto"/>
        </w:rPr>
        <w:t xml:space="preserve"> whichever is earlier, or such longer period required under Applicable Laws</w:t>
      </w:r>
      <w:r>
        <w:rPr>
          <w:rFonts w:ascii="Arial" w:cs="Arial" w:eastAsia="Arial" w:hAnsi="Arial"/>
          <w:sz w:val="18"/>
          <w:szCs w:val="18"/>
          <w:color w:val="231F20"/>
        </w:rPr>
        <w:t>. The “</w:t>
      </w:r>
      <w:r>
        <w:rPr>
          <w:rFonts w:ascii="Arial" w:cs="Arial" w:eastAsia="Arial" w:hAnsi="Arial"/>
          <w:sz w:val="18"/>
          <w:szCs w:val="18"/>
          <w:b w:val="1"/>
          <w:bCs w:val="1"/>
          <w:color w:val="231F20"/>
        </w:rPr>
        <w:t>Installation Date</w:t>
      </w:r>
      <w:r>
        <w:rPr>
          <w:rFonts w:ascii="Arial" w:cs="Arial" w:eastAsia="Arial" w:hAnsi="Arial"/>
          <w:sz w:val="18"/>
          <w:szCs w:val="18"/>
          <w:color w:val="231F20"/>
        </w:rPr>
        <w:t>” shall be that date on which the Instrument has been</w:t>
      </w:r>
      <w:r>
        <w:rPr>
          <w:rFonts w:ascii="Arial" w:cs="Arial" w:eastAsia="Arial" w:hAnsi="Arial"/>
          <w:sz w:val="18"/>
          <w:szCs w:val="18"/>
          <w:color w:val="auto"/>
        </w:rPr>
        <w:t xml:space="preserve"> </w:t>
      </w:r>
      <w:r>
        <w:rPr>
          <w:rFonts w:ascii="Arial" w:cs="Arial" w:eastAsia="Arial" w:hAnsi="Arial"/>
          <w:sz w:val="18"/>
          <w:szCs w:val="18"/>
          <w:color w:val="231F20"/>
        </w:rPr>
        <w:t>installed at Buyer’s or its customer’s facility and the installation qualification to show performance to Specification has been met. For clarity, such representations and warranties shall extend to all Products regardless of the country of sale or installation.</w:t>
      </w:r>
    </w:p>
    <w:p>
      <w:pPr>
        <w:spacing w:after="0" w:line="202"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18"/>
          <w:szCs w:val="18"/>
          <w:color w:val="auto"/>
        </w:rPr>
        <w:t>9.1.2</w:t>
      </w:r>
      <w:r>
        <w:rPr>
          <w:sz w:val="20"/>
          <w:szCs w:val="20"/>
          <w:color w:val="auto"/>
        </w:rPr>
        <w:t xml:space="preserve"> </w:t>
      </w:r>
      <w:r>
        <w:rPr>
          <w:rFonts w:ascii="Arial" w:cs="Arial" w:eastAsia="Arial" w:hAnsi="Arial"/>
          <w:sz w:val="18"/>
          <w:szCs w:val="18"/>
          <w:color w:val="231F20"/>
        </w:rPr>
        <w:t xml:space="preserve">The Product is designed and validated exclusively with CO-RE technology tips. Buyer acknowledges and agrees that the Instrument performance Specifications shall not apply to the use of non-Hamilton CO-RE tips on the Instrument. For clarity, use of non-Hamilton CO-RE tips shall void the Instrument performance Specifications and warranty. </w:t>
      </w:r>
      <w:r>
        <w:rPr>
          <w:rFonts w:ascii="Arial" w:cs="Arial" w:eastAsia="Arial" w:hAnsi="Arial"/>
          <w:sz w:val="18"/>
          <w:szCs w:val="18"/>
          <w:color w:val="000000"/>
        </w:rPr>
        <w:t>The warranty shall include full parts</w:t>
      </w:r>
      <w:r>
        <w:rPr>
          <w:rFonts w:ascii="Arial" w:cs="Arial" w:eastAsia="Arial" w:hAnsi="Arial"/>
          <w:sz w:val="18"/>
          <w:szCs w:val="18"/>
          <w:color w:val="231F20"/>
        </w:rPr>
        <w:t xml:space="preserve"> </w:t>
      </w:r>
      <w:r>
        <w:rPr>
          <w:rFonts w:ascii="Arial" w:cs="Arial" w:eastAsia="Arial" w:hAnsi="Arial"/>
          <w:sz w:val="18"/>
          <w:szCs w:val="18"/>
          <w:color w:val="000000"/>
        </w:rPr>
        <w:t xml:space="preserve">and labor during the initial warranty time period. For Materials that Hamilton purchases from a third party, Hamilton shall, to the extent Hamilton is permitted by such third party to do, assign any warranties extended by such third party to Buyer, provided, for clarity, that such assignment shall not limit any of the warranties provided hereunder by Hamilton. </w:t>
      </w:r>
      <w:r>
        <w:rPr>
          <w:rFonts w:ascii="Arial" w:cs="Arial" w:eastAsia="Arial" w:hAnsi="Arial"/>
          <w:sz w:val="18"/>
          <w:szCs w:val="18"/>
          <w:color w:val="231F20"/>
        </w:rPr>
        <w:t>The warranty expressly does not</w:t>
      </w:r>
      <w:r>
        <w:rPr>
          <w:rFonts w:ascii="Arial" w:cs="Arial" w:eastAsia="Arial" w:hAnsi="Arial"/>
          <w:sz w:val="18"/>
          <w:szCs w:val="18"/>
          <w:color w:val="000000"/>
        </w:rPr>
        <w:t xml:space="preserve"> </w:t>
      </w:r>
      <w:r>
        <w:rPr>
          <w:rFonts w:ascii="Arial" w:cs="Arial" w:eastAsia="Arial" w:hAnsi="Arial"/>
          <w:sz w:val="18"/>
          <w:szCs w:val="18"/>
          <w:color w:val="231F20"/>
        </w:rPr>
        <w:t>cover damage caused by normal wear, maintenance performed by a third-party failure to observe the operating instructions, installation not carried out by Hamilton and replacement costs of any Consumables.</w:t>
      </w:r>
    </w:p>
    <w:p>
      <w:pPr>
        <w:spacing w:after="0" w:line="208"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18"/>
          <w:szCs w:val="18"/>
          <w:color w:val="auto"/>
        </w:rPr>
        <w:t>9.1.3</w:t>
      </w:r>
      <w:r>
        <w:rPr>
          <w:sz w:val="20"/>
          <w:szCs w:val="20"/>
          <w:color w:val="auto"/>
        </w:rPr>
        <w:t xml:space="preserve"> </w:t>
      </w:r>
      <w:r>
        <w:rPr>
          <w:rFonts w:ascii="Arial" w:cs="Arial" w:eastAsia="Arial" w:hAnsi="Arial"/>
          <w:sz w:val="18"/>
          <w:szCs w:val="18"/>
          <w:color w:val="auto"/>
        </w:rPr>
        <w:t>EXCEPT AS SET FORTH IN THIS AGREEMENT, INCLUDING SECTIONS 9.1.1 AND 9.1.2 ABOVE, THE PRODUCTS ARE PROVIDED BY HAMILTON ON AN “AS IS” BASIS, WITH NO WARRANTIES OF ANY KIND. EXCEPT AS SET FORTH IN THIS AGREEMENT, INCLUDING SECTIONS 9.1.1 AND 9.1.2 ABOVE, HAMILTON AND BUYER EACH DISCLAIMS TO THE FULLEST EXTENT PERMITTED BY LAW, ALL EXPRESS, IMPLIED, AND STATUTORY WARRANTIES, INCLUDING, WITHOUT LIMITATION, THE WARRANTIES OF MERCHANTABILITY, AND FITNESS FOR A PARTICULAR PURPOSE. EXCEPT AS OTHERWISE SET FORTH IN THIS AGREEMENT, REPAIR OR REPLACEMENT OF THE PRODUCTS BY HAMILTON IS BUYER’S SOLE AND EXCLUSIVE REMEDY OF ANY BREACH OF ANY WARRANTY SET FORTH IN SECTION 9.1.1.</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Product Acceptance.</w:t>
      </w:r>
    </w:p>
    <w:p>
      <w:pPr>
        <w:spacing w:after="0" w:line="212"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18"/>
          <w:szCs w:val="18"/>
          <w:color w:val="auto"/>
        </w:rPr>
        <w:t>9.2.1</w:t>
      </w:r>
      <w:r>
        <w:rPr>
          <w:sz w:val="20"/>
          <w:szCs w:val="20"/>
          <w:color w:val="auto"/>
        </w:rPr>
        <w:t xml:space="preserve"> </w:t>
      </w:r>
      <w:r>
        <w:rPr>
          <w:rFonts w:ascii="Arial" w:cs="Arial" w:eastAsia="Arial" w:hAnsi="Arial"/>
          <w:sz w:val="18"/>
          <w:szCs w:val="18"/>
          <w:color w:val="auto"/>
        </w:rPr>
        <w:t>After delivery of a shipment of any Products to Buyer or Buyer’s customer, Buyer shall have 30 days following installation to examine such Products to determine if they conform to the Specifications, are free from defects in design and otherwise comply with the warranties set forth in section 9.1, and, on the basis of such examination, to accept or reject such shipment. Any claims for failure to so conform or for such defects (“</w:t>
      </w:r>
      <w:r>
        <w:rPr>
          <w:rFonts w:ascii="Arial" w:cs="Arial" w:eastAsia="Arial" w:hAnsi="Arial"/>
          <w:sz w:val="18"/>
          <w:szCs w:val="18"/>
          <w:b w:val="1"/>
          <w:bCs w:val="1"/>
          <w:color w:val="auto"/>
        </w:rPr>
        <w:t>Product Claims</w:t>
      </w:r>
      <w:r>
        <w:rPr>
          <w:rFonts w:ascii="Arial" w:cs="Arial" w:eastAsia="Arial" w:hAnsi="Arial"/>
          <w:sz w:val="18"/>
          <w:szCs w:val="18"/>
          <w:color w:val="auto"/>
        </w:rPr>
        <w:t>”) shall be made by Buyer in writing to Hamilton, within such 30 days, indicating the non-conforming characteristics of the Products (“</w:t>
      </w:r>
      <w:r>
        <w:rPr>
          <w:rFonts w:ascii="Arial" w:cs="Arial" w:eastAsia="Arial" w:hAnsi="Arial"/>
          <w:sz w:val="18"/>
          <w:szCs w:val="18"/>
          <w:b w:val="1"/>
          <w:bCs w:val="1"/>
          <w:color w:val="auto"/>
        </w:rPr>
        <w:t>RMA Product</w:t>
      </w:r>
      <w:r>
        <w:rPr>
          <w:rFonts w:ascii="Arial" w:cs="Arial" w:eastAsia="Arial" w:hAnsi="Arial"/>
          <w:sz w:val="18"/>
          <w:szCs w:val="18"/>
          <w:color w:val="auto"/>
        </w:rPr>
        <w:t>”). Hamilton will provide a Return Material Authorization (RMA) number prior to the return of the RMA Product to Hamilton. Hamilton will make reasonable effort to provide an RMA number within 24 hours, but in no event will an RMA number be issued more than two Business Days after Hamilton’s receipt of the Product Claim. Notwithstanding the foregoing, if Buyer or its customer first discovers that any Product fails to conform with the Specifications, is defective in design and/or otherwise does not comply with the warranties set forth in section 9.1 after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4" w:name="page375"/>
    <w:bookmarkEnd w:id="374"/>
    <w:p>
      <w:pPr>
        <w:jc w:val="both"/>
        <w:ind w:left="660"/>
        <w:spacing w:after="0"/>
        <w:rPr>
          <w:sz w:val="20"/>
          <w:szCs w:val="20"/>
          <w:color w:val="auto"/>
        </w:rPr>
      </w:pPr>
      <w:r>
        <w:rPr>
          <w:rFonts w:ascii="Arial" w:cs="Arial" w:eastAsia="Arial" w:hAnsi="Arial"/>
          <w:sz w:val="18"/>
          <w:szCs w:val="18"/>
          <w:color w:val="auto"/>
        </w:rPr>
        <w:t>acceptance thereof, and such failure would not have been readily discoverable from a reasonable inspection or review of the Product (any, a “</w:t>
      </w:r>
      <w:r>
        <w:rPr>
          <w:rFonts w:ascii="Arial" w:cs="Arial" w:eastAsia="Arial" w:hAnsi="Arial"/>
          <w:sz w:val="18"/>
          <w:szCs w:val="18"/>
          <w:b w:val="1"/>
          <w:bCs w:val="1"/>
          <w:color w:val="auto"/>
        </w:rPr>
        <w:t>Latent Defect</w:t>
      </w:r>
      <w:r>
        <w:rPr>
          <w:rFonts w:ascii="Arial" w:cs="Arial" w:eastAsia="Arial" w:hAnsi="Arial"/>
          <w:sz w:val="18"/>
          <w:szCs w:val="18"/>
          <w:color w:val="auto"/>
        </w:rPr>
        <w:t>”), Buyer shall have the continuing right to reject the Products, provided it notifies Hamilton of the Latent Defect promptly after discovery or knowledge, as applicable, thereof.</w:t>
      </w:r>
    </w:p>
    <w:p>
      <w:pPr>
        <w:spacing w:after="0" w:line="203"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Buyer shall have no obligation to pay for any RMA Products that are subject to Product Claims under investigation by Hamilton. However, if payment has already been made by Buyer, then as promptly as possible after the submission of a Product Claim by Buyer, Buyer will initiate negotiations for discrepancy resolution with Hamilton. Options for resolution for confirmed non-conforming Product include but are not limited to, at Buyer’s discretion, (i) provide Buyer with a refund of the full amount paid by Buyer for such RMA Products, (ii) issue Buyer a credit against future billings equal to the full amount paid by Buyer for such RMA Products, (iii) direct a Hamilton certified engineer to repair such RMA Products, or (iv) replace such RMA Products.</w:t>
      </w:r>
    </w:p>
    <w:p>
      <w:pPr>
        <w:spacing w:after="0" w:line="205"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Hamilton shall pay for all shipping costs of returning RMA Products that are the subject of Product Claims. Hamilton shall bear the risk of loss for such RMA Products from the time such RMA Products are picked up at or shipped from Buyer, or Buyer’s customer premises for return delivery. If no such Defect is found, Buyer shall reimburse Hamilton for all reasonable fees, costs and expenses incurred to analyze and, if requested by Buyer, replace the non-defective RMA Product and Buyer shall bear responsibility for (1) all transportation costs to and from Hamilton’s designated facility, (2) the price of the Product found to be conforming, and (3) the price of the replacement Product (if any).</w:t>
      </w:r>
    </w:p>
    <w:p>
      <w:pPr>
        <w:spacing w:after="0" w:line="205" w:lineRule="exact"/>
        <w:rPr>
          <w:sz w:val="20"/>
          <w:szCs w:val="20"/>
          <w:color w:val="auto"/>
        </w:rPr>
      </w:pPr>
    </w:p>
    <w:p>
      <w:pPr>
        <w:jc w:val="both"/>
        <w:ind w:left="660" w:hanging="323"/>
        <w:spacing w:after="0" w:line="236" w:lineRule="auto"/>
        <w:rPr>
          <w:sz w:val="20"/>
          <w:szCs w:val="20"/>
          <w:color w:val="auto"/>
        </w:rPr>
      </w:pPr>
      <w:r>
        <w:rPr>
          <w:rFonts w:ascii="Arial" w:cs="Arial" w:eastAsia="Arial" w:hAnsi="Arial"/>
          <w:sz w:val="18"/>
          <w:szCs w:val="18"/>
          <w:color w:val="auto"/>
        </w:rPr>
        <w:t>9.2.2</w:t>
      </w:r>
      <w:r>
        <w:rPr>
          <w:sz w:val="20"/>
          <w:szCs w:val="20"/>
          <w:color w:val="auto"/>
        </w:rPr>
        <w:t xml:space="preserve"> </w:t>
      </w:r>
      <w:r>
        <w:rPr>
          <w:rFonts w:ascii="Arial" w:cs="Arial" w:eastAsia="Arial" w:hAnsi="Arial"/>
          <w:sz w:val="18"/>
          <w:szCs w:val="18"/>
          <w:color w:val="auto"/>
        </w:rPr>
        <w:t>If, after Hamilton has received and inspected RMA Products returned by Buyer pursuant to section 9.2.1, the Parties disagree as to the RMA Product’s conformance to the Specifications or whether the RMA Product has a defect or otherwise fails to comply with the warranties set forth in section 9.1, such matter shall be referred to a review committee (the “Review Committee”). The Review Committee shall consist of representatives from each of Buyer and Hamilton and will meet as required. The Review Committee shall review any material or data presented by Buyer that supports its Product Claim that any Product is defective, fails to conform to Specification or otherwise does not comply with the warranties set forth in section 9.1 (e.g., that such Product has affected assay quality). Hamilton may present any material or data in opposition to such Product Claim. The Review Committee may request such additional information or data from the Parties or independently gather such additional data or information, as it deems necessary to settle any disagreement. All resolutions of disagreements by the Review Committee shall be made in good faith and on a timely basis, and the Parties agree to abide by all such resolutions. In addition to settling disagreements in accordance with this section 9.2.2, the Review Committee may also discuss any issues relating to performance or quality of the Products generally.</w:t>
      </w:r>
    </w:p>
    <w:p>
      <w:pPr>
        <w:spacing w:after="0" w:line="205" w:lineRule="exact"/>
        <w:rPr>
          <w:sz w:val="20"/>
          <w:szCs w:val="20"/>
          <w:color w:val="auto"/>
        </w:rPr>
      </w:pPr>
    </w:p>
    <w:p>
      <w:pPr>
        <w:jc w:val="both"/>
        <w:ind w:left="660" w:hanging="323"/>
        <w:spacing w:after="0" w:line="238" w:lineRule="auto"/>
        <w:rPr>
          <w:sz w:val="20"/>
          <w:szCs w:val="20"/>
          <w:color w:val="auto"/>
        </w:rPr>
      </w:pPr>
      <w:r>
        <w:rPr>
          <w:rFonts w:ascii="Arial" w:cs="Arial" w:eastAsia="Arial" w:hAnsi="Arial"/>
          <w:sz w:val="18"/>
          <w:szCs w:val="18"/>
          <w:color w:val="auto"/>
        </w:rPr>
        <w:t>9.2.3</w:t>
      </w:r>
      <w:r>
        <w:rPr>
          <w:sz w:val="20"/>
          <w:szCs w:val="20"/>
          <w:color w:val="auto"/>
        </w:rPr>
        <w:t xml:space="preserve"> </w:t>
      </w:r>
      <w:r>
        <w:rPr>
          <w:rFonts w:ascii="Arial" w:cs="Arial" w:eastAsia="Arial" w:hAnsi="Arial"/>
          <w:sz w:val="18"/>
          <w:szCs w:val="18"/>
          <w:color w:val="auto"/>
        </w:rPr>
        <w:t>In the event the Review Committee is unable to resolve such disagreement within 60 days, such disagreement may be submitted for determination by an independent laboratory mutually selected by the Parties and the decision of such independent laboratory (absent manifest error) shall be final and binding on the Parties as to the RMA Product conformance's to the Specifications or whether the RMA Product has a defect or otherwise fails to comply with the warranties set forth in section 9.1. The independent laboratory's fees shall be borne by the non-prevailing Party.</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Support Services.</w:t>
      </w:r>
    </w:p>
    <w:p>
      <w:pPr>
        <w:spacing w:after="0" w:line="212"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At Buyer’s request and expense, Hamilton shall provide to Buyer and its customers the “third level support” Services described in Exhibit 3 at the rates specified therein, either on an annual service contract or time-and-materials basis. Payment for all Services will be due within 45 days from the date of Buyer’s receipt of an applicable invoice from Hamilton following performance or, with respect to annual contracts, within 45 days from the date of Buyer’s receipt of an applicable invoice from Hamilton. For clarity, as between the Parties, Buyer shall be responsible for performing all “first level support” and “second level support” services described in Exhibit 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 – COMPLIANCE</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Each Party covenants and agrees to comply with all Applicable Laws in connection with its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5" w:name="page376"/>
    <w:bookmarkEnd w:id="375"/>
    <w:p>
      <w:pPr>
        <w:ind w:left="660" w:right="40" w:hanging="647"/>
        <w:spacing w:after="0" w:line="25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Hamilton represents and warrants that: (a) it holds all necessary authorizations and permits for any and all manufacturing and supply of Products under this Agreement from the relevant Regulatory Authorities, except where the failure to so hold could not be reasonably expected to have a material adverse effect on Hamilton; and (b) it holds all necessary authorizations and permits from the relevant Regulatory Authorities for the sale, exportation, importation, shipment, holding and further processing of Products, except where the failure to so hold could not be reasonably expected to have a material adverse effect on Hamilton.</w:t>
      </w:r>
    </w:p>
    <w:p>
      <w:pPr>
        <w:spacing w:after="0" w:line="205" w:lineRule="exact"/>
        <w:rPr>
          <w:sz w:val="20"/>
          <w:szCs w:val="20"/>
          <w:color w:val="auto"/>
        </w:rPr>
      </w:pPr>
    </w:p>
    <w:p>
      <w:pPr>
        <w:ind w:left="660" w:right="60" w:hanging="647"/>
        <w:spacing w:after="0" w:line="256"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Buyer acknowledges that Hamilton has informed it that U.S. law (Nevada) and U.S. Export Administration Regulations govern and may prohibit the re-export or other disposition of Products and related technical data received by Buyer or its customers without prior approval from the applicable Regulatory Authorities.</w:t>
      </w:r>
    </w:p>
    <w:p>
      <w:pPr>
        <w:spacing w:after="0" w:line="202" w:lineRule="exact"/>
        <w:rPr>
          <w:sz w:val="20"/>
          <w:szCs w:val="20"/>
          <w:color w:val="auto"/>
        </w:rPr>
      </w:pPr>
    </w:p>
    <w:p>
      <w:pPr>
        <w:ind w:left="660" w:right="100" w:hanging="647"/>
        <w:spacing w:after="0" w:line="253"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Buyer agrees that diversion of Products from destinations identified in the “Shipper's Export Declaration” constitutes a fundamental and material breach under this Agreement. If Products are diverted from intended destinations, the sale may be voided in the sole discretion of Hamilton, and all right, title and interest in Products shall revert to Hamilton. In the event of such breach, and without limiting any other right or remedy available to Hamilton hereunder, at law, in equity or otherwise, Buyer shall be liable to Hamilton for all costs, fees and expenses incurred by Hamilton in connection with recovery of Products, including reasonable attorney fees.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11 - REGULATORY MATTERS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Notification of Certain Events.</w:t>
      </w:r>
    </w:p>
    <w:p>
      <w:pPr>
        <w:spacing w:after="0" w:line="225" w:lineRule="exact"/>
        <w:rPr>
          <w:sz w:val="20"/>
          <w:szCs w:val="20"/>
          <w:color w:val="auto"/>
        </w:rPr>
      </w:pPr>
    </w:p>
    <w:p>
      <w:pPr>
        <w:jc w:val="both"/>
        <w:ind w:left="660" w:hanging="323"/>
        <w:spacing w:after="0" w:line="254" w:lineRule="auto"/>
        <w:rPr>
          <w:sz w:val="20"/>
          <w:szCs w:val="20"/>
          <w:color w:val="auto"/>
        </w:rPr>
      </w:pPr>
      <w:r>
        <w:rPr>
          <w:rFonts w:ascii="Arial" w:cs="Arial" w:eastAsia="Arial" w:hAnsi="Arial"/>
          <w:sz w:val="18"/>
          <w:szCs w:val="18"/>
          <w:color w:val="auto"/>
        </w:rPr>
        <w:t>11.1.1</w:t>
      </w:r>
      <w:r>
        <w:rPr>
          <w:sz w:val="20"/>
          <w:szCs w:val="20"/>
          <w:color w:val="auto"/>
        </w:rPr>
        <w:t xml:space="preserve"> </w:t>
      </w:r>
      <w:r>
        <w:rPr>
          <w:rFonts w:ascii="Arial" w:cs="Arial" w:eastAsia="Arial" w:hAnsi="Arial"/>
          <w:sz w:val="18"/>
          <w:szCs w:val="18"/>
          <w:color w:val="auto"/>
        </w:rPr>
        <w:t>If Hamilton becomes aware of information that reasonably suggests that the Product, or any component thereof, has caused or contributed to a death or serious injury due to a malfunction of the Product, or any component thereof, Hamilton shall notify Buyer within one business day of becoming aware of such information and, at Buyer’s request, shall provide Buyer with any other material facts or information that Hamilton has relating thereto.</w:t>
      </w:r>
    </w:p>
    <w:p>
      <w:pPr>
        <w:spacing w:after="0" w:line="20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Hamilton shall notify Buyer in the event of a loss of ISO certification.</w:t>
      </w:r>
    </w:p>
    <w:p>
      <w:pPr>
        <w:spacing w:after="0" w:line="225" w:lineRule="exact"/>
        <w:rPr>
          <w:sz w:val="20"/>
          <w:szCs w:val="20"/>
          <w:color w:val="auto"/>
        </w:rPr>
      </w:pPr>
    </w:p>
    <w:p>
      <w:pPr>
        <w:jc w:val="both"/>
        <w:ind w:left="660" w:hanging="323"/>
        <w:spacing w:after="0" w:line="256" w:lineRule="auto"/>
        <w:rPr>
          <w:sz w:val="20"/>
          <w:szCs w:val="20"/>
          <w:color w:val="auto"/>
        </w:rPr>
      </w:pPr>
      <w:r>
        <w:rPr>
          <w:rFonts w:ascii="Arial" w:cs="Arial" w:eastAsia="Arial" w:hAnsi="Arial"/>
          <w:sz w:val="18"/>
          <w:szCs w:val="18"/>
          <w:color w:val="auto"/>
        </w:rPr>
        <w:t>11.1.3</w:t>
      </w:r>
      <w:r>
        <w:rPr>
          <w:sz w:val="20"/>
          <w:szCs w:val="20"/>
          <w:color w:val="auto"/>
        </w:rPr>
        <w:t xml:space="preserve"> </w:t>
      </w:r>
      <w:r>
        <w:rPr>
          <w:rFonts w:ascii="Arial" w:cs="Arial" w:eastAsia="Arial" w:hAnsi="Arial"/>
          <w:sz w:val="18"/>
          <w:szCs w:val="18"/>
          <w:color w:val="auto"/>
        </w:rPr>
        <w:t>Hamilton shall notify Buyer of any audit from a regulatory body, of its factory for the manufacture of the Instrument, or any request for information from the regulatory body related to the manufacture of the Instrument, as soon as possible after Hamilton receives notice of such audit or such request.</w:t>
      </w:r>
    </w:p>
    <w:p>
      <w:pPr>
        <w:spacing w:after="0" w:line="202" w:lineRule="exact"/>
        <w:rPr>
          <w:sz w:val="20"/>
          <w:szCs w:val="20"/>
          <w:color w:val="auto"/>
        </w:rPr>
      </w:pPr>
    </w:p>
    <w:p>
      <w:pPr>
        <w:jc w:val="both"/>
        <w:ind w:left="660" w:hanging="323"/>
        <w:spacing w:after="0" w:line="254" w:lineRule="auto"/>
        <w:rPr>
          <w:sz w:val="20"/>
          <w:szCs w:val="20"/>
          <w:color w:val="auto"/>
        </w:rPr>
      </w:pPr>
      <w:r>
        <w:rPr>
          <w:rFonts w:ascii="Arial" w:cs="Arial" w:eastAsia="Arial" w:hAnsi="Arial"/>
          <w:sz w:val="18"/>
          <w:szCs w:val="18"/>
          <w:color w:val="auto"/>
        </w:rPr>
        <w:t>11.1.4</w:t>
      </w:r>
      <w:r>
        <w:rPr>
          <w:sz w:val="20"/>
          <w:szCs w:val="20"/>
          <w:color w:val="auto"/>
        </w:rPr>
        <w:t xml:space="preserve"> </w:t>
      </w:r>
      <w:r>
        <w:rPr>
          <w:rFonts w:ascii="Arial" w:cs="Arial" w:eastAsia="Arial" w:hAnsi="Arial"/>
          <w:sz w:val="18"/>
          <w:szCs w:val="18"/>
          <w:color w:val="auto"/>
        </w:rPr>
        <w:t>If Buyer becomes aware of information that reasonably suggests that the Final Product has caused or contributed to a death or serious injury due to a malfunction of the Final Product, or any component thereof, Buyer shall notify Hamilton within one business day of becoming aware of such information and, at Hamilton’s request, shall provide Hamilton with any other material facts or information that Buyer has relating thereto.</w:t>
      </w:r>
    </w:p>
    <w:p>
      <w:pPr>
        <w:spacing w:after="0" w:line="204" w:lineRule="exact"/>
        <w:rPr>
          <w:sz w:val="20"/>
          <w:szCs w:val="20"/>
          <w:color w:val="auto"/>
        </w:rPr>
      </w:pPr>
    </w:p>
    <w:p>
      <w:pPr>
        <w:jc w:val="both"/>
        <w:ind w:left="660" w:hanging="323"/>
        <w:spacing w:after="0" w:line="254" w:lineRule="auto"/>
        <w:rPr>
          <w:sz w:val="20"/>
          <w:szCs w:val="20"/>
          <w:color w:val="auto"/>
        </w:rPr>
      </w:pPr>
      <w:r>
        <w:rPr>
          <w:rFonts w:ascii="Arial" w:cs="Arial" w:eastAsia="Arial" w:hAnsi="Arial"/>
          <w:sz w:val="18"/>
          <w:szCs w:val="18"/>
          <w:color w:val="auto"/>
        </w:rPr>
        <w:t>11.1.5</w:t>
      </w:r>
      <w:r>
        <w:rPr>
          <w:sz w:val="20"/>
          <w:szCs w:val="20"/>
          <w:color w:val="auto"/>
        </w:rPr>
        <w:t xml:space="preserve"> </w:t>
      </w:r>
      <w:r>
        <w:rPr>
          <w:rFonts w:ascii="Arial" w:cs="Arial" w:eastAsia="Arial" w:hAnsi="Arial"/>
          <w:sz w:val="18"/>
          <w:szCs w:val="18"/>
          <w:color w:val="auto"/>
        </w:rPr>
        <w:t>For the purposes of Final Product registration with a government, regulatory agency or notified body, Buyer is solely responsible for registering and paying applicable fees for registration. Hamilton may provide, upon request, design and verification documentation as applicable and defined per CRS to assist Buyer in the registration process. Hamilton may be listed (when applicable) as a Contract Manufacturer, per U.S. FDA Definitions of Establishment Activities, for the Instrument in the U.S. only.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12 - FAILURE TO SUPPLY; FORCE MAJEURE</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Failure to Supply.</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Hamilton will immediately notify Buyer in writing in the event that Hamilton is unable or anticipates that it will be unable to supply Products in the quantities and by the delivery dates specified in accepted Purchase Orders in accordance with this Agreement (any, a “Failure to Supply”). In the event of a Failure to Supply, Buyer shall have the rights, without limiting other rights and remedies available to Buyer arising from Hamilton’s breach of this Agreement, (a) to terminate this Agreement in its entirety immediately upon written notice to Hamilton in the event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6" w:name="page377"/>
    <w:bookmarkEnd w:id="376"/>
    <w:p>
      <w:pPr>
        <w:ind w:right="60"/>
        <w:spacing w:after="0" w:line="235" w:lineRule="auto"/>
        <w:rPr>
          <w:sz w:val="20"/>
          <w:szCs w:val="20"/>
          <w:color w:val="auto"/>
        </w:rPr>
      </w:pPr>
      <w:r>
        <w:rPr>
          <w:rFonts w:ascii="Arial" w:cs="Arial" w:eastAsia="Arial" w:hAnsi="Arial"/>
          <w:sz w:val="18"/>
          <w:szCs w:val="18"/>
          <w:color w:val="auto"/>
        </w:rPr>
        <w:t>a Failure to Supply continues for more than one hundred eighty (180) days, and (b) to cancel Purchase Orders for any quantities of Products affected by such Failure to Supply effective upon notice to Hamilton without penalty or liability.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Force Majeure Events.</w:t>
      </w:r>
    </w:p>
    <w:p>
      <w:pPr>
        <w:spacing w:after="0" w:line="198" w:lineRule="exact"/>
        <w:rPr>
          <w:sz w:val="20"/>
          <w:szCs w:val="20"/>
          <w:color w:val="auto"/>
        </w:rPr>
      </w:pPr>
    </w:p>
    <w:p>
      <w:pPr>
        <w:jc w:val="both"/>
        <w:ind w:left="660"/>
        <w:spacing w:after="0" w:line="223" w:lineRule="auto"/>
        <w:rPr>
          <w:sz w:val="20"/>
          <w:szCs w:val="20"/>
          <w:color w:val="auto"/>
        </w:rPr>
      </w:pPr>
      <w:r>
        <w:rPr>
          <w:rFonts w:ascii="Arial" w:cs="Arial" w:eastAsia="Arial" w:hAnsi="Arial"/>
          <w:sz w:val="18"/>
          <w:szCs w:val="18"/>
          <w:color w:val="auto"/>
        </w:rPr>
        <w:t>Except as otherwise provided in this section 12.2, the failure of either Party to perform the terms of this Agreement in whole or in part will be temporarily excused if such failure is the result of causes beyond such Party’s reasonable control, including, without limitation, acts of God, flood, earthquake, wind and lightning, insurrections, riots, war and warlike operations, civil commotion, fires, explosions, accidents, terrorist acts, acts of the public enemy, epidemics, and changes in laws or regulations or restrictions of any Regulatory Authority (collectively, a “</w:t>
      </w:r>
      <w:r>
        <w:rPr>
          <w:rFonts w:ascii="Arial" w:cs="Arial" w:eastAsia="Arial" w:hAnsi="Arial"/>
          <w:sz w:val="18"/>
          <w:szCs w:val="18"/>
          <w:b w:val="1"/>
          <w:bCs w:val="1"/>
          <w:color w:val="auto"/>
        </w:rPr>
        <w:t>Force Majeure Event</w:t>
      </w:r>
      <w:r>
        <w:rPr>
          <w:rFonts w:ascii="Arial" w:cs="Arial" w:eastAsia="Arial" w:hAnsi="Arial"/>
          <w:sz w:val="18"/>
          <w:szCs w:val="18"/>
          <w:color w:val="auto"/>
        </w:rPr>
        <w:t>”). If performance of this Agreement is excused pursuant to this section 12.2, the Party thus excused will use reasonable efforts to avoid, remove and correct the circumstances which caused the failure to perform, and the Party excused from performance will resume performance with the utmost dispatch when such circumstances are avoided, removed or corrected.</w:t>
      </w:r>
    </w:p>
    <w:p>
      <w:pPr>
        <w:spacing w:after="0" w:line="189"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A Party claiming to be unable to perform its obligations under this Agreement (either on time or at all) in any of the circumstances set out in this section 12.2 shall notify the other Party of the nature and extent of the circumstances in question as soon as practicable.</w:t>
      </w:r>
    </w:p>
    <w:p>
      <w:pPr>
        <w:spacing w:after="0" w:line="189" w:lineRule="exact"/>
        <w:rPr>
          <w:sz w:val="20"/>
          <w:szCs w:val="20"/>
          <w:color w:val="auto"/>
        </w:rPr>
      </w:pPr>
    </w:p>
    <w:p>
      <w:pPr>
        <w:jc w:val="both"/>
        <w:ind w:left="660" w:right="20"/>
        <w:spacing w:after="0" w:line="235" w:lineRule="auto"/>
        <w:rPr>
          <w:sz w:val="20"/>
          <w:szCs w:val="20"/>
          <w:color w:val="auto"/>
        </w:rPr>
      </w:pPr>
      <w:r>
        <w:rPr>
          <w:rFonts w:ascii="Arial" w:cs="Arial" w:eastAsia="Arial" w:hAnsi="Arial"/>
          <w:sz w:val="18"/>
          <w:szCs w:val="18"/>
          <w:color w:val="auto"/>
        </w:rPr>
        <w:t>This section 12.2 shall cease to apply when such circumstances have ceased to have effect on the performance of this Agreement and the Party affected shall give notice to the other Party that the circumstances have ceased.</w:t>
      </w:r>
    </w:p>
    <w:p>
      <w:pPr>
        <w:spacing w:after="0" w:line="189" w:lineRule="exact"/>
        <w:rPr>
          <w:sz w:val="20"/>
          <w:szCs w:val="20"/>
          <w:color w:val="auto"/>
        </w:rPr>
      </w:pPr>
    </w:p>
    <w:p>
      <w:pPr>
        <w:jc w:val="both"/>
        <w:ind w:left="660" w:right="20"/>
        <w:spacing w:after="0" w:line="235" w:lineRule="auto"/>
        <w:rPr>
          <w:sz w:val="20"/>
          <w:szCs w:val="20"/>
          <w:color w:val="auto"/>
        </w:rPr>
      </w:pPr>
      <w:r>
        <w:rPr>
          <w:rFonts w:ascii="Arial" w:cs="Arial" w:eastAsia="Arial" w:hAnsi="Arial"/>
          <w:sz w:val="18"/>
          <w:szCs w:val="18"/>
          <w:color w:val="auto"/>
        </w:rPr>
        <w:t>If any circumstance relied on by either Party for the purposes of this section 12.2 continues for more than six months, the other Party shall be entitled to terminate this Agreement immediately by providing the other Party written notice of termination.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Other Arrangements.</w:t>
      </w:r>
    </w:p>
    <w:p>
      <w:pPr>
        <w:spacing w:after="0" w:line="19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Notwithstanding the provisions of section 12.2, in the event that due to the occurrence of a Force Majeure Event, Hamilton shall be unable to supply any Product in such quantities as Buyer shall request and in compliance with the delivery schedule requested by Buyer, then Buyer shall be permitted (with no obligation or liability to Hamilton) to obtain such product similar to the Product affected from another supplier until such time Hamilton can resume supply.</w:t>
      </w:r>
    </w:p>
    <w:p>
      <w:pPr>
        <w:spacing w:after="0" w:line="189" w:lineRule="exact"/>
        <w:rPr>
          <w:sz w:val="20"/>
          <w:szCs w:val="20"/>
          <w:color w:val="auto"/>
        </w:rPr>
      </w:pPr>
    </w:p>
    <w:p>
      <w:pPr>
        <w:ind w:right="3040" w:firstLine="3033"/>
        <w:spacing w:after="0" w:line="469" w:lineRule="auto"/>
        <w:rPr>
          <w:sz w:val="20"/>
          <w:szCs w:val="20"/>
          <w:color w:val="auto"/>
        </w:rPr>
      </w:pPr>
      <w:r>
        <w:rPr>
          <w:rFonts w:ascii="Arial" w:cs="Arial" w:eastAsia="Arial" w:hAnsi="Arial"/>
          <w:sz w:val="18"/>
          <w:szCs w:val="18"/>
          <w:color w:val="auto"/>
        </w:rPr>
        <w:t>ARTICLE 13 - LABELING; ARTWORK; PROPRIETARY RIGHTS 13.1 Buyer’s use of Hamilton Marks.</w:t>
      </w:r>
    </w:p>
    <w:p>
      <w:pPr>
        <w:spacing w:after="0" w:line="1"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Buyer shall have the limited right to use Hamilton’s corporate name, trademarks, trade names, artwork, logos and designs (“</w:t>
      </w:r>
      <w:r>
        <w:rPr>
          <w:rFonts w:ascii="Arial" w:cs="Arial" w:eastAsia="Arial" w:hAnsi="Arial"/>
          <w:sz w:val="18"/>
          <w:szCs w:val="18"/>
          <w:b w:val="1"/>
          <w:bCs w:val="1"/>
          <w:color w:val="auto"/>
        </w:rPr>
        <w:t>Hamilton Marks</w:t>
      </w:r>
      <w:r>
        <w:rPr>
          <w:rFonts w:ascii="Arial" w:cs="Arial" w:eastAsia="Arial" w:hAnsi="Arial"/>
          <w:sz w:val="18"/>
          <w:szCs w:val="18"/>
          <w:color w:val="auto"/>
        </w:rPr>
        <w:t>”) to the extent (i) affixed to any Product; (ii) required by law after written notice to Hamilton; or (iii) otherwise provided in this Agreement. The name “Hamilton”, its trademark or associated design will appear on the front of the Instrument, in a place visible to end-users of the Final Product and will be no larger than 0.5 inches high by 2.5 inches wide. Hamilton hereby grants to Buyer and its Affiliates a nonexclusive right and license to use the Hamilton Marks in accordance with this section 13.1.</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Hamilton’s use of Buyers Marks.</w:t>
      </w:r>
    </w:p>
    <w:p>
      <w:pPr>
        <w:spacing w:after="0" w:line="198" w:lineRule="exact"/>
        <w:rPr>
          <w:sz w:val="20"/>
          <w:szCs w:val="20"/>
          <w:color w:val="auto"/>
        </w:rPr>
      </w:pPr>
    </w:p>
    <w:p>
      <w:pPr>
        <w:jc w:val="both"/>
        <w:ind w:left="660"/>
        <w:spacing w:after="0" w:line="223" w:lineRule="auto"/>
        <w:rPr>
          <w:sz w:val="20"/>
          <w:szCs w:val="20"/>
          <w:color w:val="auto"/>
        </w:rPr>
      </w:pPr>
      <w:r>
        <w:rPr>
          <w:rFonts w:ascii="Arial" w:cs="Arial" w:eastAsia="Arial" w:hAnsi="Arial"/>
          <w:sz w:val="18"/>
          <w:szCs w:val="18"/>
          <w:color w:val="auto"/>
        </w:rPr>
        <w:t>Hamilton shall have the limited right and obligation to use Buyer’s corporate name, trademarks, trade names, artwork, logos and designs (“</w:t>
      </w:r>
      <w:r>
        <w:rPr>
          <w:rFonts w:ascii="Arial" w:cs="Arial" w:eastAsia="Arial" w:hAnsi="Arial"/>
          <w:sz w:val="18"/>
          <w:szCs w:val="18"/>
          <w:b w:val="1"/>
          <w:bCs w:val="1"/>
          <w:color w:val="auto"/>
        </w:rPr>
        <w:t>Buyer’s Marks</w:t>
      </w:r>
      <w:r>
        <w:rPr>
          <w:rFonts w:ascii="Arial" w:cs="Arial" w:eastAsia="Arial" w:hAnsi="Arial"/>
          <w:sz w:val="18"/>
          <w:szCs w:val="18"/>
          <w:color w:val="auto"/>
        </w:rPr>
        <w:t>”) to the extent (i) mutually agreed by the Parties; (ii) requested by Buyer in writing to Hamilton in order to brand the Instrument or Products necessary to exercise rights or fulfill obligations in this Agreement; (iii) required by law after written notice to Buyer; or (iv) otherwise provided in this Agreement. Without limiting the foregoing, the name “Seer, Inc.”, its trademark or associated design will appear on the front of the Instrument, in a place visible to end-users of the Final Product, as instructed by Buyer in writing. Buyer hereby grants to Hamilton a nonexclusive right and license to use the Buyer’s Marks in accordance with this section 13.2. Buyer shall own all right, title and interest 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16" w:right="339" w:bottom="1440" w:gutter="0" w:footer="0" w:header="0"/>
        </w:sectPr>
      </w:pPr>
    </w:p>
    <w:bookmarkStart w:id="377" w:name="page378"/>
    <w:bookmarkEnd w:id="377"/>
    <w:p>
      <w:pPr>
        <w:ind w:left="660"/>
        <w:spacing w:after="0"/>
        <w:rPr>
          <w:sz w:val="20"/>
          <w:szCs w:val="20"/>
          <w:color w:val="auto"/>
        </w:rPr>
      </w:pPr>
      <w:r>
        <w:rPr>
          <w:rFonts w:ascii="Arial" w:cs="Arial" w:eastAsia="Arial" w:hAnsi="Arial"/>
          <w:sz w:val="18"/>
          <w:szCs w:val="18"/>
          <w:color w:val="auto"/>
        </w:rPr>
        <w:t>and to the Buyer’s Marks, and all goodwill from the use of the Buyer’s Marks shall vest in and inure to the benefit of Buyer.</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Instrument Skin; Packaging.</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Buyer shall select, in consultation with Hamilton, the design and appearance of the “skin” of each Instrument reasonably prior to manufacture. For clarity, the Instrument prices set forth in Exhibit 2 are inclusive of any such skin, except to the extent that Buyer requests a skin following the Effective Date that is materially more expensive to manufacture (as supported by competent written evidence) than the skin(s) discussed by the Parties and selected in principle by Buyer prior to the Effective Date.</w:t>
      </w:r>
    </w:p>
    <w:p>
      <w:pPr>
        <w:spacing w:after="0" w:line="205"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Buyer and Hamilton shall jointly agree, prior to release, on the appearance and text of any labeling and packaging used in connection with the Product or any finished product containing the Product. Product is to be packaged for shipment in a manner that ensures quality of delivery to Buyer.</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Intellectual Property.</w:t>
      </w:r>
    </w:p>
    <w:p>
      <w:pPr>
        <w:spacing w:after="0" w:line="212"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Subject to section 13.1, all rights, title and interest in Hamilton Technology, Hamilton Marks, and other Hamilton Intellectual Property are and shall remain solely with and the property of Hamilton. Subject to section 13.2, all rights, title and interest in Buyer’s Technology, Buyer’s Marks (including all goodwill therein and thereto), and other Buyer Intellectual Property are and shall remain solely with and the property of Buyer. Accordingly, Buyer hereby assigns all of its right, title and interest in and to Hamilton Intellectual Property to Hamilton, and Hamilton hereby assigns all of its right, title and interest in and to Buyer Intellectual Property to Buyer. Each Party agrees to execute any and all papers and documents that are necessary or convenient to perfect the foregoing assignments.</w:t>
      </w:r>
    </w:p>
    <w:p>
      <w:pPr>
        <w:spacing w:after="0" w:line="203"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It is not intended that any Intellectual Property will be jointly developed by the Parties. If the Parties anticipate that they will jointly develop Intellectual Property, they will negotiate a separate agreement to address ownership of such Intellectual Property.</w:t>
      </w:r>
    </w:p>
    <w:p>
      <w:pPr>
        <w:spacing w:after="0" w:line="197"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Parties acknowledge and agree that all Intellectual Property Rights associated with the MicroLab® NIMBUS, MicroLab® STAR, and MicroLab® VANTAGE Liquid Handling System product lines are owned solely and exclusively by Hamilton and that nothing in this Agreement grants or conveys to Buyer or any other party any ownership, right, title or interest, or any security interest in the MicroLab® NIMBUS, MicroLab® STAR, and MicroLab® VANTAGE Liquid Handling System product line other than permissive rights granted to Buyer herein. The Parties further acknowledge and agree that all Intellectual Property Rights associated with the Proteograph™ platform (including without limitation in or to any Buyer’s Assays) are owned solely and exclusively by Buyer and that nothing in this Agreement grants or conveys to Hamilton or any other party any ownership, right, title or interest, or any security interest in the Proteograph™ platform (or such Buyer’s Assays). All rights not expressly granted herein are reserved by the owner thereof.</w:t>
      </w:r>
    </w:p>
    <w:p>
      <w:pPr>
        <w:spacing w:after="0" w:line="20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ARTICLE 14 - GENERAL AND SPECIFIC REPRESENTATIONS AND WARRANTIES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Corporate Standing.</w:t>
      </w:r>
    </w:p>
    <w:p>
      <w:pPr>
        <w:spacing w:after="0" w:line="212"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Buyer and Hamilton each represents and warrants to the other that it is duly organized, validly existing and in good standing under the laws of the jurisdiction in which incorporated, organized or formed, as applicable, and that it has full authority and power to carry on the business presently being conducted by it and to enter into and perform its obligations under this Agreement.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Due Authorization/Enforceability.</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Buyer and Hamilton each represents and warrants to the other that (i) it has taken all actions necessary to authorize the execution and delivery of this Agreement and the performance of its obligations hereunder, (ii) the individual executing this Agreement on its behalf has the legal power, right and authority to bind such Party to the terms and conditions of this Agreement, and (iii) and this Agreement is a valid and binding obligation of the Party, enforceable according to its terms.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16" w:right="339" w:bottom="1440" w:gutter="0" w:footer="0" w:header="0"/>
        </w:sectPr>
      </w:pPr>
    </w:p>
    <w:bookmarkStart w:id="378" w:name="page379"/>
    <w:bookmarkEnd w:id="378"/>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No Infringement.</w:t>
      </w:r>
    </w:p>
    <w:p>
      <w:pPr>
        <w:spacing w:after="0" w:line="21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Hamilton represents and warrants to Buyer that the manufacture, use or sale of the Products do not infringe on any patent, trademark or other intellectual property of any third party.</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Title.</w:t>
      </w:r>
    </w:p>
    <w:p>
      <w:pPr>
        <w:spacing w:after="0" w:line="21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Hamilton represents and warrants to Buyer that title to all Product supplied to Buyer under this Agreement shall pass as provided in this Agreement, free and clear of any security interest, lien, or other encumbrance.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color w:val="auto"/>
        </w:rPr>
        <w:t>ISO Certification.</w:t>
      </w:r>
    </w:p>
    <w:p>
      <w:pPr>
        <w:spacing w:after="0" w:line="212"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Hamilton represents and warrants to Buyer that it has and will maintain during the Term ISO certification for its manufacturing facilities and all other regulatory authorizations and approvals necessary to manufacture and supply the Products and perform the Services in accordance with this Agreement.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Buyer’s Assays.</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Hamilton represents and warrants to Buyer that, during the period commencing on the effective date of the Prior CDA and continuing until the Effective Date, neither it nor any of its Affiliates has filed, or caused to be filed, a patent application claiming in whole or in part any Buyer’s Assays. Hamilton agrees, during the Term, not to incorporate into any instrument or product or otherwise practice any Buyer’s Assays or other Buyer’s Technology, except, in each case, on behalf of Buyer pursuant to this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15 – INDEMNIFICATION / INSURANCE</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Indemnification by Hamilton.</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Except as otherwise limited hereby, Hamilton shall indemnify, defend and hold harmless Buyer and its Representatives from and against any and all losses, liabilities, costs, expenses, or damages (including reasonable attorney’s fees and related costs), based upon, arising out of, or resulting from a claim or demand by a third party (each a “</w:t>
      </w:r>
      <w:r>
        <w:rPr>
          <w:rFonts w:ascii="Arial" w:cs="Arial" w:eastAsia="Arial" w:hAnsi="Arial"/>
          <w:sz w:val="18"/>
          <w:szCs w:val="18"/>
          <w:b w:val="1"/>
          <w:bCs w:val="1"/>
          <w:color w:val="auto"/>
        </w:rPr>
        <w:t>Claim</w:t>
      </w:r>
      <w:r>
        <w:rPr>
          <w:rFonts w:ascii="Arial" w:cs="Arial" w:eastAsia="Arial" w:hAnsi="Arial"/>
          <w:sz w:val="18"/>
          <w:szCs w:val="18"/>
          <w:color w:val="auto"/>
        </w:rPr>
        <w:t>” and collectively, the “</w:t>
      </w:r>
      <w:r>
        <w:rPr>
          <w:rFonts w:ascii="Arial" w:cs="Arial" w:eastAsia="Arial" w:hAnsi="Arial"/>
          <w:sz w:val="18"/>
          <w:szCs w:val="18"/>
          <w:b w:val="1"/>
          <w:bCs w:val="1"/>
          <w:color w:val="auto"/>
        </w:rPr>
        <w:t>Claims</w:t>
      </w:r>
      <w:r>
        <w:rPr>
          <w:rFonts w:ascii="Arial" w:cs="Arial" w:eastAsia="Arial" w:hAnsi="Arial"/>
          <w:sz w:val="18"/>
          <w:szCs w:val="18"/>
          <w:color w:val="auto"/>
        </w:rPr>
        <w:t>”) due to: (a) any breach in the performance of Hamilton’s obligations under this Agreement, including any representation or warranty; (b) any gross negligence or willful misconduct by Hamilton or any of its Representatives; (c) any violation of Applicable Law by Hamilton or any of its Representatives; or (d) any allegation that Hamilton or the use of its Intellectual Property in connection with the Products infringes a patent, trademark, copyright, trade secret or any Intellectual Property Right of a third party, except to the extent that any such allegation is based upon allegations that the use of Buyer’s Intellectual Property embodied in the Products infringes a patent, trademark, copyright, trade secret or any Intellectual Property Right of a third party.</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Indemnification by Buyer.</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Except as otherwise limited hereby, Buyer shall indemnify, defend and hold harmless Hamilton and its Representatives from and against any and all Claims due to: (a) any breach in the performance of Buyer’s obligations under this Agreement, including any representation or warranty; (b) any gross negligence or willful misconduct by Buyer or any of its Representatives; (c) any violation of Applicable Law by Buyer or any of its Representatives; or (d) any allegation that Buyer or the use of its Intellectual Property, infringes a patent, trademark, copyright, trade secret or any Intellectual Property Right of a third party, except to the extent that any such allegation is based upon allegations that the use of Hamilton’s Intellectual Property embodied in or used to manufacture the Products infringes a patent, trademark, copyright, trade secret or any Intellectual Property Right of a third party. Buyer shall have no such obligation to indemnify, defend or hold harmless for a Claim under this section 15.2 to the extent Hamilton is responsible for such Claim pursuant to section 15.1 above.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Claims.</w:t>
      </w:r>
    </w:p>
    <w:p>
      <w:pPr>
        <w:spacing w:after="0" w:line="19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 party having the right to indemnification hereunder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other (the “</w:t>
      </w:r>
      <w:r>
        <w:rPr>
          <w:rFonts w:ascii="Arial" w:cs="Arial" w:eastAsia="Arial" w:hAnsi="Arial"/>
          <w:sz w:val="18"/>
          <w:szCs w:val="18"/>
          <w:b w:val="1"/>
          <w:bCs w:val="1"/>
          <w:color w:val="auto"/>
        </w:rPr>
        <w:t>Indemnifying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of the commencement of any action, suit or proceeding for which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18</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79" w:name="page380"/>
    <w:bookmarkEnd w:id="379"/>
    <w:p>
      <w:pPr>
        <w:jc w:val="both"/>
        <w:ind w:left="660"/>
        <w:spacing w:after="0" w:line="236" w:lineRule="auto"/>
        <w:rPr>
          <w:sz w:val="20"/>
          <w:szCs w:val="20"/>
          <w:color w:val="auto"/>
        </w:rPr>
      </w:pPr>
      <w:r>
        <w:rPr>
          <w:rFonts w:ascii="Arial" w:cs="Arial" w:eastAsia="Arial" w:hAnsi="Arial"/>
          <w:sz w:val="18"/>
          <w:szCs w:val="18"/>
          <w:color w:val="auto"/>
        </w:rPr>
        <w:t>indemnification may be sought, and the Indemnifying Party, through counsel reasonable satisfactory to the Indemnified Party, shall assume the defense thereof; provided, however, that the Indemnified Party shall be entitled to participate in any such action, suit or proceeding with counsel of its own choice, but at its own expense. If the Indemnifying Party fails to assume the defense within a reasonable time, the Indemnified Party may assume such defense and the reasonable fees and expenses of its attorneys will be covered by the indemnity provided for in this article 15. The Indemnifying Party shall not, without the written consent of the Indemnified Party, which consent shall not be unreasonably withheld: (i) settle or compromise any action, suit or proceeding or consent to the entry of any judgment which does not include as an unconditional term thereof the delivery by the claimant or plaintiff to the Indemnified Party of a written release from all liability in respect of such action, suit or proceeding; or (ii) settle or compromise any action, suit or proceeding in any manner which may materially and adversely affect the Indemnified Party other than as a result of money damages or other money payments. The Indemnifying Party shall have the exclusive right to control the action, suit or proceeding and, subject to the foregoing, enter into any settlement with respect thereto.</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Insurance.</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Hamilton’s Insurance Minimum Requirements. Hamilton will maintain, for the Term, policies of liability insurance, with product liability coverage’s with minimum limits of [***] per occurrence and [***] in the aggregate. Hamilton shall, upon Buyer’s request, provide a certificate of insurance which will evidence the foregoing coverage limits and the insurer’s agreement to notify Buyer in writing of any proposed cancellation of such policies at least thirty (30) days before any such cancellation is to be effective.</w:t>
      </w:r>
    </w:p>
    <w:p>
      <w:pPr>
        <w:spacing w:after="0" w:line="204" w:lineRule="exact"/>
        <w:rPr>
          <w:sz w:val="20"/>
          <w:szCs w:val="20"/>
          <w:color w:val="auto"/>
        </w:rPr>
      </w:pPr>
    </w:p>
    <w:p>
      <w:pPr>
        <w:jc w:val="both"/>
        <w:ind w:left="660" w:right="20"/>
        <w:spacing w:after="0" w:line="254" w:lineRule="auto"/>
        <w:rPr>
          <w:sz w:val="20"/>
          <w:szCs w:val="20"/>
          <w:color w:val="auto"/>
        </w:rPr>
      </w:pPr>
      <w:r>
        <w:rPr>
          <w:rFonts w:ascii="Arial" w:cs="Arial" w:eastAsia="Arial" w:hAnsi="Arial"/>
          <w:sz w:val="18"/>
          <w:szCs w:val="18"/>
          <w:color w:val="auto"/>
        </w:rPr>
        <w:t>Buyer’s Insurance Minimum Requirements. Buyer will maintain, for the Term, policies of liability insurance, with product liability coverage with minimum limits of [***] per occurrence and [***] in the aggregate. Buyer shall, upon Hamilton’s request, provide a certificate of insurance which will evidence the foregoing coverage limits and the insurer’s agreement to notify Hamilton in writing of any proposed cancellation of such policies at least thirty (30) days before any such cancellation is to be effective.</w:t>
      </w:r>
    </w:p>
    <w:p>
      <w:pPr>
        <w:spacing w:after="0" w:line="204" w:lineRule="exact"/>
        <w:rPr>
          <w:sz w:val="20"/>
          <w:szCs w:val="20"/>
          <w:color w:val="auto"/>
        </w:rPr>
      </w:pPr>
    </w:p>
    <w:p>
      <w:pPr>
        <w:ind w:left="660" w:right="720"/>
        <w:spacing w:after="0" w:line="261" w:lineRule="auto"/>
        <w:rPr>
          <w:sz w:val="20"/>
          <w:szCs w:val="20"/>
          <w:color w:val="auto"/>
        </w:rPr>
      </w:pPr>
      <w:r>
        <w:rPr>
          <w:rFonts w:ascii="Arial" w:cs="Arial" w:eastAsia="Arial" w:hAnsi="Arial"/>
          <w:sz w:val="18"/>
          <w:szCs w:val="18"/>
          <w:color w:val="auto"/>
        </w:rPr>
        <w:t>Upon the other Party’s request, each Party shall provide to the other Party a certificate of coverage or other written evidence reasonably satisfactory to the other Party of such insurance coverage.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16 – MISCELLANEOUS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Confidentiality.</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Confidentiality Term. During the Term, and for a period of five years thereafter, the Parties shall take such steps as are reasonably required to protect Confidential Information (as hereinafter defined) supplied or revealed to it (the “</w:t>
      </w:r>
      <w:r>
        <w:rPr>
          <w:rFonts w:ascii="Arial" w:cs="Arial" w:eastAsia="Arial" w:hAnsi="Arial"/>
          <w:sz w:val="18"/>
          <w:szCs w:val="18"/>
          <w:b w:val="1"/>
          <w:bCs w:val="1"/>
          <w:color w:val="auto"/>
        </w:rPr>
        <w:t>Receiving Party</w:t>
      </w:r>
      <w:r>
        <w:rPr>
          <w:rFonts w:ascii="Arial" w:cs="Arial" w:eastAsia="Arial" w:hAnsi="Arial"/>
          <w:sz w:val="18"/>
          <w:szCs w:val="18"/>
          <w:color w:val="auto"/>
        </w:rPr>
        <w:t>”) by the other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pursuant to this Agreement and shall not use such information except for the purposes hereof.</w:t>
      </w: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Confidential Information. All non-public, confidential or proprietary information, including but not limited to Specifications, samples, patterns, designs, plans, drawings, documents, data, business operations, customer lists, pricing, discounts or rebates, disclosed, whether disclosed orally or disclosed or accessed in written, electronic or other form or media, and whether or not marked, designated or otherwise identified as “confidential” in connection with this Agreement is confidential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solely for the use of performing the Agreement and may not be disclosed or copied unless authorized in advance by the Disclosing Party in writing.</w:t>
      </w:r>
    </w:p>
    <w:p>
      <w:pPr>
        <w:spacing w:after="0" w:line="20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Obligations of the Receiving Party. The Receiving Party shall (a) protect and safeguard the confidentiality of all of the Disclosing Party’s Confidential Information with at least the same degree of care as the Receiving Party would protect its own Confidential Information, but in no event with less than a commercially reasonable degree of care; and (b) not use the Disclosing Party’s Confidential Information, or permit it to be accessed or used, for any purpose other than performance of obligations or exercise of rights in accordance with this Agreement, including without limitation to reverse engineer, disassemble, decompile or design around the Disclosing Party’s proprietary services, products and/or confidential Intellectual Property.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19</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80" w:name="page381"/>
    <w:bookmarkEnd w:id="380"/>
    <w:p>
      <w:pPr>
        <w:jc w:val="both"/>
        <w:ind w:left="660"/>
        <w:spacing w:after="0" w:line="236" w:lineRule="auto"/>
        <w:rPr>
          <w:sz w:val="20"/>
          <w:szCs w:val="20"/>
          <w:color w:val="auto"/>
        </w:rPr>
      </w:pPr>
      <w:r>
        <w:rPr>
          <w:rFonts w:ascii="Arial" w:cs="Arial" w:eastAsia="Arial" w:hAnsi="Arial"/>
          <w:sz w:val="18"/>
          <w:szCs w:val="18"/>
          <w:color w:val="auto"/>
        </w:rPr>
        <w:t>Exceptions. Nothing in this article 16 shall be construed to impose a confidentiality obligation on the Receiving Party in connection with any information to the extent such information is (1) at the time of disclosure already known to the Receiving Party (as established by such Party’s prior written records); (2) at the time of disclosure or subsequently becomes part of the public domain through no fault, act or omission of the Receiving Party; (3) subsequently disclosed to the Receiving Party without any confidentiality obligation by a third party whose receipt and disclosure of such information does not constitute a violation of any confidentiality obligation; (4) independently developed by or for the Receiving Party by individuals having no access to or knowledge of the Disclosing Party’s Confidential Information (as established by such Party’s contemporaneous written records); or (5) required to be disclosed by law or governmental regulation, provided that the Receiving Party (i) provides the Disclosing Party with prompt written notice of such disclosure requirement if legally permitted, (ii) affords the Disclosing Party an opportunity, and cooperates with the Disclosing Party’s efforts, to oppose or limit, or secure confidential treatment for such required disclosure (at the Disclosing Party’s expense), and (iii) if the Disclosing Party is unsuccessful in its efforts pursuant to subsection (ii), discloses only that portion of the Confidential Information that the Receiving Party is legally required to disclose as advised by the Receiving Party’s legal counsel.</w:t>
      </w:r>
    </w:p>
    <w:p>
      <w:pPr>
        <w:spacing w:after="0" w:line="204"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Feedback. Hamilton hereby grants to Buyer a non-exclusive, perpetual, irrevocable, royalty free, worldwide license, with the right to grant and authorize sublicenses, to use, offer for sale, sell, distribute, display, perform and otherwise exploit Feedback without restriction. For purposes of this Agreement, “</w:t>
      </w:r>
      <w:r>
        <w:rPr>
          <w:rFonts w:ascii="Arial" w:cs="Arial" w:eastAsia="Arial" w:hAnsi="Arial"/>
          <w:sz w:val="18"/>
          <w:szCs w:val="18"/>
          <w:b w:val="1"/>
          <w:bCs w:val="1"/>
          <w:color w:val="auto"/>
        </w:rPr>
        <w:t>Feedback</w:t>
      </w:r>
      <w:r>
        <w:rPr>
          <w:rFonts w:ascii="Arial" w:cs="Arial" w:eastAsia="Arial" w:hAnsi="Arial"/>
          <w:sz w:val="18"/>
          <w:szCs w:val="18"/>
          <w:color w:val="auto"/>
        </w:rPr>
        <w:t>” means any ideas, suggestions, feedback, guidance or other information or materials disclosed by Hamilton to Buyer or its customers relating to Buyer’s Proteograph™ platform or business (including any Intellectual Property Rights in or to the foregoing).</w:t>
      </w:r>
    </w:p>
    <w:p>
      <w:pPr>
        <w:spacing w:after="0" w:line="202"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Retrieval of Confidential Information. Except as otherwise permitted under this Agreement, upon request by the Disclosing Party after expiration or termination of this Agreement, the Receiving Party shall either return all of such Disclosing Party’s Confidential Information (including all copies thereof) received or prepared by it or destroy the same; provided, however, that counsel for the Receiving Party may keep one copy of the Confidential Information for purposes of ascertaining the Receiving Party’s obligations under this article 16.</w:t>
      </w:r>
    </w:p>
    <w:p>
      <w:pPr>
        <w:spacing w:after="0" w:line="20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Adequate Remedy Unavailable. Each Party acknowledges that that the other Party may not have an adequate remedy at law for breach of any of the covenants contained in this article 16 and agrees that the breach or threatened breach of such covenants will entitle the other Party to seek injunctive relief issued by any court having appropriate jurisdiction thereof, in addition to any other legal remedies that may be available to it.</w:t>
      </w:r>
    </w:p>
    <w:p>
      <w:pPr>
        <w:spacing w:after="0" w:line="205"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Survival. In the event of termination of this Agreement by either Party for any reason, Buyer may retain and use, for a period of seven years after termination, any Confidential Information necessary in order to service each such Product that Buyer has in inventory or has sold or placed.</w:t>
      </w:r>
    </w:p>
    <w:p>
      <w:pPr>
        <w:spacing w:after="0" w:line="203"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Prior CDA. This Agreement supersedes the Mutual Non-Disclosure Agreement between Hamilton and Buyer effective March 20, 2019 (the “</w:t>
      </w:r>
      <w:r>
        <w:rPr>
          <w:rFonts w:ascii="Arial" w:cs="Arial" w:eastAsia="Arial" w:hAnsi="Arial"/>
          <w:sz w:val="18"/>
          <w:szCs w:val="18"/>
          <w:b w:val="1"/>
          <w:bCs w:val="1"/>
          <w:color w:val="auto"/>
        </w:rPr>
        <w:t>Prior CDA</w:t>
      </w:r>
      <w:r>
        <w:rPr>
          <w:rFonts w:ascii="Arial" w:cs="Arial" w:eastAsia="Arial" w:hAnsi="Arial"/>
          <w:sz w:val="18"/>
          <w:szCs w:val="18"/>
          <w:color w:val="auto"/>
        </w:rPr>
        <w:t>”) with respect to information disclosed thereunder. All information or materials disclosed or provided by Hamilton to Buyer under the Prior CDA shall be deemed Confidential Information of Hamilton (subject to the exceptions set forth herein) and shall be subject to Buyer’s confidentiality obligations under this section 16.1. All information disclosed by Buyer under the Prior CDA shall be deemed Confidential Information of Buyer (subject to the exceptions set forth herein) and shall be subject to Hamilton’s confidentiality obligations under this section 16.1.</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Public Announcements.</w:t>
      </w:r>
    </w:p>
    <w:p>
      <w:pPr>
        <w:spacing w:after="0" w:line="212"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Each Party hereto covenants and agrees that, except as provided for herein, it will not from and after the date hereof make, issue or release any public announcement, press release, statement or acknowledgment of the existence of, or reveal publicly the terms, conditions and status of, the transactions contemplated herein, without the prior written consent of the other Party as to the content and time of release of and the media in which such statement or announcement is to be made, such consent not to be unreasonably withheld; provided, however, that in the case of announcements, statements, acknowledgments or revelations which either Party is required by law to make, issue or release, the making, issuing or releasing of any such announcement, statement, acknowledgment or revelation by the Party so required by law shall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20</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81" w:name="page382"/>
    <w:bookmarkEnd w:id="381"/>
    <w:p>
      <w:pPr>
        <w:jc w:val="both"/>
        <w:ind w:left="660"/>
        <w:spacing w:after="0" w:line="236" w:lineRule="auto"/>
        <w:rPr>
          <w:sz w:val="20"/>
          <w:szCs w:val="20"/>
          <w:color w:val="auto"/>
        </w:rPr>
      </w:pPr>
      <w:r>
        <w:rPr>
          <w:rFonts w:ascii="Arial" w:cs="Arial" w:eastAsia="Arial" w:hAnsi="Arial"/>
          <w:sz w:val="18"/>
          <w:szCs w:val="18"/>
          <w:color w:val="auto"/>
        </w:rPr>
        <w:t>not constitute a breach of this Agreement if such Party shall have given, to the extent reasonably practicable, not less than two calendar days prior notice to the other Party, and shall have attempted, to the extent reasonably possible, to clear such announcement, statement, acknowledgment or revelation with the other Party. Hamilton shall not use the name of Buyer or any of its Affiliates for advertising or promotional purposes without the prior written consent of Buyer. In furtherance of the foregoing, Hamilton shall not originate any publicity or other announcement, written or oral, whether to the public, the press, the trade, Buyer’s or Hamilton’s customers or otherwise, relating to this Agreement or the existence of an arrangement between the Parties, without the prior written approval of Buyer. To the extent the name “Hamilton”, its trademark and/or associated design is not required to appear on the front of the Instrument under the terms of this Agreement, Buyer shall not have the right to use the name of Hamilton or any of its Affiliates for advertising or promotional purposes without the prior written consent of Hamilton, which consent shall not be unreasonably withheld, conditioned or delayed. To the extent the name “Hamilton”, its trademark and/or associated design is required to appear on the front of the Instrument under the terms of this Agreement, Buyer shall have the right to identify Hamilton as the manufacturer of the Instruments on its website, in press releases and in advertising and promotional materials for any Final Product (or component thereof).</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Arbitration.</w:t>
      </w:r>
    </w:p>
    <w:p>
      <w:pPr>
        <w:spacing w:after="0" w:line="225"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All disputes, controversies and differences between the Parties arising directly or indirectly from this Agreement or any transaction contemplated hereby shall be resolved by binding arbitration. Such arbitration shall be held before one arbitrator in San Francisco, California pursuant to the Commercial Arbitration Rules then in effect of the American Arbitration Association, which arbitration shall be binding on all Parties and shall constitute the final resolution of such dispute. No Party shall commence any action against another to resolve any such dispute in any court except to confirm or enforce such arbitrator’s award. Judgment upon any such award rendered may be entered by any court having jurisdiction thereof, and each Party expressly consents to the jurisdiction thereof. The arbitrator (a) shall not have any power or authority to add to, alter, amend or modify the terms of this Agreement; (b) shall interpret and construe this Agreement in accordance with, and shall be bound by, the laws of the State of Delaware (except that this section 16.3 shall be governed by the Federal Arbitration Act); (c) shall have no power or authority to grant or award punitive damages (except as provided in this section 16.3 below); (d) shall establish and enforce appropriate rules to ensure that the proceedings, including the decision, be kept confidential and that all Confidential Information of the Parties be kept confidential and be used for no purpose other than the arbitration and (e) shall have the power to enforce specifically this Agreement and the terms and conditions hereof in addition to any other remedies at law or in equity. EXCEPT FOR BREACHES OF SECTION 16.1 OR A PARTY’S GROSS NEGLIGENCE OR INTENTIONAL MISCONDUCT, THE ARBITRATOR SHALL NOT BE AUTHORIZED TO AWARD ANY PARTY PUNITIVE, EXEMPLARY, MULTIPLIED OR CONSEQUENTIAL DAMAGES, AND EACH PARTY HEREBY IRREVOCABLY WAIVES ANY RIGHT TO SEEK SUCH DAMAGES.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Governing Law.</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This Agreement shall be governed by the laws of the State of Delaware, without giving effect to any choice or conflict of law provision or rule (whether of the State of Delaware or any other jurisdiction) that would cause the application of the laws of any jurisdiction other than those of the State of Delaware.</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Relationship of the Parties.</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relationship of Hamilton to Buyer under this Agreement is intended to be that of independent contractor. Nothing contained in this Agreement is intended or is to be construed so as to constitute Buyer and Hamilton as partners or as employer/employee or principal/agent, or the employees or the agents of any Party hereto as employees or agents of any other Party hereto. Neither Party hereto has any express or implied right or authority under this Agreement to assume or create any obligations on behalf of or in the name of the other Party hereto or to bind the other Party hereto to an agreement or other undertaking with any third party, other than the successors and permitted assigns of the respective Parties hereto.</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Entire Agreement.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21</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82" w:name="page383"/>
    <w:bookmarkEnd w:id="382"/>
    <w:p>
      <w:pPr>
        <w:jc w:val="both"/>
        <w:ind w:left="660"/>
        <w:spacing w:after="0" w:line="235" w:lineRule="auto"/>
        <w:rPr>
          <w:sz w:val="20"/>
          <w:szCs w:val="20"/>
          <w:color w:val="auto"/>
        </w:rPr>
      </w:pPr>
      <w:r>
        <w:rPr>
          <w:rFonts w:ascii="Arial" w:cs="Arial" w:eastAsia="Arial" w:hAnsi="Arial"/>
          <w:sz w:val="17"/>
          <w:szCs w:val="17"/>
          <w:color w:val="auto"/>
        </w:rPr>
        <w:t>It is the mutual desire and intent of the Parties to provide certainty as to their respective future rights and remedies against each other by defining the extent of their mutual undertakings as provided herein. The Parties have, in this Agreement, incorporated all representations, warranties, covenants, commitments and understandings on which they have relied in entering into this Agreement, and, except as provided for herein, neither Party makes any covenant or other commitment to the other concerning its future action. Accordingly, this Agreement and all exhibits to this Agreement (a) constitutes the entire agreement and understanding between the Parties with respect to the subject matter hereof and there are no promises, representations, conditions, provisions or terms related thereto other than those set forth in this Agreement and (b) supersedes all previous understandings, agreements and representations between the Parties, written or oral, including without limitation the Prior CDA. No modification, change or amendment to this Agreement shall be effective unless in writing signed by each of the Parties hereto. Except as otherwise expressly provided in this Agreement, the provisions of this Agreement shall survive the expiration or termination of this Agreement indefinitely.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Headings.</w:t>
      </w:r>
    </w:p>
    <w:p>
      <w:pPr>
        <w:spacing w:after="0" w:line="198"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The article and section headings contained in this Agreement are for reference purposes only and shall not affect in any way the meaning and interpretation of this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color w:val="auto"/>
        </w:rPr>
        <w:t>Notices.</w:t>
      </w:r>
    </w:p>
    <w:p>
      <w:pPr>
        <w:spacing w:after="0" w:line="198"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All notices and other communications hereunder shall be in writing. All notices hereunder of an Indemnity Claim, a Force Majeure Event, default or breach hereunder, or, if applicable, termination or renewal of the term hereof, or any other notice of any event or development material to this Agreement taken as a whole, shall be delivered personally, or sent by national overnight delivery service or postage pre-paid registered or certified U.S. mail, and shall be deemed given: when delivered, if by personal delivery or overnight delivery service; or if so sent by U.S. mail, three Business Days after deposit in the mail, and shall be addressed: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Hamilton: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Hamilton Company</w:t>
      </w:r>
    </w:p>
    <w:p>
      <w:pPr>
        <w:ind w:left="1300"/>
        <w:spacing w:after="0" w:line="219" w:lineRule="auto"/>
        <w:rPr>
          <w:sz w:val="20"/>
          <w:szCs w:val="20"/>
          <w:color w:val="auto"/>
        </w:rPr>
      </w:pPr>
      <w:r>
        <w:rPr>
          <w:rFonts w:ascii="Arial" w:cs="Arial" w:eastAsia="Arial" w:hAnsi="Arial"/>
          <w:sz w:val="18"/>
          <w:szCs w:val="18"/>
          <w:color w:val="auto"/>
        </w:rPr>
        <w:t>4970 Energy Way</w:t>
      </w:r>
    </w:p>
    <w:p>
      <w:pPr>
        <w:ind w:left="1300"/>
        <w:spacing w:after="0" w:line="219" w:lineRule="auto"/>
        <w:rPr>
          <w:sz w:val="20"/>
          <w:szCs w:val="20"/>
          <w:color w:val="auto"/>
        </w:rPr>
      </w:pPr>
      <w:r>
        <w:rPr>
          <w:rFonts w:ascii="Arial" w:cs="Arial" w:eastAsia="Arial" w:hAnsi="Arial"/>
          <w:sz w:val="18"/>
          <w:szCs w:val="18"/>
          <w:color w:val="auto"/>
        </w:rPr>
        <w:t>Reno, Nevada 89502</w:t>
      </w:r>
    </w:p>
    <w:p>
      <w:pPr>
        <w:ind w:left="1300"/>
        <w:spacing w:after="0"/>
        <w:rPr>
          <w:sz w:val="20"/>
          <w:szCs w:val="20"/>
          <w:color w:val="auto"/>
        </w:rPr>
      </w:pPr>
      <w:r>
        <w:rPr>
          <w:rFonts w:ascii="Arial" w:cs="Arial" w:eastAsia="Arial" w:hAnsi="Arial"/>
          <w:sz w:val="18"/>
          <w:szCs w:val="18"/>
          <w:color w:val="auto"/>
        </w:rPr>
        <w:t>Attention: VP OEM Robotics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Hamilton Company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4970 Energy Way</w:t>
      </w:r>
    </w:p>
    <w:p>
      <w:pPr>
        <w:ind w:left="1300"/>
        <w:spacing w:after="0" w:line="219" w:lineRule="auto"/>
        <w:rPr>
          <w:sz w:val="20"/>
          <w:szCs w:val="20"/>
          <w:color w:val="auto"/>
        </w:rPr>
      </w:pPr>
      <w:r>
        <w:rPr>
          <w:rFonts w:ascii="Arial" w:cs="Arial" w:eastAsia="Arial" w:hAnsi="Arial"/>
          <w:sz w:val="18"/>
          <w:szCs w:val="18"/>
          <w:color w:val="auto"/>
        </w:rPr>
        <w:t>Reno, Nevada 89502</w:t>
      </w:r>
    </w:p>
    <w:p>
      <w:pPr>
        <w:ind w:left="1300"/>
        <w:spacing w:after="0"/>
        <w:rPr>
          <w:sz w:val="20"/>
          <w:szCs w:val="20"/>
          <w:color w:val="auto"/>
        </w:rPr>
      </w:pPr>
      <w:r>
        <w:rPr>
          <w:rFonts w:ascii="Arial" w:cs="Arial" w:eastAsia="Arial" w:hAnsi="Arial"/>
          <w:sz w:val="18"/>
          <w:szCs w:val="18"/>
          <w:color w:val="auto"/>
        </w:rPr>
        <w:t>Attention: Contract Administrator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Seer, Inc</w:t>
      </w:r>
    </w:p>
    <w:p>
      <w:pPr>
        <w:ind w:left="1300"/>
        <w:spacing w:after="0" w:line="219" w:lineRule="auto"/>
        <w:rPr>
          <w:sz w:val="20"/>
          <w:szCs w:val="20"/>
          <w:color w:val="auto"/>
        </w:rPr>
      </w:pPr>
      <w:r>
        <w:rPr>
          <w:rFonts w:ascii="Arial" w:cs="Arial" w:eastAsia="Arial" w:hAnsi="Arial"/>
          <w:sz w:val="18"/>
          <w:szCs w:val="18"/>
          <w:color w:val="auto"/>
        </w:rPr>
        <w:t>3800 Bridge Parkway, Suite 102</w:t>
      </w:r>
    </w:p>
    <w:p>
      <w:pPr>
        <w:ind w:left="1300"/>
        <w:spacing w:after="0" w:line="219" w:lineRule="auto"/>
        <w:rPr>
          <w:sz w:val="20"/>
          <w:szCs w:val="20"/>
          <w:color w:val="auto"/>
        </w:rPr>
      </w:pPr>
      <w:r>
        <w:rPr>
          <w:rFonts w:ascii="Arial" w:cs="Arial" w:eastAsia="Arial" w:hAnsi="Arial"/>
          <w:sz w:val="18"/>
          <w:szCs w:val="18"/>
          <w:color w:val="auto"/>
        </w:rPr>
        <w:t>Redwood City, California 94065</w:t>
      </w:r>
    </w:p>
    <w:p>
      <w:pPr>
        <w:ind w:left="1300"/>
        <w:spacing w:after="0"/>
        <w:rPr>
          <w:sz w:val="20"/>
          <w:szCs w:val="20"/>
          <w:color w:val="auto"/>
        </w:rPr>
      </w:pPr>
      <w:r>
        <w:rPr>
          <w:rFonts w:ascii="Arial" w:cs="Arial" w:eastAsia="Arial" w:hAnsi="Arial"/>
          <w:sz w:val="18"/>
          <w:szCs w:val="18"/>
          <w:color w:val="auto"/>
        </w:rPr>
        <w:t>Attention: CEO</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such other place as either Party may designate by written notice to the other in accordance with the terms hereof.</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Failure to Exercise.</w:t>
      </w:r>
    </w:p>
    <w:p>
      <w:pPr>
        <w:spacing w:after="0" w:line="198"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The failure of either Party to enforce at any time for any period any provision hereof shall not be construed to be a waiver of such provision or of the right of such Party thereafter to enforce each such provision, nor shall any single or partial exercise of any right or remedy hereunder preclude any other or further exercise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22</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16" w:right="339" w:bottom="1440" w:gutter="0" w:footer="0" w:header="0"/>
        </w:sectPr>
      </w:pPr>
    </w:p>
    <w:bookmarkStart w:id="383" w:name="page384"/>
    <w:bookmarkEnd w:id="383"/>
    <w:p>
      <w:pPr>
        <w:jc w:val="both"/>
        <w:ind w:left="660"/>
        <w:spacing w:after="0" w:line="235" w:lineRule="auto"/>
        <w:rPr>
          <w:sz w:val="20"/>
          <w:szCs w:val="20"/>
          <w:color w:val="auto"/>
        </w:rPr>
      </w:pPr>
      <w:r>
        <w:rPr>
          <w:rFonts w:ascii="Arial" w:cs="Arial" w:eastAsia="Arial" w:hAnsi="Arial"/>
          <w:sz w:val="18"/>
          <w:szCs w:val="18"/>
          <w:color w:val="auto"/>
        </w:rPr>
        <w:t>thereof or the exercise of any other right or remedy. Remedies provided herein are cumulative and not exclusive of any remedies provided at law.</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16.10</w:t>
        <w:tab/>
        <w:t>Assignment.</w:t>
      </w:r>
    </w:p>
    <w:p>
      <w:pPr>
        <w:spacing w:after="0" w:line="198"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This Agreement may not be assigned or otherwise transferred by a Party without the prior written consent of the other Party, which consent shall not be unreasonably withheld, conditioned or delayed; provided, however, that each Party may assign this Agreement to an Affiliate of such Party or to a third party in connection with the sale of all or substantially all of its business or assets to which this Agreement relates, whether by merger, reorganization, operation of law or otherwise. Any attempted assignment in contravention of this section 16.10 shall be null and void. Subject to the foregoing sentence, this Agreement shall bind and inure to the benefit of the Parties hereto and their respective successors and assigns.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7"/>
          <w:szCs w:val="17"/>
          <w:color w:val="auto"/>
        </w:rPr>
        <w:t>Severability.</w:t>
      </w:r>
    </w:p>
    <w:p>
      <w:pPr>
        <w:spacing w:after="0" w:line="198"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If any provision of this Agreement is, becomes or is deemed invalid, illegal or unenforceable in any jurisdiction in which the Agreement is sought to be enforced, (a) such provision shall be deemed and amended to conform to Applicable Laws of such jurisdiction so as to be valid and enforceable or, if it cannot be so amended without materially altering the intention of the Parties, it shall be stricken; (b) the validity, legality and enforceability of such provision will not in any way be affected or impaired thereby in any other jurisdiction; and (c) the remainder of this Agreement shall remain in full force and effect.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7"/>
          <w:szCs w:val="17"/>
          <w:color w:val="auto"/>
        </w:rPr>
        <w:t>Expenses.</w:t>
      </w:r>
    </w:p>
    <w:p>
      <w:pPr>
        <w:spacing w:after="0" w:line="198"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Each Party shall pay all of its own fees and expenses (including all legal, accounting and other advisory fees) incurred in connection with the negotiation and execution of this Agreement and their respective obligations hereunder.</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16.13</w:t>
        <w:tab/>
        <w:t>Maintaining Records.</w:t>
      </w:r>
    </w:p>
    <w:p>
      <w:pPr>
        <w:spacing w:after="0" w:line="198"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Hamilton agrees to maintain records for seven years (or such longer period required under Applicable Laws) for Products provided to Buyer and to provide such records to Buyer, as soon as practical, upon Buyer’s request. If originals are provided to Buyer, copies of records must be maintained in accordance with Hamilton’s record retention requirements.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7"/>
          <w:szCs w:val="17"/>
          <w:color w:val="auto"/>
        </w:rPr>
        <w:t>Project Work Scope Schedule.</w:t>
      </w:r>
    </w:p>
    <w:p>
      <w:pPr>
        <w:spacing w:after="0" w:line="19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Parties hereby agree to be bound by and fully perform the terms, conditions, representations, warranties and obligations contained in each Project Work Scope Schedule attached hereto and made part hereof, as if the same were fully set forth in this Agreement. Any change to a specific Project Work Scope Schedule shall be agreed upon in writing between the Parties and shall be included as an addendum to this Agreement.</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16.15</w:t>
        <w:tab/>
        <w:t>Interpretation.</w:t>
      </w:r>
    </w:p>
    <w:p>
      <w:pPr>
        <w:spacing w:after="0" w:line="198" w:lineRule="exact"/>
        <w:rPr>
          <w:sz w:val="20"/>
          <w:szCs w:val="20"/>
          <w:color w:val="auto"/>
        </w:rPr>
      </w:pPr>
    </w:p>
    <w:p>
      <w:pPr>
        <w:jc w:val="both"/>
        <w:ind w:left="660"/>
        <w:spacing w:after="0" w:line="222" w:lineRule="auto"/>
        <w:rPr>
          <w:sz w:val="20"/>
          <w:szCs w:val="20"/>
          <w:color w:val="auto"/>
        </w:rPr>
      </w:pPr>
      <w:r>
        <w:rPr>
          <w:rFonts w:ascii="Arial" w:cs="Arial" w:eastAsia="Arial" w:hAnsi="Arial"/>
          <w:sz w:val="18"/>
          <w:szCs w:val="18"/>
          <w:color w:val="auto"/>
        </w:rPr>
        <w:t>To the extent the terms and conditions of the body of this Agreement conflict with the terms and conditions of any Purchase Order or other agreement between the Parties, the terms and conditions of the body of this Agreement will govern. Except for ordering information set forth in a Purchase Order, no additional terms contained in any Purchase Order, or other ordering document, will bind either Party or be construed to modify or amend the terms of this Agreement. No agreement or understanding varying or extending this Agreement will be binding upon either Party, unless set forth in a writing which specifically refers to the Agreement that is signed by duly authorized officers or representatives of the respective Parties, and the provisions of the Agreement not specifically amended thereby will remain in full force and effect. Unless the context clearly requires otherwise, whenever used in this Agreement: (i) the words “include” or “including” shall be construed as incorporating, also, “but not limited to” or “without limitation”; (ii) the word “or” shall have its inclusive meaning of “and/or”; (iii) the word “notice” shall require notice in writing (whether or not specifically stated) and shall include notices, consents, approvals and other written communications contemplated under this Agreement; (iv) the words “hereof,” “herein,” “hereunder,” “hereby” and derivative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23</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16" w:right="339" w:bottom="1440" w:gutter="0" w:footer="0" w:header="0"/>
        </w:sectPr>
      </w:pPr>
    </w:p>
    <w:bookmarkStart w:id="384" w:name="page385"/>
    <w:bookmarkEnd w:id="384"/>
    <w:p>
      <w:pPr>
        <w:jc w:val="both"/>
        <w:ind w:left="660"/>
        <w:spacing w:after="0" w:line="253" w:lineRule="auto"/>
        <w:rPr>
          <w:sz w:val="20"/>
          <w:szCs w:val="20"/>
          <w:color w:val="auto"/>
        </w:rPr>
      </w:pPr>
      <w:r>
        <w:rPr>
          <w:rFonts w:ascii="Arial" w:cs="Arial" w:eastAsia="Arial" w:hAnsi="Arial"/>
          <w:sz w:val="18"/>
          <w:szCs w:val="18"/>
          <w:color w:val="auto"/>
        </w:rPr>
        <w:t>or similar words refer to this Agreement (including any Exhibits); (v) provisions that require that a Party or the Parties “agree,” “consent” or “approve” or the like shall require that such agreement, consent or approval be specific and in writing; (vi) words of any gender include the other gender; (vii) words using the singular or plural number also include the plural or singular number, respectively; and (viii) references to any specific law, or article, section or other division thereof, shall be deemed to include the then-current amendments thereto or any replacement thereof.</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16.16</w:t>
        <w:tab/>
        <w:t>Counterparts.</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 Manual signatures transmitted in any electronic method including PDF scans or facsimile shall have the same force and effect and be as binding as original signatures.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24</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240"/>
          </w:cols>
          <w:pgMar w:left="320" w:top="1030" w:right="339" w:bottom="1440" w:gutter="0" w:footer="0" w:header="0"/>
        </w:sectPr>
      </w:pPr>
    </w:p>
    <w:bookmarkStart w:id="385" w:name="page386"/>
    <w:bookmarkEnd w:id="385"/>
    <w:p>
      <w:pPr>
        <w:spacing w:after="0" w:line="261"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representatives as of the Effective Date.</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SEER, INC:</w:t>
      </w:r>
    </w:p>
    <w:p>
      <w:pPr>
        <w:spacing w:after="0" w:line="355" w:lineRule="exact"/>
        <w:rPr>
          <w:sz w:val="20"/>
          <w:szCs w:val="20"/>
          <w:color w:val="auto"/>
        </w:rPr>
      </w:pPr>
    </w:p>
    <w:p>
      <w:pPr>
        <w:ind w:left="680"/>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3/16/20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1525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13" w:lineRule="exact"/>
        <w:rPr>
          <w:sz w:val="20"/>
          <w:szCs w:val="20"/>
          <w:color w:val="auto"/>
        </w:rPr>
      </w:pPr>
    </w:p>
    <w:p>
      <w:pPr>
        <w:ind w:left="680"/>
        <w:spacing w:after="0"/>
        <w:tabs>
          <w:tab w:leader="none" w:pos="1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1525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Signature</w:t>
      </w:r>
    </w:p>
    <w:p>
      <w:pPr>
        <w:spacing w:after="0" w:line="320" w:lineRule="exact"/>
        <w:rPr>
          <w:sz w:val="20"/>
          <w:szCs w:val="20"/>
          <w:color w:val="auto"/>
        </w:rPr>
      </w:pPr>
    </w:p>
    <w:p>
      <w:pPr>
        <w:ind w:left="680"/>
        <w:spacing w:after="0"/>
        <w:tabs>
          <w:tab w:leader="none" w:pos="1400" w:val="left"/>
        </w:tabs>
        <w:rPr>
          <w:sz w:val="20"/>
          <w:szCs w:val="20"/>
          <w:color w:val="auto"/>
        </w:rPr>
      </w:pPr>
      <w:r>
        <w:rPr>
          <w:rFonts w:ascii="Arial" w:cs="Arial" w:eastAsia="Arial" w:hAnsi="Arial"/>
          <w:sz w:val="18"/>
          <w:szCs w:val="18"/>
          <w:color w:val="auto"/>
        </w:rPr>
        <w:t>Name:</w:t>
        <w:tab/>
        <w:t>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1525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w:t>
      </w:r>
    </w:p>
    <w:p>
      <w:pPr>
        <w:spacing w:after="0" w:line="320" w:lineRule="exact"/>
        <w:rPr>
          <w:sz w:val="20"/>
          <w:szCs w:val="20"/>
          <w:color w:val="auto"/>
        </w:rPr>
      </w:pPr>
    </w:p>
    <w:p>
      <w:pPr>
        <w:jc w:val="both"/>
        <w:ind w:left="680"/>
        <w:spacing w:after="0"/>
        <w:tabs>
          <w:tab w:leader="none" w:pos="1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15259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43" w:lineRule="exact"/>
        <w:rPr>
          <w:sz w:val="20"/>
          <w:szCs w:val="20"/>
          <w:color w:val="auto"/>
        </w:rPr>
      </w:pPr>
    </w:p>
    <w:p>
      <w:pPr>
        <w:jc w:val="right"/>
        <w:ind w:right="9360"/>
        <w:spacing w:after="0"/>
        <w:rPr>
          <w:sz w:val="20"/>
          <w:szCs w:val="20"/>
          <w:color w:val="auto"/>
        </w:rPr>
      </w:pPr>
      <w:r>
        <w:rPr>
          <w:rFonts w:ascii="Arial" w:cs="Arial" w:eastAsia="Arial" w:hAnsi="Arial"/>
          <w:sz w:val="18"/>
          <w:szCs w:val="18"/>
          <w:color w:val="auto"/>
        </w:rPr>
        <w: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HAMILTON COMPANY:</w:t>
      </w:r>
    </w:p>
    <w:p>
      <w:pPr>
        <w:spacing w:after="0" w:line="355"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3/16/20</w:t>
            </w:r>
          </w:p>
        </w:tc>
      </w:tr>
      <w:tr>
        <w:trPr>
          <w:trHeight w:val="50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 T. Hamilton</w:t>
            </w:r>
          </w:p>
        </w:tc>
      </w:tr>
      <w:tr>
        <w:trPr>
          <w:trHeight w:val="243"/>
        </w:trPr>
        <w:tc>
          <w:tcPr>
            <w:tcW w:w="7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54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Steve T. Hamilton</w:t>
            </w:r>
          </w:p>
        </w:tc>
      </w:tr>
      <w:tr>
        <w:trPr>
          <w:trHeight w:val="243"/>
        </w:trPr>
        <w:tc>
          <w:tcPr>
            <w:tcW w:w="7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Print</w:t>
            </w:r>
          </w:p>
        </w:tc>
      </w:tr>
      <w:tr>
        <w:trPr>
          <w:trHeight w:val="53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CEO</w:t>
            </w:r>
          </w:p>
        </w:tc>
      </w:tr>
      <w:tr>
        <w:trPr>
          <w:trHeight w:val="243"/>
        </w:trPr>
        <w:tc>
          <w:tcPr>
            <w:tcW w:w="7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Print</w:t>
            </w:r>
          </w:p>
        </w:tc>
      </w:tr>
    </w:tbl>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25</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11140"/>
          </w:cols>
          <w:pgMar w:left="320" w:top="1030" w:right="4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t>Exhibit 1 – Instrument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represents five pages of instrument specifications]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26</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9019"/>
          </w:cols>
          <w:pgMar w:left="1440" w:top="1008" w:right="1440"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t>Exhibit 2 – Price Schedule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represents nine pages of pricing schedules]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27</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9019"/>
          </w:cols>
          <w:pgMar w:left="1440" w:top="1008" w:right="1440"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8"/>
          <w:szCs w:val="18"/>
          <w:b w:val="1"/>
          <w:bCs w:val="1"/>
          <w:color w:val="auto"/>
        </w:rPr>
        <w:t>Exhibit 3 – Service Terms and Conditions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represents three pages of terms of conditions]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28</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9019"/>
          </w:cols>
          <w:pgMar w:left="1440" w:top="1008" w:right="1440" w:bottom="1440" w:gutter="0" w:footer="0" w:header="0"/>
        </w:sectPr>
      </w:pPr>
    </w:p>
    <w:bookmarkStart w:id="389" w:name="page390"/>
    <w:bookmarkEnd w:id="389"/>
    <w:p>
      <w:pPr>
        <w:jc w:val="center"/>
        <w:ind w:right="19"/>
        <w:spacing w:after="0"/>
        <w:rPr>
          <w:sz w:val="20"/>
          <w:szCs w:val="20"/>
          <w:color w:val="auto"/>
        </w:rPr>
      </w:pPr>
      <w:r>
        <w:rPr>
          <w:rFonts w:ascii="Arial" w:cs="Arial" w:eastAsia="Arial" w:hAnsi="Arial"/>
          <w:sz w:val="18"/>
          <w:szCs w:val="18"/>
          <w:b w:val="1"/>
          <w:bCs w:val="1"/>
          <w:color w:val="auto"/>
        </w:rPr>
        <w:t>Exhibit 4 – Change Notification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represents two pages of the change notification policy]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29</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p>
      <w:pPr>
        <w:sectPr>
          <w:pgSz w:w="11900" w:h="16838" w:orient="portrait"/>
          <w:cols w:equalWidth="0" w:num="1">
            <w:col w:w="9019"/>
          </w:cols>
          <w:pgMar w:left="1440" w:top="1008" w:right="1440" w:bottom="1440" w:gutter="0" w:footer="0" w:header="0"/>
        </w:sectPr>
      </w:pPr>
    </w:p>
    <w:bookmarkStart w:id="390" w:name="page391"/>
    <w:bookmarkEnd w:id="390"/>
    <w:p>
      <w:pPr>
        <w:ind w:left="4360"/>
        <w:spacing w:after="0"/>
        <w:rPr>
          <w:sz w:val="20"/>
          <w:szCs w:val="20"/>
          <w:color w:val="auto"/>
        </w:rPr>
      </w:pPr>
      <w:r>
        <w:rPr>
          <w:rFonts w:ascii="Arial" w:cs="Arial" w:eastAsia="Arial" w:hAnsi="Arial"/>
          <w:sz w:val="17"/>
          <w:szCs w:val="17"/>
          <w:b w:val="1"/>
          <w:bCs w:val="1"/>
          <w:color w:val="auto"/>
        </w:rPr>
        <w:t>Exhibit 5 – Site Requirements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https://robotics.hamiltoncompany.com/microlab-star-site-requirements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30</w:t>
      </w:r>
      <w:r>
        <w:rPr>
          <w:rFonts w:ascii="Arial" w:cs="Arial" w:eastAsia="Arial" w:hAnsi="Arial"/>
          <w:sz w:val="14"/>
          <w:szCs w:val="14"/>
          <w:color w:val="auto"/>
        </w:rPr>
        <w:t xml:space="preserve"> of </w:t>
      </w:r>
      <w:r>
        <w:rPr>
          <w:rFonts w:ascii="Arial" w:cs="Arial" w:eastAsia="Arial" w:hAnsi="Arial"/>
          <w:sz w:val="14"/>
          <w:szCs w:val="14"/>
          <w:b w:val="1"/>
          <w:bCs w:val="1"/>
          <w:color w:val="auto"/>
        </w:rPr>
        <w:t>30</w:t>
      </w:r>
    </w:p>
    <w:sectPr>
      <w:pgSz w:w="11900" w:h="16838" w:orient="portrait"/>
      <w:cols w:equalWidth="0" w:num="1">
        <w:col w:w="10139"/>
      </w:cols>
      <w:pgMar w:left="320" w:top="10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1)"/>
      <w:numFmt w:val="decimal"/>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lvl w:ilvl="1">
      <w:lvlJc w:val="left"/>
      <w:lvlText w:val=","/>
      <w:numFmt w:val="bullet"/>
      <w:start w:val="1"/>
    </w:lvl>
  </w:abstractNum>
  <w:abstractNum w:abstractNumId="11">
    <w:nsid w:val="3FCFAED9"/>
    <w:multiLevelType w:val="hybridMultilevel"/>
    <w:lvl w:ilvl="0">
      <w:lvlJc w:val="left"/>
      <w:lvlText w:val="•"/>
      <w:numFmt w:val="bullet"/>
      <w:start w:val="1"/>
    </w:lvl>
    <w:lvl w:ilvl="1">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1)"/>
      <w:numFmt w:val="decimal"/>
      <w:start w:val="1"/>
    </w:lvl>
  </w:abstractNum>
  <w:abstractNum w:abstractNumId="14">
    <w:nsid w:val="2E22FBB7"/>
    <w:multiLevelType w:val="hybridMultilevel"/>
    <w:lvl w:ilvl="0">
      <w:lvlJc w:val="left"/>
      <w:lvlText w:val="(%1)"/>
      <w:numFmt w:val="decimal"/>
      <w:start w:val="2"/>
    </w:lvl>
  </w:abstractNum>
  <w:abstractNum w:abstractNumId="15">
    <w:nsid w:val="29934699"/>
    <w:multiLevelType w:val="hybridMultilevel"/>
    <w:lvl w:ilvl="0">
      <w:lvlJc w:val="left"/>
      <w:lvlText w:val="(%1)"/>
      <w:numFmt w:val="decimal"/>
      <w:start w:val="1"/>
    </w:lvl>
  </w:abstractNum>
  <w:abstractNum w:abstractNumId="16">
    <w:nsid w:val="77485850"/>
    <w:multiLevelType w:val="hybridMultilevel"/>
    <w:lvl w:ilvl="0">
      <w:lvlJc w:val="left"/>
      <w:lvlText w:val="(%1)"/>
      <w:numFmt w:val="decimal"/>
      <w:start w:val="4"/>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1."/>
      <w:numFmt w:val="decimal"/>
      <w:start w:val="1"/>
    </w:lvl>
  </w:abstractNum>
  <w:abstractNum w:abstractNumId="41">
    <w:nsid w:val="3E6400E6"/>
    <w:multiLevelType w:val="hybridMultilevel"/>
    <w:lvl w:ilvl="0">
      <w:lvlJc w:val="left"/>
      <w:lvlText w:val="%1."/>
      <w:numFmt w:val="decimal"/>
      <w:start w:val="1"/>
    </w:lvl>
  </w:abstractNum>
  <w:abstractNum w:abstractNumId="42">
    <w:nsid w:val="14217E23"/>
    <w:multiLevelType w:val="hybridMultilevel"/>
    <w:lvl w:ilvl="0">
      <w:lvlJc w:val="left"/>
      <w:lvlText w:val="%1."/>
      <w:numFmt w:val="decimal"/>
      <w:start w:val="5"/>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lvl w:ilvl="1">
      <w:lvlJc w:val="left"/>
      <w:lvlText w:val="◦"/>
      <w:numFmt w:val="bullet"/>
      <w:start w:val="1"/>
    </w:lvl>
  </w:abstractNum>
  <w:abstractNum w:abstractNumId="46">
    <w:nsid w:val="1A9A9E69"/>
    <w:multiLevelType w:val="hybridMultilevel"/>
    <w:lvl w:ilvl="0">
      <w:lvlJc w:val="left"/>
      <w:lvlText w:val="(%1)"/>
      <w:numFmt w:val="decimal"/>
      <w:start w:val="1"/>
    </w:lvl>
  </w:abstractNum>
  <w:abstractNum w:abstractNumId="47">
    <w:nsid w:val="475E256A"/>
    <w:multiLevelType w:val="hybridMultilevel"/>
    <w:lvl w:ilvl="0">
      <w:lvlJc w:val="left"/>
      <w:lvlText w:val="•"/>
      <w:numFmt w:val="bullet"/>
      <w:start w:val="1"/>
    </w:lvl>
  </w:abstractNum>
  <w:abstractNum w:abstractNumId="48">
    <w:nsid w:val="368DB37E"/>
    <w:multiLevelType w:val="hybridMultilevel"/>
    <w:lvl w:ilvl="0">
      <w:lvlJc w:val="left"/>
      <w:lvlText w:val="•"/>
      <w:numFmt w:val="bullet"/>
      <w:start w:val="1"/>
    </w:lvl>
  </w:abstractNum>
  <w:abstractNum w:abstractNumId="49">
    <w:nsid w:val="6A3B714C"/>
    <w:multiLevelType w:val="hybridMultilevel"/>
    <w:lvl w:ilvl="0">
      <w:lvlJc w:val="left"/>
      <w:lvlText w:val="•"/>
      <w:numFmt w:val="bullet"/>
      <w:start w:val="1"/>
    </w:lvl>
    <w:lvl w:ilvl="1">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
      <w:numFmt w:val="bullet"/>
      <w:start w:val="1"/>
    </w:lvl>
    <w:lvl w:ilvl="1">
      <w:lvlJc w:val="left"/>
      <w:lvlText w:val="◦"/>
      <w:numFmt w:val="bullet"/>
      <w:start w:val="1"/>
    </w:lvl>
  </w:abstractNum>
  <w:abstractNum w:abstractNumId="55">
    <w:nsid w:val="7E0F6384"/>
    <w:multiLevelType w:val="hybridMultilevel"/>
    <w:lvl w:ilvl="0">
      <w:lvlJc w:val="left"/>
      <w:lvlText w:val="(%1)"/>
      <w:numFmt w:val="decimal"/>
      <w:start w:val="2"/>
    </w:lvl>
  </w:abstractNum>
  <w:abstractNum w:abstractNumId="56">
    <w:nsid w:val="2B4B8B53"/>
    <w:multiLevelType w:val="hybridMultilevel"/>
    <w:lvl w:ilvl="0">
      <w:lvlJc w:val="left"/>
      <w:lvlText w:val="(%1)"/>
      <w:numFmt w:val="decimal"/>
      <w:start w:val="3"/>
    </w:lvl>
  </w:abstractNum>
  <w:abstractNum w:abstractNumId="57">
    <w:nsid w:val="72E3413A"/>
    <w:multiLevelType w:val="hybridMultilevel"/>
    <w:lvl w:ilvl="0">
      <w:lvlJc w:val="left"/>
      <w:lvlText w:val="•"/>
      <w:numFmt w:val="bullet"/>
      <w:start w:val="1"/>
    </w:lvl>
  </w:abstractNum>
  <w:abstractNum w:abstractNumId="58">
    <w:nsid w:val="116AE494"/>
    <w:multiLevelType w:val="hybridMultilevel"/>
    <w:lvl w:ilvl="0">
      <w:lvlJc w:val="left"/>
      <w:lvlText w:val="•"/>
      <w:numFmt w:val="bullet"/>
      <w:start w:val="1"/>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
      <w:numFmt w:val="bullet"/>
      <w:start w:val="1"/>
    </w:lvl>
  </w:abstractNum>
  <w:abstractNum w:abstractNumId="62">
    <w:nsid w:val="631F1690"/>
    <w:multiLevelType w:val="hybridMultilevel"/>
    <w:lvl w:ilvl="0">
      <w:lvlJc w:val="left"/>
      <w:lvlText w:val="•"/>
      <w:numFmt w:val="bullet"/>
      <w:start w:val="1"/>
    </w:lvl>
  </w:abstractNum>
  <w:abstractNum w:abstractNumId="63">
    <w:nsid w:val="25973E32"/>
    <w:multiLevelType w:val="hybridMultilevel"/>
    <w:lvl w:ilvl="0">
      <w:lvlJc w:val="left"/>
      <w:lvlText w:val="•"/>
      <w:numFmt w:val="bullet"/>
      <w:start w:val="1"/>
    </w:lvl>
  </w:abstractNum>
  <w:abstractNum w:abstractNumId="64">
    <w:nsid w:val="EAD6F57"/>
    <w:multiLevelType w:val="hybridMultilevel"/>
    <w:lvl w:ilvl="0">
      <w:lvlJc w:val="left"/>
      <w:lvlText w:val="•"/>
      <w:numFmt w:val="bullet"/>
      <w:start w:val="1"/>
    </w:lvl>
  </w:abstractNum>
  <w:abstractNum w:abstractNumId="65">
    <w:nsid w:val="6EC9D844"/>
    <w:multiLevelType w:val="hybridMultilevel"/>
    <w:lvl w:ilvl="0">
      <w:lvlJc w:val="left"/>
      <w:lvlText w:val="%1."/>
      <w:numFmt w:val="decimal"/>
      <w:start w:val="1"/>
    </w:lvl>
  </w:abstractNum>
  <w:abstractNum w:abstractNumId="66">
    <w:nsid w:val="5C49EAEE"/>
    <w:multiLevelType w:val="hybridMultilevel"/>
    <w:lvl w:ilvl="0">
      <w:lvlJc w:val="left"/>
      <w:lvlText w:val="%1."/>
      <w:numFmt w:val="decimal"/>
      <w:start w:val="5"/>
    </w:lvl>
  </w:abstractNum>
  <w:abstractNum w:abstractNumId="67">
    <w:nsid w:val="64AF49B"/>
    <w:multiLevelType w:val="hybridMultilevel"/>
    <w:lvl w:ilvl="0">
      <w:lvlJc w:val="left"/>
      <w:lvlText w:val="•"/>
      <w:numFmt w:val="bullet"/>
      <w:start w:val="1"/>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
      <w:numFmt w:val="bullet"/>
      <w:start w:val="1"/>
    </w:lvl>
  </w:abstractNum>
  <w:abstractNum w:abstractNumId="70">
    <w:nsid w:val="5A9CC3E5"/>
    <w:multiLevelType w:val="hybridMultilevel"/>
    <w:lvl w:ilvl="0">
      <w:lvlJc w:val="left"/>
      <w:lvlText w:val="•"/>
      <w:numFmt w:val="bullet"/>
      <w:start w:val="1"/>
    </w:lvl>
  </w:abstractNum>
  <w:abstractNum w:abstractNumId="71">
    <w:nsid w:val="1AFE3625"/>
    <w:multiLevelType w:val="hybridMultilevel"/>
    <w:lvl w:ilvl="0">
      <w:lvlJc w:val="left"/>
      <w:lvlText w:val="•"/>
      <w:numFmt w:val="bullet"/>
      <w:start w:val="1"/>
    </w:lvl>
  </w:abstractNum>
  <w:abstractNum w:abstractNumId="72">
    <w:nsid w:val="3CA88ECF"/>
    <w:multiLevelType w:val="hybridMultilevel"/>
    <w:lvl w:ilvl="0">
      <w:lvlJc w:val="left"/>
      <w:lvlText w:val="•"/>
      <w:numFmt w:val="bullet"/>
      <w:start w:val="1"/>
    </w:lvl>
  </w:abstractNum>
  <w:abstractNum w:abstractNumId="73">
    <w:nsid w:val="6EBE4208"/>
    <w:multiLevelType w:val="hybridMultilevel"/>
    <w:lvl w:ilvl="0">
      <w:lvlJc w:val="left"/>
      <w:lvlText w:val="•"/>
      <w:numFmt w:val="bullet"/>
      <w:start w:val="1"/>
    </w:lvl>
  </w:abstractNum>
  <w:abstractNum w:abstractNumId="74">
    <w:nsid w:val="C058DF5"/>
    <w:multiLevelType w:val="hybridMultilevel"/>
    <w:lvl w:ilvl="0">
      <w:lvlJc w:val="left"/>
      <w:lvlText w:val="•"/>
      <w:numFmt w:val="bullet"/>
      <w:start w:val="1"/>
    </w:lvl>
  </w:abstractNum>
  <w:abstractNum w:abstractNumId="75">
    <w:nsid w:val="CBE5BE9"/>
    <w:multiLevelType w:val="hybridMultilevel"/>
    <w:lvl w:ilvl="0">
      <w:lvlJc w:val="left"/>
      <w:lvlText w:val="•"/>
      <w:numFmt w:val="bullet"/>
      <w:start w:val="1"/>
    </w:lvl>
  </w:abstractNum>
  <w:abstractNum w:abstractNumId="76">
    <w:nsid w:val="3102BBE2"/>
    <w:multiLevelType w:val="hybridMultilevel"/>
    <w:lvl w:ilvl="0">
      <w:lvlJc w:val="left"/>
      <w:lvlText w:val="•"/>
      <w:numFmt w:val="bullet"/>
      <w:start w:val="1"/>
    </w:lvl>
  </w:abstractNum>
  <w:abstractNum w:abstractNumId="77">
    <w:nsid w:val="26A02C5E"/>
    <w:multiLevelType w:val="hybridMultilevel"/>
    <w:lvl w:ilvl="0">
      <w:lvlJc w:val="left"/>
      <w:lvlText w:val="•"/>
      <w:numFmt w:val="bullet"/>
      <w:start w:val="1"/>
    </w:lvl>
  </w:abstractNum>
  <w:abstractNum w:abstractNumId="78">
    <w:nsid w:val="541C8153"/>
    <w:multiLevelType w:val="hybridMultilevel"/>
    <w:lvl w:ilvl="0">
      <w:lvlJc w:val="left"/>
      <w:lvlText w:val="•"/>
      <w:numFmt w:val="bullet"/>
      <w:start w:val="1"/>
    </w:lvl>
  </w:abstractNum>
  <w:abstractNum w:abstractNumId="79">
    <w:nsid w:val="67906F60"/>
    <w:multiLevelType w:val="hybridMultilevel"/>
    <w:lvl w:ilvl="0">
      <w:lvlJc w:val="left"/>
      <w:lvlText w:val="•"/>
      <w:numFmt w:val="bullet"/>
      <w:start w:val="1"/>
    </w:lvl>
  </w:abstractNum>
  <w:abstractNum w:abstractNumId="80">
    <w:nsid w:val="10DB9DAA"/>
    <w:multiLevelType w:val="hybridMultilevel"/>
    <w:lvl w:ilvl="0">
      <w:lvlJc w:val="left"/>
      <w:lvlText w:val="(%1)"/>
      <w:numFmt w:val="decimal"/>
      <w:start w:val="1"/>
    </w:lvl>
  </w:abstractNum>
  <w:abstractNum w:abstractNumId="81">
    <w:nsid w:val="697D2D2"/>
    <w:multiLevelType w:val="hybridMultilevel"/>
    <w:lvl w:ilvl="0">
      <w:lvlJc w:val="left"/>
      <w:lvlText w:val="&amp;"/>
      <w:numFmt w:val="bullet"/>
      <w:start w:val="1"/>
    </w:lvl>
  </w:abstractNum>
  <w:abstractNum w:abstractNumId="82">
    <w:nsid w:val="6D68AB2"/>
    <w:multiLevelType w:val="hybridMultilevel"/>
    <w:lvl w:ilvl="0">
      <w:lvlJc w:val="left"/>
      <w:lvlText w:val="•"/>
      <w:numFmt w:val="bullet"/>
      <w:start w:val="1"/>
    </w:lvl>
  </w:abstractNum>
  <w:abstractNum w:abstractNumId="83">
    <w:nsid w:val="3A966CD0"/>
    <w:multiLevelType w:val="hybridMultilevel"/>
    <w:lvl w:ilvl="0">
      <w:lvlJc w:val="left"/>
      <w:lvlText w:val="•"/>
      <w:numFmt w:val="bullet"/>
      <w:start w:val="1"/>
    </w:lvl>
  </w:abstractNum>
  <w:abstractNum w:abstractNumId="84">
    <w:nsid w:val="63F37E85"/>
    <w:multiLevelType w:val="hybridMultilevel"/>
    <w:lvl w:ilvl="0">
      <w:lvlJc w:val="left"/>
      <w:lvlText w:val="•"/>
      <w:numFmt w:val="bullet"/>
      <w:start w:val="1"/>
    </w:lvl>
  </w:abstractNum>
  <w:abstractNum w:abstractNumId="85">
    <w:nsid w:val="5895F5FA"/>
    <w:multiLevelType w:val="hybridMultilevel"/>
    <w:lvl w:ilvl="0">
      <w:lvlJc w:val="left"/>
      <w:lvlText w:val="(%1)"/>
      <w:numFmt w:val="decimal"/>
      <w:start w:val="1"/>
    </w:lvl>
  </w:abstractNum>
  <w:abstractNum w:abstractNumId="86">
    <w:nsid w:val="38A5D054"/>
    <w:multiLevelType w:val="hybridMultilevel"/>
    <w:lvl w:ilvl="0">
      <w:lvlJc w:val="left"/>
      <w:lvlText w:val="(%1)"/>
      <w:numFmt w:val="decimal"/>
      <w:start w:val="1"/>
    </w:lvl>
  </w:abstractNum>
  <w:abstractNum w:abstractNumId="87">
    <w:nsid w:val="F3F09D8"/>
    <w:multiLevelType w:val="hybridMultilevel"/>
    <w:lvl w:ilvl="0">
      <w:lvlJc w:val="left"/>
      <w:lvlText w:val="•"/>
      <w:numFmt w:val="bullet"/>
      <w:start w:val="1"/>
    </w:lvl>
  </w:abstractNum>
  <w:abstractNum w:abstractNumId="88">
    <w:nsid w:val="4B793735"/>
    <w:multiLevelType w:val="hybridMultilevel"/>
    <w:lvl w:ilvl="0">
      <w:lvlJc w:val="left"/>
      <w:lvlText w:val="(%1)"/>
      <w:numFmt w:val="decimal"/>
      <w:start w:val="1"/>
    </w:lvl>
  </w:abstractNum>
  <w:abstractNum w:abstractNumId="89">
    <w:nsid w:val="4A10B4E8"/>
    <w:multiLevelType w:val="hybridMultilevel"/>
    <w:lvl w:ilvl="0">
      <w:lvlJc w:val="left"/>
      <w:lvlText w:val="(%1)"/>
      <w:numFmt w:val="decimal"/>
      <w:start w:val="1"/>
    </w:lvl>
  </w:abstractNum>
  <w:abstractNum w:abstractNumId="90">
    <w:nsid w:val="43D3BCD4"/>
    <w:multiLevelType w:val="hybridMultilevel"/>
    <w:lvl w:ilvl="0">
      <w:lvlJc w:val="left"/>
      <w:lvlText w:val="•"/>
      <w:numFmt w:val="bullet"/>
      <w:start w:val="1"/>
    </w:lvl>
  </w:abstractNum>
  <w:abstractNum w:abstractNumId="91">
    <w:nsid w:val="4C2A7166"/>
    <w:multiLevelType w:val="hybridMultilevel"/>
    <w:lvl w:ilvl="0">
      <w:lvlJc w:val="left"/>
      <w:lvlText w:val="(%1)"/>
      <w:numFmt w:val="decimal"/>
      <w:start w:val="10"/>
    </w:lvl>
  </w:abstractNum>
  <w:abstractNum w:abstractNumId="92">
    <w:nsid w:val="2E534A82"/>
    <w:multiLevelType w:val="hybridMultilevel"/>
    <w:lvl w:ilvl="0">
      <w:lvlJc w:val="left"/>
      <w:lvlText w:val="•"/>
      <w:numFmt w:val="bullet"/>
      <w:start w:val="1"/>
    </w:lvl>
  </w:abstractNum>
  <w:abstractNum w:abstractNumId="93">
    <w:nsid w:val="26F2D364"/>
    <w:multiLevelType w:val="hybridMultilevel"/>
    <w:lvl w:ilvl="0">
      <w:lvlJc w:val="left"/>
      <w:lvlText w:val="(%1)"/>
      <w:numFmt w:val="decimal"/>
      <w:start w:val="1"/>
    </w:lvl>
  </w:abstractNum>
  <w:abstractNum w:abstractNumId="94">
    <w:nsid w:val="71C1AF98"/>
    <w:multiLevelType w:val="hybridMultilevel"/>
    <w:lvl w:ilvl="0">
      <w:lvlJc w:val="left"/>
      <w:lvlText w:val="(%1)"/>
      <w:numFmt w:val="decimal"/>
      <w:start w:val="1"/>
    </w:lvl>
  </w:abstractNum>
  <w:abstractNum w:abstractNumId="95">
    <w:nsid w:val="3D00B9D9"/>
    <w:multiLevelType w:val="hybridMultilevel"/>
    <w:lvl w:ilvl="0">
      <w:lvlJc w:val="left"/>
      <w:lvlText w:val="(%1)"/>
      <w:numFmt w:val="decimal"/>
      <w:start w:val="1"/>
    </w:lvl>
  </w:abstractNum>
  <w:abstractNum w:abstractNumId="96">
    <w:nsid w:val="15BCABA8"/>
    <w:multiLevelType w:val="hybridMultilevel"/>
    <w:lvl w:ilvl="0">
      <w:lvlJc w:val="left"/>
      <w:lvlText w:val="(%1)"/>
      <w:numFmt w:val="decimal"/>
      <w:start w:val="1"/>
    </w:lvl>
  </w:abstractNum>
  <w:abstractNum w:abstractNumId="97">
    <w:nsid w:val="4E0B9A87"/>
    <w:multiLevelType w:val="hybridMultilevel"/>
    <w:lvl w:ilvl="0">
      <w:lvlJc w:val="left"/>
      <w:lvlText w:val="(%1)"/>
      <w:numFmt w:val="decimal"/>
      <w:start w:val="1"/>
    </w:lvl>
  </w:abstractNum>
  <w:abstractNum w:abstractNumId="98">
    <w:nsid w:val="434BAE75"/>
    <w:multiLevelType w:val="hybridMultilevel"/>
    <w:lvl w:ilvl="0">
      <w:lvlJc w:val="left"/>
      <w:lvlText w:val="(%1)"/>
      <w:numFmt w:val="decimal"/>
      <w:start w:val="2"/>
    </w:lvl>
  </w:abstractNum>
  <w:abstractNum w:abstractNumId="99">
    <w:nsid w:val="4F38F265"/>
    <w:multiLevelType w:val="hybridMultilevel"/>
    <w:lvl w:ilvl="0">
      <w:lvlJc w:val="left"/>
      <w:lvlText w:val="•"/>
      <w:numFmt w:val="bullet"/>
      <w:start w:val="1"/>
    </w:lvl>
  </w:abstractNum>
  <w:abstractNum w:abstractNumId="100">
    <w:nsid w:val="4C502870"/>
    <w:multiLevelType w:val="hybridMultilevel"/>
    <w:lvl w:ilvl="0">
      <w:lvlJc w:val="left"/>
      <w:lvlText w:val="•"/>
      <w:numFmt w:val="bullet"/>
      <w:start w:val="1"/>
    </w:lvl>
  </w:abstractNum>
  <w:abstractNum w:abstractNumId="101">
    <w:nsid w:val="1DE8725A"/>
    <w:multiLevelType w:val="hybridMultilevel"/>
    <w:lvl w:ilvl="0">
      <w:lvlJc w:val="left"/>
      <w:lvlText w:val="•"/>
      <w:numFmt w:val="bullet"/>
      <w:start w:val="1"/>
    </w:lvl>
  </w:abstractNum>
  <w:abstractNum w:abstractNumId="102">
    <w:nsid w:val="6A37288A"/>
    <w:multiLevelType w:val="hybridMultilevel"/>
    <w:lvl w:ilvl="0">
      <w:lvlJc w:val="left"/>
      <w:lvlText w:val="†"/>
      <w:numFmt w:val="bullet"/>
      <w:start w:val="1"/>
    </w:lvl>
  </w:abstractNum>
  <w:abstractNum w:abstractNumId="103">
    <w:nsid w:val="8F8B73F"/>
    <w:multiLevelType w:val="hybridMultilevel"/>
    <w:lvl w:ilvl="0">
      <w:lvlJc w:val="left"/>
      <w:lvlText w:val="#"/>
      <w:numFmt w:val="bullet"/>
      <w:start w:val="1"/>
    </w:lvl>
  </w:abstractNum>
  <w:abstractNum w:abstractNumId="104">
    <w:nsid w:val="CA6B462"/>
    <w:multiLevelType w:val="hybridMultilevel"/>
    <w:lvl w:ilvl="0">
      <w:lvlJc w:val="left"/>
      <w:lvlText w:val="*"/>
      <w:numFmt w:val="bullet"/>
      <w:start w:val="1"/>
    </w:lvl>
  </w:abstractNum>
  <w:abstractNum w:abstractNumId="105">
    <w:nsid w:val="763CB680"/>
    <w:multiLevelType w:val="hybridMultilevel"/>
    <w:lvl w:ilvl="0">
      <w:lvlJc w:val="left"/>
      <w:lvlText w:val="(%1)"/>
      <w:numFmt w:val="decimal"/>
      <w:start w:val="1"/>
    </w:lvl>
  </w:abstractNum>
  <w:abstractNum w:abstractNumId="106">
    <w:nsid w:val="15B71329"/>
    <w:multiLevelType w:val="hybridMultilevel"/>
    <w:lvl w:ilvl="0">
      <w:lvlJc w:val="left"/>
      <w:lvlText w:val="(%1)"/>
      <w:numFmt w:val="decimal"/>
      <w:start w:val="9"/>
    </w:lvl>
  </w:abstractNum>
  <w:abstractNum w:abstractNumId="107">
    <w:nsid w:val="3DA97044"/>
    <w:multiLevelType w:val="hybridMultilevel"/>
    <w:lvl w:ilvl="0">
      <w:lvlJc w:val="left"/>
      <w:lvlText w:val="•"/>
      <w:numFmt w:val="bullet"/>
      <w:start w:val="1"/>
    </w:lvl>
  </w:abstractNum>
  <w:abstractNum w:abstractNumId="108">
    <w:nsid w:val="1CDCE2DE"/>
    <w:multiLevelType w:val="hybridMultilevel"/>
    <w:lvl w:ilvl="0">
      <w:lvlJc w:val="left"/>
      <w:lvlText w:val="•"/>
      <w:numFmt w:val="bullet"/>
      <w:start w:val="1"/>
    </w:lvl>
  </w:abstractNum>
  <w:abstractNum w:abstractNumId="109">
    <w:nsid w:val="69D3947C"/>
    <w:multiLevelType w:val="hybridMultilevel"/>
    <w:lvl w:ilvl="0">
      <w:lvlJc w:val="left"/>
      <w:lvlText w:val="•"/>
      <w:numFmt w:val="bullet"/>
      <w:start w:val="1"/>
    </w:lvl>
  </w:abstractNum>
  <w:abstractNum w:abstractNumId="110">
    <w:nsid w:val="2539DFA5"/>
    <w:multiLevelType w:val="hybridMultilevel"/>
    <w:lvl w:ilvl="0">
      <w:lvlJc w:val="left"/>
      <w:lvlText w:val="•"/>
      <w:numFmt w:val="bullet"/>
      <w:start w:val="1"/>
    </w:lvl>
  </w:abstractNum>
  <w:abstractNum w:abstractNumId="111">
    <w:nsid w:val="2DB88089"/>
    <w:multiLevelType w:val="hybridMultilevel"/>
    <w:lvl w:ilvl="0">
      <w:lvlJc w:val="left"/>
      <w:lvlText w:val="•"/>
      <w:numFmt w:val="bullet"/>
      <w:start w:val="1"/>
    </w:lvl>
  </w:abstractNum>
  <w:abstractNum w:abstractNumId="112">
    <w:nsid w:val="706B674E"/>
    <w:multiLevelType w:val="hybridMultilevel"/>
    <w:lvl w:ilvl="0">
      <w:lvlJc w:val="left"/>
      <w:lvlText w:val="•"/>
      <w:numFmt w:val="bullet"/>
      <w:start w:val="1"/>
    </w:lvl>
  </w:abstractNum>
  <w:abstractNum w:abstractNumId="113">
    <w:nsid w:val="2C106A57"/>
    <w:multiLevelType w:val="hybridMultilevel"/>
    <w:lvl w:ilvl="0">
      <w:lvlJc w:val="left"/>
      <w:lvlText w:val="•"/>
      <w:numFmt w:val="bullet"/>
      <w:start w:val="1"/>
    </w:lvl>
  </w:abstractNum>
  <w:abstractNum w:abstractNumId="114">
    <w:nsid w:val="684EED59"/>
    <w:multiLevelType w:val="hybridMultilevel"/>
    <w:lvl w:ilvl="0">
      <w:lvlJc w:val="left"/>
      <w:lvlText w:val="•"/>
      <w:numFmt w:val="bullet"/>
      <w:start w:val="1"/>
    </w:lvl>
  </w:abstractNum>
  <w:abstractNum w:abstractNumId="115">
    <w:nsid w:val="545EE5D3"/>
    <w:multiLevelType w:val="hybridMultilevel"/>
    <w:lvl w:ilvl="0">
      <w:lvlJc w:val="left"/>
      <w:lvlText w:val="(%1)"/>
      <w:numFmt w:val="lowerRoman"/>
      <w:start w:val="5"/>
    </w:lvl>
  </w:abstractNum>
  <w:abstractNum w:abstractNumId="116">
    <w:nsid w:val="4A66051"/>
    <w:multiLevelType w:val="hybridMultilevel"/>
    <w:lvl w:ilvl="0">
      <w:lvlJc w:val="left"/>
      <w:lvlText w:val="•"/>
      <w:numFmt w:val="bullet"/>
      <w:start w:val="1"/>
    </w:lvl>
  </w:abstractNum>
  <w:abstractNum w:abstractNumId="117">
    <w:nsid w:val="20F4BDAD"/>
    <w:multiLevelType w:val="hybridMultilevel"/>
    <w:lvl w:ilvl="0">
      <w:lvlJc w:val="left"/>
      <w:lvlText w:val="%1."/>
      <w:numFmt w:val="lowerLetter"/>
      <w:start w:val="1"/>
    </w:lvl>
  </w:abstractNum>
  <w:abstractNum w:abstractNumId="118">
    <w:nsid w:val="639DEFAC"/>
    <w:multiLevelType w:val="hybridMultilevel"/>
    <w:lvl w:ilvl="0">
      <w:lvlJc w:val="left"/>
      <w:lvlText w:val="•"/>
      <w:numFmt w:val="bullet"/>
      <w:start w:val="1"/>
    </w:lvl>
  </w:abstractNum>
  <w:abstractNum w:abstractNumId="119">
    <w:nsid w:val="501F9786"/>
    <w:multiLevelType w:val="hybridMultilevel"/>
    <w:lvl w:ilvl="0">
      <w:lvlJc w:val="left"/>
      <w:lvlText w:val="%1."/>
      <w:numFmt w:val="lowerLetter"/>
      <w:start w:val="1"/>
    </w:lvl>
  </w:abstractNum>
  <w:abstractNum w:abstractNumId="120">
    <w:nsid w:val="6B057295"/>
    <w:multiLevelType w:val="hybridMultilevel"/>
    <w:lvl w:ilvl="0">
      <w:lvlJc w:val="left"/>
      <w:lvlText w:val="%1."/>
      <w:numFmt w:val="lowerLetter"/>
      <w:start w:val="1"/>
    </w:lvl>
  </w:abstractNum>
  <w:abstractNum w:abstractNumId="121">
    <w:nsid w:val="2771AC80"/>
    <w:multiLevelType w:val="hybridMultilevel"/>
    <w:lvl w:ilvl="0">
      <w:lvlJc w:val="left"/>
      <w:lvlText w:val="%1."/>
      <w:numFmt w:val="lowerLetter"/>
      <w:start w:val="2"/>
    </w:lvl>
  </w:abstractNum>
  <w:abstractNum w:abstractNumId="122">
    <w:nsid w:val="1C4A08EC"/>
    <w:multiLevelType w:val="hybridMultilevel"/>
    <w:lvl w:ilvl="0">
      <w:lvlJc w:val="left"/>
      <w:lvlText w:val="(%1)"/>
      <w:numFmt w:val="lowerRoman"/>
      <w:start w:val="1"/>
    </w:lvl>
  </w:abstractNum>
  <w:abstractNum w:abstractNumId="123">
    <w:nsid w:val="1958BD17"/>
    <w:multiLevelType w:val="hybridMultilevel"/>
    <w:lvl w:ilvl="0">
      <w:lvlJc w:val="left"/>
      <w:lvlText w:val="%1."/>
      <w:numFmt w:val="decimal"/>
      <w:start w:val="1"/>
    </w:lvl>
  </w:abstractNum>
  <w:abstractNum w:abstractNumId="124">
    <w:nsid w:val="4E647FE4"/>
    <w:multiLevelType w:val="hybridMultilevel"/>
    <w:lvl w:ilvl="0">
      <w:lvlJc w:val="left"/>
      <w:lvlText w:val="%1."/>
      <w:numFmt w:val="decimal"/>
      <w:start w:val="2"/>
    </w:lvl>
  </w:abstractNum>
  <w:abstractNum w:abstractNumId="125">
    <w:nsid w:val="E0BB885"/>
    <w:multiLevelType w:val="hybridMultilevel"/>
    <w:lvl w:ilvl="0">
      <w:lvlJc w:val="left"/>
      <w:lvlText w:val="%1."/>
      <w:numFmt w:val="decimal"/>
      <w:start w:val="12"/>
    </w:lvl>
  </w:abstractNum>
  <w:abstractNum w:abstractNumId="126">
    <w:nsid w:val="565976F1"/>
    <w:multiLevelType w:val="hybridMultilevel"/>
    <w:lvl w:ilvl="0">
      <w:lvlJc w:val="left"/>
      <w:lvlText w:val="%1."/>
      <w:numFmt w:val="decimal"/>
      <w:start w:val="3"/>
    </w:lvl>
  </w:abstractNum>
  <w:abstractNum w:abstractNumId="127">
    <w:nsid w:val="64212B8C"/>
    <w:multiLevelType w:val="hybridMultilevel"/>
    <w:lvl w:ilvl="0">
      <w:lvlJc w:val="left"/>
      <w:lvlText w:val="%1."/>
      <w:numFmt w:val="decimal"/>
      <w:start w:val="6"/>
    </w:lvl>
  </w:abstractNum>
  <w:abstractNum w:abstractNumId="128">
    <w:nsid w:val="5C17530C"/>
    <w:multiLevelType w:val="hybridMultilevel"/>
    <w:lvl w:ilvl="0">
      <w:lvlJc w:val="left"/>
      <w:lvlText w:val="%1."/>
      <w:numFmt w:val="decimal"/>
      <w:start w:val="7"/>
    </w:lvl>
  </w:abstractNum>
  <w:abstractNum w:abstractNumId="129">
    <w:nsid w:val="19A52566"/>
    <w:multiLevelType w:val="hybridMultilevel"/>
    <w:lvl w:ilvl="0">
      <w:lvlJc w:val="left"/>
      <w:lvlText w:val="1"/>
      <w:numFmt w:val="bullet"/>
      <w:start w:val="1"/>
    </w:lvl>
  </w:abstractNum>
  <w:abstractNum w:abstractNumId="130">
    <w:nsid w:val="335A1DF1"/>
    <w:multiLevelType w:val="hybridMultilevel"/>
    <w:lvl w:ilvl="0">
      <w:lvlJc w:val="left"/>
      <w:lvlText w:val="2"/>
      <w:numFmt w:val="bullet"/>
      <w:start w:val="1"/>
    </w:lvl>
  </w:abstractNum>
  <w:abstractNum w:abstractNumId="131">
    <w:nsid w:val="28677B7C"/>
    <w:multiLevelType w:val="hybridMultilevel"/>
    <w:lvl w:ilvl="0">
      <w:lvlJc w:val="left"/>
      <w:lvlText w:val="%1."/>
      <w:numFmt w:val="decimal"/>
      <w:start w:val="8"/>
    </w:lvl>
  </w:abstractNum>
  <w:abstractNum w:abstractNumId="132">
    <w:nsid w:val="378D97C0"/>
    <w:multiLevelType w:val="hybridMultilevel"/>
    <w:lvl w:ilvl="0">
      <w:lvlJc w:val="left"/>
      <w:lvlText w:val="%1."/>
      <w:numFmt w:val="decimal"/>
      <w:start w:val="9"/>
    </w:lvl>
  </w:abstractNum>
  <w:abstractNum w:abstractNumId="133">
    <w:nsid w:val="1D91467C"/>
    <w:multiLevelType w:val="hybridMultilevel"/>
    <w:lvl w:ilvl="0">
      <w:lvlJc w:val="left"/>
      <w:lvlText w:val="%1."/>
      <w:numFmt w:val="decimal"/>
      <w:start w:val="10"/>
    </w:lvl>
  </w:abstractNum>
  <w:abstractNum w:abstractNumId="134">
    <w:nsid w:val="316032BB"/>
    <w:multiLevelType w:val="hybridMultilevel"/>
    <w:lvl w:ilvl="0">
      <w:lvlJc w:val="left"/>
      <w:lvlText w:val="%1."/>
      <w:numFmt w:val="decimal"/>
      <w:start w:val="11"/>
    </w:lvl>
  </w:abstractNum>
  <w:abstractNum w:abstractNumId="135">
    <w:nsid w:val="44344C22"/>
    <w:multiLevelType w:val="hybridMultilevel"/>
    <w:lvl w:ilvl="0">
      <w:lvlJc w:val="left"/>
      <w:lvlText w:val="%1."/>
      <w:numFmt w:val="decimal"/>
      <w:start w:val="12"/>
    </w:lvl>
  </w:abstractNum>
  <w:abstractNum w:abstractNumId="136">
    <w:nsid w:val="13CDFCFC"/>
    <w:multiLevelType w:val="hybridMultilevel"/>
    <w:lvl w:ilvl="0">
      <w:lvlJc w:val="left"/>
      <w:lvlText w:val="%1."/>
      <w:numFmt w:val="decimal"/>
      <w:start w:val="13"/>
    </w:lvl>
  </w:abstractNum>
  <w:abstractNum w:abstractNumId="137">
    <w:nsid w:val="471745E4"/>
    <w:multiLevelType w:val="hybridMultilevel"/>
    <w:lvl w:ilvl="0">
      <w:lvlJc w:val="left"/>
      <w:lvlText w:val="*"/>
      <w:numFmt w:val="bullet"/>
      <w:start w:val="1"/>
    </w:lvl>
  </w:abstractNum>
  <w:abstractNum w:abstractNumId="138">
    <w:nsid w:val="1DDBC66"/>
    <w:multiLevelType w:val="hybridMultilevel"/>
    <w:lvl w:ilvl="0">
      <w:lvlJc w:val="left"/>
      <w:lvlText w:val="•"/>
      <w:numFmt w:val="bullet"/>
      <w:start w:val="1"/>
    </w:lvl>
  </w:abstractNum>
  <w:abstractNum w:abstractNumId="139">
    <w:nsid w:val="30AADFDA"/>
    <w:multiLevelType w:val="hybridMultilevel"/>
    <w:lvl w:ilvl="0">
      <w:lvlJc w:val="left"/>
      <w:lvlText w:val="•"/>
      <w:numFmt w:val="bullet"/>
      <w:start w:val="1"/>
    </w:lvl>
  </w:abstractNum>
  <w:abstractNum w:abstractNumId="140">
    <w:nsid w:val="30EADA61"/>
    <w:multiLevelType w:val="hybridMultilevel"/>
    <w:lvl w:ilvl="0">
      <w:lvlJc w:val="left"/>
      <w:lvlText w:val="•"/>
      <w:numFmt w:val="bullet"/>
      <w:start w:val="1"/>
    </w:lvl>
  </w:abstractNum>
  <w:abstractNum w:abstractNumId="141">
    <w:nsid w:val="27179C0B"/>
    <w:multiLevelType w:val="hybridMultilevel"/>
    <w:lvl w:ilvl="0">
      <w:lvlJc w:val="left"/>
      <w:lvlText w:val="(%1)"/>
      <w:numFmt w:val="lowerLetter"/>
      <w:start w:val="1"/>
    </w:lvl>
  </w:abstractNum>
  <w:abstractNum w:abstractNumId="142">
    <w:nsid w:val="5E636063"/>
    <w:multiLevelType w:val="hybridMultilevel"/>
    <w:lvl w:ilvl="0">
      <w:lvlJc w:val="left"/>
      <w:lvlText w:val="(%1)"/>
      <w:numFmt w:val="lowerLetter"/>
      <w:start w:val="2"/>
    </w:lvl>
  </w:abstractNum>
  <w:abstractNum w:abstractNumId="143">
    <w:nsid w:val="215641AF"/>
    <w:multiLevelType w:val="hybridMultilevel"/>
    <w:lvl w:ilvl="0">
      <w:lvlJc w:val="left"/>
      <w:lvlText w:val="(%1)"/>
      <w:numFmt w:val="decimal"/>
      <w:start w:val="1"/>
    </w:lvl>
  </w:abstractNum>
  <w:abstractNum w:abstractNumId="144">
    <w:nsid w:val="53280662"/>
    <w:multiLevelType w:val="hybridMultilevel"/>
    <w:lvl w:ilvl="0">
      <w:lvlJc w:val="left"/>
      <w:lvlText w:val="*"/>
      <w:numFmt w:val="bullet"/>
      <w:start w:val="1"/>
    </w:lvl>
  </w:abstractNum>
  <w:abstractNum w:abstractNumId="145">
    <w:nsid w:val="46B24DBC"/>
    <w:multiLevelType w:val="hybridMultilevel"/>
    <w:lvl w:ilvl="0">
      <w:lvlJc w:val="left"/>
      <w:lvlText w:val="%1."/>
      <w:numFmt w:val="decimal"/>
      <w:start w:val="1"/>
    </w:lvl>
  </w:abstractNum>
  <w:abstractNum w:abstractNumId="146">
    <w:nsid w:val="75B52783"/>
    <w:multiLevelType w:val="hybridMultilevel"/>
    <w:lvl w:ilvl="0">
      <w:lvlJc w:val="left"/>
      <w:lvlText w:val="(%1)"/>
      <w:numFmt w:val="lowerRoman"/>
      <w:start w:val="1"/>
    </w:lvl>
  </w:abstractNum>
  <w:abstractNum w:abstractNumId="147">
    <w:nsid w:val="57CE66B4"/>
    <w:multiLevelType w:val="hybridMultilevel"/>
    <w:lvl w:ilvl="0">
      <w:lvlJc w:val="left"/>
      <w:lvlText w:val="%1."/>
      <w:numFmt w:val="upperLetter"/>
      <w:start w:val="1"/>
    </w:lvl>
    <w:lvl w:ilvl="1">
      <w:lvlJc w:val="left"/>
      <w:lvlText w:val="%2."/>
      <w:numFmt w:val="decimal"/>
      <w:start w:val="1"/>
    </w:lvl>
  </w:abstractNum>
  <w:abstractNum w:abstractNumId="148">
    <w:nsid w:val="67A70B69"/>
    <w:multiLevelType w:val="hybridMultilevel"/>
    <w:lvl w:ilvl="0">
      <w:lvlJc w:val="left"/>
      <w:lvlText w:val="(%1)"/>
      <w:numFmt w:val="lowerRoman"/>
      <w:start w:val="1"/>
    </w:lvl>
    <w:lvl w:ilvl="1">
      <w:lvlJc w:val="left"/>
      <w:lvlText w:val="-"/>
      <w:numFmt w:val="bullet"/>
      <w:start w:val="1"/>
    </w:lvl>
  </w:abstractNum>
  <w:abstractNum w:abstractNumId="149">
    <w:nsid w:val="5953172F"/>
    <w:multiLevelType w:val="hybridMultilevel"/>
    <w:lvl w:ilvl="0">
      <w:lvlJc w:val="left"/>
      <w:lvlText w:val="(%1)"/>
      <w:numFmt w:val="lowerRoman"/>
      <w:start w:val="4"/>
    </w:lvl>
  </w:abstractNum>
  <w:abstractNum w:abstractNumId="150">
    <w:nsid w:val="27EDFE3A"/>
    <w:multiLevelType w:val="hybridMultilevel"/>
    <w:lvl w:ilvl="0">
      <w:lvlJc w:val="left"/>
      <w:lvlText w:val="(%1)"/>
      <w:numFmt w:val="lowerRoman"/>
      <w:start w:val="1"/>
    </w:lvl>
    <w:lvl w:ilvl="1">
      <w:lvlJc w:val="left"/>
      <w:lvlText w:val="-"/>
      <w:numFmt w:val="bullet"/>
      <w:start w:val="1"/>
    </w:lvl>
  </w:abstractNum>
  <w:abstractNum w:abstractNumId="151">
    <w:nsid w:val="52AC7DFF"/>
    <w:multiLevelType w:val="hybridMultilevel"/>
    <w:lvl w:ilvl="0">
      <w:lvlJc w:val="left"/>
      <w:lvlText w:val="(%1)"/>
      <w:numFmt w:val="lowerRoman"/>
      <w:start w:val="4"/>
    </w:lvl>
  </w:abstractNum>
  <w:abstractNum w:abstractNumId="152">
    <w:nsid w:val="C4C3AF"/>
    <w:multiLevelType w:val="hybridMultilevel"/>
    <w:lvl w:ilvl="0">
      <w:lvlJc w:val="left"/>
      <w:lvlText w:val="%1"/>
      <w:numFmt w:val="upperLetter"/>
      <w:start w:val="1"/>
    </w:lvl>
    <w:lvl w:ilvl="1">
      <w:lvlJc w:val="left"/>
      <w:lvlText w:val="%2."/>
      <w:numFmt w:val="decimal"/>
      <w:start w:val="5"/>
    </w:lvl>
  </w:abstractNum>
  <w:abstractNum w:abstractNumId="153">
    <w:nsid w:val="44380727"/>
    <w:multiLevelType w:val="hybridMultilevel"/>
    <w:lvl w:ilvl="0">
      <w:lvlJc w:val="left"/>
      <w:lvlText w:val="%1."/>
      <w:numFmt w:val="upperLetter"/>
      <w:start w:val="2"/>
    </w:lvl>
    <w:lvl w:ilvl="1">
      <w:lvlJc w:val="left"/>
      <w:lvlText w:val="%2"/>
      <w:numFmt w:val="decimal"/>
      <w:start w:val="1"/>
    </w:lvl>
  </w:abstractNum>
  <w:abstractNum w:abstractNumId="154">
    <w:nsid w:val="6C053B16"/>
    <w:multiLevelType w:val="hybridMultilevel"/>
    <w:lvl w:ilvl="0">
      <w:lvlJc w:val="left"/>
      <w:lvlText w:val="%1."/>
      <w:numFmt w:val="decimal"/>
      <w:start w:val="1"/>
    </w:lvl>
  </w:abstractNum>
  <w:abstractNum w:abstractNumId="155">
    <w:nsid w:val="4F294393"/>
    <w:multiLevelType w:val="hybridMultilevel"/>
    <w:lvl w:ilvl="0">
      <w:lvlJc w:val="left"/>
      <w:lvlText w:val="%1."/>
      <w:numFmt w:val="decimal"/>
      <w:start w:val="2"/>
    </w:lvl>
  </w:abstractNum>
  <w:abstractNum w:abstractNumId="156">
    <w:nsid w:val="5243BFAC"/>
    <w:multiLevelType w:val="hybridMultilevel"/>
    <w:lvl w:ilvl="0">
      <w:lvlJc w:val="left"/>
      <w:lvlText w:val="(%1)"/>
      <w:numFmt w:val="lowerLetter"/>
      <w:start w:val="1"/>
    </w:lvl>
    <w:lvl w:ilvl="1">
      <w:lvlJc w:val="left"/>
      <w:lvlText w:val="(%2)"/>
      <w:numFmt w:val="lowerRoman"/>
      <w:start w:val="1"/>
    </w:lvl>
  </w:abstractNum>
  <w:abstractNum w:abstractNumId="157">
    <w:nsid w:val="425EB207"/>
    <w:multiLevelType w:val="hybridMultilevel"/>
    <w:lvl w:ilvl="0">
      <w:lvlJc w:val="left"/>
      <w:lvlText w:val="(%1)"/>
      <w:numFmt w:val="lowerLetter"/>
      <w:start w:val="2"/>
    </w:lvl>
  </w:abstractNum>
  <w:abstractNum w:abstractNumId="158">
    <w:nsid w:val="334A6F1F"/>
    <w:multiLevelType w:val="hybridMultilevel"/>
    <w:lvl w:ilvl="0">
      <w:lvlJc w:val="left"/>
      <w:lvlText w:val="(%1)"/>
      <w:numFmt w:val="lowerLetter"/>
      <w:start w:val="1"/>
    </w:lvl>
    <w:lvl w:ilvl="1">
      <w:lvlJc w:val="left"/>
      <w:lvlText w:val="-"/>
      <w:numFmt w:val="bullet"/>
      <w:start w:val="1"/>
    </w:lvl>
  </w:abstractNum>
  <w:abstractNum w:abstractNumId="159">
    <w:nsid w:val="2E5B12B8"/>
    <w:multiLevelType w:val="hybridMultilevel"/>
    <w:lvl w:ilvl="0">
      <w:lvlJc w:val="left"/>
      <w:lvlText w:val="(%1)"/>
      <w:numFmt w:val="lowerLetter"/>
      <w:start w:val="1"/>
    </w:lvl>
    <w:lvl w:ilvl="1">
      <w:lvlJc w:val="left"/>
      <w:lvlText w:val="-"/>
      <w:numFmt w:val="bullet"/>
      <w:start w:val="1"/>
    </w:lvl>
  </w:abstractNum>
  <w:abstractNum w:abstractNumId="160">
    <w:nsid w:val="5C03D76D"/>
    <w:multiLevelType w:val="hybridMultilevel"/>
    <w:lvl w:ilvl="0">
      <w:lvlJc w:val="left"/>
      <w:lvlText w:val="%1."/>
      <w:numFmt w:val="decimal"/>
      <w:start w:val="3"/>
    </w:lvl>
  </w:abstractNum>
  <w:abstractNum w:abstractNumId="161">
    <w:nsid w:val="66A48D11"/>
    <w:multiLevelType w:val="hybridMultilevel"/>
    <w:lvl w:ilvl="0">
      <w:lvlJc w:val="left"/>
      <w:lvlText w:val="%1."/>
      <w:numFmt w:val="decimal"/>
      <w:start w:val="4"/>
    </w:lvl>
  </w:abstractNum>
  <w:abstractNum w:abstractNumId="162">
    <w:nsid w:val="56C28E34"/>
    <w:multiLevelType w:val="hybridMultilevel"/>
    <w:lvl w:ilvl="0">
      <w:lvlJc w:val="left"/>
      <w:lvlText w:val="(%1)"/>
      <w:numFmt w:val="lowerRoman"/>
      <w:start w:val="1"/>
    </w:lvl>
    <w:lvl w:ilvl="1">
      <w:lvlJc w:val="left"/>
      <w:lvlText w:val="-"/>
      <w:numFmt w:val="bullet"/>
      <w:start w:val="1"/>
    </w:lvl>
  </w:abstractNum>
  <w:abstractNum w:abstractNumId="163">
    <w:nsid w:val="13916F2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4">
    <w:nsid w:val="435D38D"/>
    <w:multiLevelType w:val="hybridMultilevel"/>
    <w:lvl w:ilvl="0">
      <w:lvlJc w:val="left"/>
      <w:lvlText w:val="(%1)"/>
      <w:numFmt w:val="lowerRoman"/>
      <w:start w:val="5"/>
    </w:lvl>
    <w:lvl w:ilvl="1">
      <w:lvlJc w:val="left"/>
      <w:lvlText w:val="-"/>
      <w:numFmt w:val="bullet"/>
      <w:start w:val="1"/>
    </w:lvl>
  </w:abstractNum>
  <w:abstractNum w:abstractNumId="165">
    <w:nsid w:val="822C0EF"/>
    <w:multiLevelType w:val="hybridMultilevel"/>
    <w:lvl w:ilvl="0">
      <w:lvlJc w:val="left"/>
      <w:lvlText w:val="(%1)"/>
      <w:numFmt w:val="lowerRoman"/>
      <w:start w:val="10"/>
    </w:lvl>
  </w:abstractNum>
  <w:abstractNum w:abstractNumId="166">
    <w:nsid w:val="57C5BB4F"/>
    <w:multiLevelType w:val="hybridMultilevel"/>
    <w:lvl w:ilvl="0">
      <w:lvlJc w:val="left"/>
      <w:lvlText w:val="(%1)"/>
      <w:numFmt w:val="lowerLetter"/>
      <w:start w:val="1"/>
    </w:lvl>
    <w:lvl w:ilvl="1">
      <w:lvlJc w:val="left"/>
      <w:lvlText w:val="-"/>
      <w:numFmt w:val="bullet"/>
      <w:start w:val="1"/>
    </w:lvl>
  </w:abstractNum>
  <w:abstractNum w:abstractNumId="167">
    <w:nsid w:val="1803D089"/>
    <w:multiLevelType w:val="hybridMultilevel"/>
    <w:lvl w:ilvl="0">
      <w:lvlJc w:val="left"/>
      <w:lvlText w:val="(%1)"/>
      <w:numFmt w:val="decimal"/>
      <w:start w:val="2"/>
    </w:lvl>
    <w:lvl w:ilvl="1">
      <w:lvlJc w:val="left"/>
      <w:lvlText w:val="-"/>
      <w:numFmt w:val="bullet"/>
      <w:start w:val="1"/>
    </w:lvl>
  </w:abstractNum>
  <w:abstractNum w:abstractNumId="168">
    <w:nsid w:val="4F3A06D4"/>
    <w:multiLevelType w:val="hybridMultilevel"/>
    <w:lvl w:ilvl="0">
      <w:lvlJc w:val="left"/>
      <w:lvlText w:val="(%1)"/>
      <w:numFmt w:val="lowerLetter"/>
      <w:start w:val="3"/>
    </w:lvl>
    <w:lvl w:ilvl="1">
      <w:lvlJc w:val="left"/>
      <w:lvlText w:val="-"/>
      <w:numFmt w:val="bullet"/>
      <w:start w:val="1"/>
    </w:lvl>
  </w:abstractNum>
  <w:abstractNum w:abstractNumId="169">
    <w:nsid w:val="59A377B6"/>
    <w:multiLevelType w:val="hybridMultilevel"/>
    <w:lvl w:ilvl="0">
      <w:lvlJc w:val="left"/>
      <w:lvlText w:val="(%1)"/>
      <w:numFmt w:val="lowerLetter"/>
      <w:start w:val="4"/>
    </w:lvl>
  </w:abstractNum>
  <w:abstractNum w:abstractNumId="170">
    <w:nsid w:val="48AEB063"/>
    <w:multiLevelType w:val="hybridMultilevel"/>
    <w:lvl w:ilvl="0">
      <w:lvlJc w:val="left"/>
      <w:lvlText w:val="(%1)"/>
      <w:numFmt w:val="lowerLetter"/>
      <w:start w:val="1"/>
    </w:lvl>
  </w:abstractNum>
  <w:abstractNum w:abstractNumId="171">
    <w:nsid w:val="24E13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2">
    <w:nsid w:val="BB13C1"/>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73">
    <w:nsid w:val="271210C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4">
    <w:nsid w:val="217B22E4"/>
    <w:multiLevelType w:val="hybridMultilevel"/>
    <w:lvl w:ilvl="0">
      <w:lvlJc w:val="left"/>
      <w:lvlText w:val="(%1)"/>
      <w:numFmt w:val="decimal"/>
      <w:start w:val="1"/>
    </w:lvl>
  </w:abstractNum>
  <w:abstractNum w:abstractNumId="175">
    <w:nsid w:val="53E31A24"/>
    <w:multiLevelType w:val="hybridMultilevel"/>
    <w:lvl w:ilvl="0">
      <w:lvlJc w:val="left"/>
      <w:lvlText w:val="(%1)"/>
      <w:numFmt w:val="lowerLetter"/>
      <w:start w:val="1"/>
    </w:lvl>
    <w:lvl w:ilvl="1">
      <w:lvlJc w:val="left"/>
      <w:lvlText w:val="-"/>
      <w:numFmt w:val="bullet"/>
      <w:start w:val="1"/>
    </w:lvl>
  </w:abstractNum>
  <w:abstractNum w:abstractNumId="176">
    <w:nsid w:val="6DC45E83"/>
    <w:multiLevelType w:val="hybridMultilevel"/>
    <w:lvl w:ilvl="0">
      <w:lvlJc w:val="left"/>
      <w:lvlText w:val="%1."/>
      <w:numFmt w:val="decimal"/>
      <w:start w:val="5"/>
    </w:lvl>
  </w:abstractNum>
  <w:abstractNum w:abstractNumId="177">
    <w:nsid w:val="17304A67"/>
    <w:multiLevelType w:val="hybridMultilevel"/>
    <w:lvl w:ilvl="0">
      <w:lvlJc w:val="left"/>
      <w:lvlText w:val="(%1)"/>
      <w:numFmt w:val="lowerRoman"/>
      <w:start w:val="1"/>
    </w:lvl>
  </w:abstractNum>
  <w:abstractNum w:abstractNumId="178">
    <w:nsid w:val="2BB180D8"/>
    <w:multiLevelType w:val="hybridMultilevel"/>
    <w:lvl w:ilvl="0">
      <w:lvlJc w:val="left"/>
      <w:lvlText w:val="%1."/>
      <w:numFmt w:val="decimal"/>
      <w:start w:val="6"/>
    </w:lvl>
  </w:abstractNum>
  <w:abstractNum w:abstractNumId="179">
    <w:nsid w:val="556B69ED"/>
    <w:multiLevelType w:val="hybridMultilevel"/>
    <w:lvl w:ilvl="0">
      <w:lvlJc w:val="left"/>
      <w:lvlText w:val="%1."/>
      <w:numFmt w:val="decimal"/>
      <w:start w:val="3"/>
    </w:lvl>
    <w:lvl w:ilvl="1">
      <w:lvlJc w:val="left"/>
      <w:lvlText w:val="-"/>
      <w:numFmt w:val="bullet"/>
      <w:start w:val="1"/>
    </w:lvl>
  </w:abstractNum>
  <w:abstractNum w:abstractNumId="180">
    <w:nsid w:val="70836196"/>
    <w:multiLevelType w:val="hybridMultilevel"/>
    <w:lvl w:ilvl="0">
      <w:lvlJc w:val="left"/>
      <w:lvlText w:val="(%1)"/>
      <w:numFmt w:val="lowerRoman"/>
      <w:start w:val="3"/>
    </w:lvl>
  </w:abstractNum>
  <w:abstractNum w:abstractNumId="181">
    <w:nsid w:val="539F7F12"/>
    <w:multiLevelType w:val="hybridMultilevel"/>
    <w:lvl w:ilvl="0">
      <w:lvlJc w:val="left"/>
      <w:lvlText w:val="(%1)"/>
      <w:numFmt w:val="lowerLetter"/>
      <w:start w:val="1"/>
    </w:lvl>
    <w:lvl w:ilvl="1">
      <w:lvlJc w:val="left"/>
      <w:lvlText w:val="(%2)"/>
      <w:numFmt w:val="decimal"/>
      <w:start w:val="1"/>
    </w:lvl>
  </w:abstractNum>
  <w:abstractNum w:abstractNumId="182">
    <w:nsid w:val="2817E7EC"/>
    <w:multiLevelType w:val="hybridMultilevel"/>
    <w:lvl w:ilvl="0">
      <w:lvlJc w:val="left"/>
      <w:lvlText w:val="(%1)"/>
      <w:numFmt w:val="lowerLetter"/>
      <w:start w:val="1"/>
    </w:lvl>
  </w:abstractNum>
  <w:abstractNum w:abstractNumId="183">
    <w:nsid w:val="71482545"/>
    <w:multiLevelType w:val="hybridMultilevel"/>
    <w:lvl w:ilvl="0">
      <w:lvlJc w:val="left"/>
      <w:lvlText w:val="%1."/>
      <w:numFmt w:val="decimal"/>
      <w:start w:val="1"/>
    </w:lvl>
  </w:abstractNum>
  <w:abstractNum w:abstractNumId="184">
    <w:nsid w:val="17D78639"/>
    <w:multiLevelType w:val="hybridMultilevel"/>
    <w:lvl w:ilvl="0">
      <w:lvlJc w:val="left"/>
      <w:lvlText w:val="(%1)"/>
      <w:numFmt w:val="lowerRoman"/>
      <w:start w:val="1"/>
    </w:lvl>
  </w:abstractNum>
  <w:abstractNum w:abstractNumId="185">
    <w:nsid w:val="141D230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86">
    <w:nsid w:val="407168D8"/>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187">
    <w:nsid w:val="6A1B45E5"/>
    <w:multiLevelType w:val="hybridMultilevel"/>
    <w:lvl w:ilvl="0">
      <w:lvlJc w:val="left"/>
      <w:lvlText w:val="(%1)"/>
      <w:numFmt w:val="lowerLetter"/>
      <w:start w:val="4"/>
    </w:lvl>
  </w:abstractNum>
  <w:abstractNum w:abstractNumId="188">
    <w:nsid w:val="567BD50A"/>
    <w:multiLevelType w:val="hybridMultilevel"/>
    <w:lvl w:ilvl="0">
      <w:lvlJc w:val="left"/>
      <w:lvlText w:val="%1"/>
      <w:numFmt w:val="decimal"/>
      <w:start w:val="1"/>
    </w:lvl>
    <w:lvl w:ilvl="1">
      <w:lvlJc w:val="left"/>
      <w:lvlText w:val="(%2)"/>
      <w:numFmt w:val="lowerLetter"/>
      <w:start w:val="1"/>
    </w:lvl>
  </w:abstractNum>
  <w:abstractNum w:abstractNumId="189">
    <w:nsid w:val="73BBD7F8"/>
    <w:multiLevelType w:val="hybridMultilevel"/>
    <w:lvl w:ilvl="0">
      <w:lvlJc w:val="left"/>
      <w:lvlText w:val="(%1)"/>
      <w:numFmt w:val="decimal"/>
      <w:start w:val="100"/>
    </w:lvl>
    <w:lvl w:ilvl="1">
      <w:lvlJc w:val="left"/>
      <w:lvlText w:val="(%2)"/>
      <w:numFmt w:val="lowerLetter"/>
      <w:start w:val="2"/>
    </w:lvl>
  </w:abstractNum>
  <w:abstractNum w:abstractNumId="190">
    <w:nsid w:val="1876589D"/>
    <w:multiLevelType w:val="hybridMultilevel"/>
    <w:lvl w:ilvl="0">
      <w:lvlJc w:val="left"/>
      <w:lvlText w:val="(%1)"/>
      <w:numFmt w:val="lowerLetter"/>
      <w:start w:val="1"/>
    </w:lvl>
  </w:abstractNum>
  <w:abstractNum w:abstractNumId="191">
    <w:nsid w:val="327FAC77"/>
    <w:multiLevelType w:val="hybridMultilevel"/>
    <w:lvl w:ilvl="0">
      <w:lvlJc w:val="left"/>
      <w:lvlText w:val="(%1)"/>
      <w:numFmt w:val="lowerLetter"/>
      <w:start w:val="3"/>
    </w:lvl>
  </w:abstractNum>
  <w:abstractNum w:abstractNumId="192">
    <w:nsid w:val="5A606509"/>
    <w:multiLevelType w:val="hybridMultilevel"/>
    <w:lvl w:ilvl="0">
      <w:lvlJc w:val="left"/>
      <w:lvlText w:val="(%1)"/>
      <w:numFmt w:val="lowerLetter"/>
      <w:start w:val="1"/>
    </w:lvl>
  </w:abstractNum>
  <w:abstractNum w:abstractNumId="193">
    <w:nsid w:val="6F38E6D1"/>
    <w:multiLevelType w:val="hybridMultilevel"/>
    <w:lvl w:ilvl="0">
      <w:lvlJc w:val="left"/>
      <w:lvlText w:val="(%1)"/>
      <w:numFmt w:val="lowerLetter"/>
      <w:start w:val="2"/>
    </w:lvl>
  </w:abstractNum>
  <w:abstractNum w:abstractNumId="194">
    <w:nsid w:val="46111BA5"/>
    <w:multiLevelType w:val="hybridMultilevel"/>
    <w:lvl w:ilvl="0">
      <w:lvlJc w:val="left"/>
      <w:lvlText w:val="(%1)"/>
      <w:numFmt w:val="lowerLetter"/>
      <w:start w:val="4"/>
    </w:lvl>
  </w:abstractNum>
  <w:abstractNum w:abstractNumId="195">
    <w:nsid w:val="5E963896"/>
    <w:multiLevelType w:val="hybridMultilevel"/>
    <w:lvl w:ilvl="0">
      <w:lvlJc w:val="left"/>
      <w:lvlText w:val="(%1)"/>
      <w:numFmt w:val="lowerLetter"/>
      <w:start w:val="1"/>
    </w:lvl>
  </w:abstractNum>
  <w:abstractNum w:abstractNumId="196">
    <w:nsid w:val="775BA7C1"/>
    <w:multiLevelType w:val="hybridMultilevel"/>
    <w:lvl w:ilvl="0">
      <w:lvlJc w:val="left"/>
      <w:lvlText w:val="(%1)"/>
      <w:numFmt w:val="decimal"/>
      <w:start w:val="1"/>
    </w:lvl>
  </w:abstractNum>
  <w:abstractNum w:abstractNumId="197">
    <w:nsid w:val="1DD6D6F4"/>
    <w:multiLevelType w:val="hybridMultilevel"/>
    <w:lvl w:ilvl="0">
      <w:lvlJc w:val="left"/>
      <w:lvlText w:val="(%1)"/>
      <w:numFmt w:val="lowerLetter"/>
      <w:start w:val="1"/>
    </w:lvl>
  </w:abstractNum>
  <w:abstractNum w:abstractNumId="198">
    <w:nsid w:val="769A091F"/>
    <w:multiLevelType w:val="hybridMultilevel"/>
    <w:lvl w:ilvl="0">
      <w:lvlJc w:val="left"/>
      <w:lvlText w:val="%1"/>
      <w:numFmt w:val="lowerLetter"/>
      <w:start w:val="1"/>
    </w:lvl>
    <w:lvl w:ilvl="1">
      <w:lvlJc w:val="left"/>
      <w:lvlText w:val="(%2)"/>
      <w:numFmt w:val="lowerLetter"/>
      <w:start w:val="3"/>
    </w:lvl>
  </w:abstractNum>
  <w:abstractNum w:abstractNumId="199">
    <w:nsid w:val="4695AE95"/>
    <w:multiLevelType w:val="hybridMultilevel"/>
    <w:lvl w:ilvl="0">
      <w:lvlJc w:val="left"/>
      <w:lvlText w:val="(%1)"/>
      <w:numFmt w:val="lowerLetter"/>
      <w:start w:val="9"/>
    </w:lvl>
    <w:lvl w:ilvl="1">
      <w:lvlJc w:val="left"/>
      <w:lvlText w:val="%2"/>
      <w:numFmt w:val="lowerLetter"/>
      <w:start w:val="1"/>
    </w:lvl>
  </w:abstractNum>
  <w:abstractNum w:abstractNumId="200">
    <w:nsid w:val="777A4EAA"/>
    <w:multiLevelType w:val="hybridMultilevel"/>
    <w:lvl w:ilvl="0">
      <w:lvlJc w:val="left"/>
      <w:lvlText w:val="(%1)"/>
      <w:numFmt w:val="lowerLetter"/>
      <w:start w:val="61"/>
    </w:lvl>
    <w:lvl w:ilvl="1">
      <w:lvlJc w:val="left"/>
      <w:lvlText w:val="%2"/>
      <w:numFmt w:val="lowerLetter"/>
      <w:start w:val="1"/>
    </w:lvl>
  </w:abstractNum>
  <w:abstractNum w:abstractNumId="201">
    <w:nsid w:val="3F48B982"/>
    <w:multiLevelType w:val="hybridMultilevel"/>
    <w:lvl w:ilvl="0">
      <w:lvlJc w:val="left"/>
      <w:lvlText w:val="(%1)"/>
      <w:numFmt w:val="lowerLetter"/>
      <w:start w:val="1"/>
    </w:lvl>
  </w:abstractNum>
  <w:abstractNum w:abstractNumId="202">
    <w:nsid w:val="46BA8FCA"/>
    <w:multiLevelType w:val="hybridMultilevel"/>
    <w:lvl w:ilvl="0">
      <w:lvlJc w:val="left"/>
      <w:lvlText w:val="%1"/>
      <w:numFmt w:val="decimal"/>
      <w:start w:val="1"/>
    </w:lvl>
    <w:lvl w:ilvl="1">
      <w:lvlJc w:val="left"/>
      <w:lvlText w:val="(%2)"/>
      <w:numFmt w:val="lowerLetter"/>
      <w:start w:val="2"/>
    </w:lvl>
  </w:abstractNum>
  <w:abstractNum w:abstractNumId="203">
    <w:nsid w:val="7835626C"/>
    <w:multiLevelType w:val="hybridMultilevel"/>
    <w:lvl w:ilvl="0">
      <w:lvlJc w:val="left"/>
      <w:lvlText w:val="%1."/>
      <w:numFmt w:val="decimal"/>
      <w:start w:val="3"/>
    </w:lvl>
    <w:lvl w:ilvl="1">
      <w:lvlJc w:val="left"/>
      <w:lvlText w:val="%2"/>
      <w:numFmt w:val="lowerLetter"/>
      <w:start w:val="1"/>
    </w:lvl>
  </w:abstractNum>
  <w:abstractNum w:abstractNumId="204">
    <w:nsid w:val="665ACA49"/>
    <w:multiLevelType w:val="hybridMultilevel"/>
    <w:lvl w:ilvl="0">
      <w:lvlJc w:val="left"/>
      <w:lvlText w:val="%1"/>
      <w:numFmt w:val="lowerLetter"/>
      <w:start w:val="1"/>
    </w:lvl>
    <w:lvl w:ilvl="1">
      <w:lvlJc w:val="left"/>
      <w:lvlText w:val="(%2)"/>
      <w:numFmt w:val="lowerLetter"/>
      <w:start w:val="1"/>
    </w:lvl>
  </w:abstractNum>
  <w:abstractNum w:abstractNumId="205">
    <w:nsid w:val="6835B2AE"/>
    <w:multiLevelType w:val="hybridMultilevel"/>
    <w:lvl w:ilvl="0">
      <w:lvlJc w:val="left"/>
      <w:lvlText w:val="(%1)"/>
      <w:numFmt w:val="lowerLetter"/>
      <w:start w:val="9"/>
    </w:lvl>
    <w:lvl w:ilvl="1">
      <w:lvlJc w:val="left"/>
      <w:lvlText w:val="%2"/>
      <w:numFmt w:val="lowerLetter"/>
      <w:start w:val="1"/>
    </w:lvl>
  </w:abstractNum>
  <w:abstractNum w:abstractNumId="206">
    <w:nsid w:val="4C187C90"/>
    <w:multiLevelType w:val="hybridMultilevel"/>
    <w:lvl w:ilvl="0">
      <w:lvlJc w:val="left"/>
      <w:lvlText w:val="(%1)"/>
      <w:numFmt w:val="lowerLetter"/>
      <w:start w:val="61"/>
    </w:lvl>
    <w:lvl w:ilvl="1">
      <w:lvlJc w:val="left"/>
      <w:lvlText w:val="(%2)"/>
      <w:numFmt w:val="lowerLetter"/>
      <w:start w:val="2"/>
    </w:lvl>
  </w:abstractNum>
  <w:abstractNum w:abstractNumId="207">
    <w:nsid w:val="541F28CD"/>
    <w:multiLevelType w:val="hybridMultilevel"/>
    <w:lvl w:ilvl="0">
      <w:lvlJc w:val="left"/>
      <w:lvlText w:val="(%1)"/>
      <w:numFmt w:val="lowerLetter"/>
      <w:start w:val="4"/>
    </w:lvl>
  </w:abstractNum>
  <w:abstractNum w:abstractNumId="208">
    <w:nsid w:val="7F65FD16"/>
    <w:multiLevelType w:val="hybridMultilevel"/>
    <w:lvl w:ilvl="0">
      <w:lvlJc w:val="left"/>
      <w:lvlText w:val="(%1)"/>
      <w:numFmt w:val="lowerLetter"/>
      <w:start w:val="1"/>
    </w:lvl>
  </w:abstractNum>
  <w:abstractNum w:abstractNumId="209">
    <w:nsid w:val="77C9FD68"/>
    <w:multiLevelType w:val="hybridMultilevel"/>
    <w:lvl w:ilvl="0">
      <w:lvlJc w:val="left"/>
      <w:lvlText w:val="(%1)"/>
      <w:numFmt w:val="lowerLetter"/>
      <w:start w:val="2"/>
    </w:lvl>
  </w:abstractNum>
  <w:abstractNum w:abstractNumId="210">
    <w:nsid w:val="298A92BA"/>
    <w:multiLevelType w:val="hybridMultilevel"/>
    <w:lvl w:ilvl="0">
      <w:lvlJc w:val="left"/>
      <w:lvlText w:val="(%1)"/>
      <w:numFmt w:val="lowerRoman"/>
      <w:start w:val="2"/>
    </w:lvl>
  </w:abstractNum>
  <w:abstractNum w:abstractNumId="211">
    <w:nsid w:val="6FE95EAC"/>
    <w:multiLevelType w:val="hybridMultilevel"/>
    <w:lvl w:ilvl="0">
      <w:lvlJc w:val="left"/>
      <w:lvlText w:val="(%1)"/>
      <w:numFmt w:val="lowerRoman"/>
      <w:start w:val="3"/>
    </w:lvl>
  </w:abstractNum>
  <w:abstractNum w:abstractNumId="212">
    <w:nsid w:val="4B697C7A"/>
    <w:multiLevelType w:val="hybridMultilevel"/>
    <w:lvl w:ilvl="0">
      <w:lvlJc w:val="left"/>
      <w:lvlText w:val="%1."/>
      <w:numFmt w:val="decimal"/>
      <w:start w:val="4"/>
    </w:lvl>
  </w:abstractNum>
  <w:abstractNum w:abstractNumId="213">
    <w:nsid w:val="51A27AA6"/>
    <w:multiLevelType w:val="hybridMultilevel"/>
    <w:lvl w:ilvl="0">
      <w:lvlJc w:val="left"/>
      <w:lvlText w:val="(%1)"/>
      <w:numFmt w:val="lowerLetter"/>
      <w:start w:val="25"/>
    </w:lvl>
  </w:abstractNum>
  <w:abstractNum w:abstractNumId="214">
    <w:nsid w:val="613183F2"/>
    <w:multiLevelType w:val="hybridMultilevel"/>
    <w:lvl w:ilvl="0">
      <w:lvlJc w:val="left"/>
      <w:lvlText w:val="(%1)"/>
      <w:numFmt w:val="lowerLetter"/>
      <w:start w:val="1"/>
    </w:lvl>
  </w:abstractNum>
  <w:abstractNum w:abstractNumId="215">
    <w:nsid w:val="634102B4"/>
    <w:multiLevelType w:val="hybridMultilevel"/>
    <w:lvl w:ilvl="0">
      <w:lvlJc w:val="left"/>
      <w:lvlText w:val="(%1)"/>
      <w:numFmt w:val="lowerLetter"/>
      <w:start w:val="4"/>
    </w:lvl>
  </w:abstractNum>
  <w:abstractNum w:abstractNumId="216">
    <w:nsid w:val="65BF9DA8"/>
    <w:multiLevelType w:val="hybridMultilevel"/>
    <w:lvl w:ilvl="0">
      <w:lvlJc w:val="left"/>
      <w:lvlText w:val="(%1)"/>
      <w:numFmt w:val="lowerRoman"/>
      <w:start w:val="1"/>
    </w:lvl>
    <w:lvl w:ilvl="1">
      <w:lvlJc w:val="left"/>
      <w:lvlText w:val="%2."/>
      <w:numFmt w:val="decimal"/>
      <w:start w:val="5"/>
    </w:lvl>
  </w:abstractNum>
  <w:abstractNum w:abstractNumId="217">
    <w:nsid w:val="21A2ECCA"/>
    <w:multiLevelType w:val="hybridMultilevel"/>
    <w:lvl w:ilvl="0">
      <w:lvlJc w:val="left"/>
      <w:lvlText w:val="(%1)"/>
      <w:numFmt w:val="lowerRoman"/>
      <w:start w:val="1"/>
    </w:lvl>
  </w:abstractNum>
  <w:abstractNum w:abstractNumId="218">
    <w:nsid w:val="4D5C4899"/>
    <w:multiLevelType w:val="hybridMultilevel"/>
    <w:lvl w:ilvl="0">
      <w:lvlJc w:val="left"/>
      <w:lvlText w:val="(%1)"/>
      <w:numFmt w:val="lowerLetter"/>
      <w:start w:val="1"/>
    </w:lvl>
  </w:abstractNum>
  <w:abstractNum w:abstractNumId="219">
    <w:nsid w:val="3C3B72B2"/>
    <w:multiLevelType w:val="hybridMultilevel"/>
    <w:lvl w:ilvl="0">
      <w:lvlJc w:val="left"/>
      <w:lvlText w:val="(%1)"/>
      <w:numFmt w:val="lowerLetter"/>
      <w:start w:val="24"/>
    </w:lvl>
    <w:lvl w:ilvl="1">
      <w:lvlJc w:val="left"/>
      <w:lvlText w:val="(%2)"/>
      <w:numFmt w:val="lowerLetter"/>
      <w:start w:val="3"/>
    </w:lvl>
  </w:abstractNum>
  <w:abstractNum w:abstractNumId="220">
    <w:nsid w:val="155EC4C2"/>
    <w:multiLevelType w:val="hybridMultilevel"/>
    <w:lvl w:ilvl="0">
      <w:lvlJc w:val="left"/>
      <w:lvlText w:val="(%1)"/>
      <w:numFmt w:val="lowerRoman"/>
      <w:start w:val="2"/>
    </w:lvl>
  </w:abstractNum>
  <w:abstractNum w:abstractNumId="221">
    <w:nsid w:val="65D2A137"/>
    <w:multiLevelType w:val="hybridMultilevel"/>
    <w:lvl w:ilvl="0">
      <w:lvlJc w:val="left"/>
      <w:lvlText w:val="(%1)"/>
      <w:numFmt w:val="lowerRoman"/>
      <w:start w:val="10"/>
    </w:lvl>
  </w:abstractNum>
  <w:abstractNum w:abstractNumId="222">
    <w:nsid w:val="6EBB1F2A"/>
    <w:multiLevelType w:val="hybridMultilevel"/>
    <w:lvl w:ilvl="0">
      <w:lvlJc w:val="left"/>
      <w:lvlText w:val="%1."/>
      <w:numFmt w:val="decimal"/>
      <w:start w:val="6"/>
    </w:lvl>
  </w:abstractNum>
  <w:abstractNum w:abstractNumId="223">
    <w:nsid w:val="6FBF29CB"/>
    <w:multiLevelType w:val="hybridMultilevel"/>
    <w:lvl w:ilvl="0">
      <w:lvlJc w:val="left"/>
      <w:lvlText w:val="(%1)"/>
      <w:numFmt w:val="lowerRoman"/>
      <w:start w:val="2"/>
    </w:lvl>
  </w:abstractNum>
  <w:abstractNum w:abstractNumId="224">
    <w:nsid w:val="550B8808"/>
    <w:multiLevelType w:val="hybridMultilevel"/>
    <w:lvl w:ilvl="0">
      <w:lvlJc w:val="left"/>
      <w:lvlText w:val="%1."/>
      <w:numFmt w:val="decimal"/>
      <w:start w:val="1"/>
    </w:lvl>
  </w:abstractNum>
  <w:abstractNum w:abstractNumId="225">
    <w:nsid w:val="34CC3ACF"/>
    <w:multiLevelType w:val="hybridMultilevel"/>
    <w:lvl w:ilvl="0">
      <w:lvlJc w:val="left"/>
      <w:lvlText w:val="%1."/>
      <w:numFmt w:val="decimal"/>
      <w:start w:val="2"/>
    </w:lvl>
  </w:abstractNum>
  <w:abstractNum w:abstractNumId="226">
    <w:nsid w:val="4E556261"/>
    <w:multiLevelType w:val="hybridMultilevel"/>
    <w:lvl w:ilvl="0">
      <w:lvlJc w:val="left"/>
      <w:lvlText w:val="%1."/>
      <w:numFmt w:val="decimal"/>
      <w:start w:val="3"/>
    </w:lvl>
  </w:abstractNum>
  <w:abstractNum w:abstractNumId="227">
    <w:nsid w:val="4C672FC9"/>
    <w:multiLevelType w:val="hybridMultilevel"/>
    <w:lvl w:ilvl="0">
      <w:lvlJc w:val="left"/>
      <w:lvlText w:val="%1."/>
      <w:numFmt w:val="decimal"/>
      <w:start w:val="4"/>
    </w:lvl>
  </w:abstractNum>
  <w:abstractNum w:abstractNumId="228">
    <w:nsid w:val="52A311C3"/>
    <w:multiLevelType w:val="hybridMultilevel"/>
    <w:lvl w:ilvl="0">
      <w:lvlJc w:val="left"/>
      <w:lvlText w:val="%1."/>
      <w:numFmt w:val="decimal"/>
      <w:start w:val="5"/>
    </w:lvl>
  </w:abstractNum>
  <w:abstractNum w:abstractNumId="229">
    <w:nsid w:val="44EF6B80"/>
    <w:multiLevelType w:val="hybridMultilevel"/>
    <w:lvl w:ilvl="0">
      <w:lvlJc w:val="left"/>
      <w:lvlText w:val="%1."/>
      <w:numFmt w:val="decimal"/>
      <w:start w:val="6"/>
    </w:lvl>
  </w:abstractNum>
  <w:abstractNum w:abstractNumId="230">
    <w:nsid w:val="12FCDE5E"/>
    <w:multiLevelType w:val="hybridMultilevel"/>
    <w:lvl w:ilvl="0">
      <w:lvlJc w:val="left"/>
      <w:lvlText w:val="(%1)"/>
      <w:numFmt w:val="lowerRoman"/>
      <w:start w:val="1"/>
    </w:lvl>
  </w:abstractNum>
  <w:abstractNum w:abstractNumId="231">
    <w:nsid w:val="4A1D606E"/>
    <w:multiLevelType w:val="hybridMultilevel"/>
    <w:lvl w:ilvl="0">
      <w:lvlJc w:val="left"/>
      <w:lvlText w:val="%1."/>
      <w:numFmt w:val="decimal"/>
      <w:start w:val="7"/>
    </w:lvl>
  </w:abstractNum>
  <w:abstractNum w:abstractNumId="232">
    <w:nsid w:val="4382503"/>
    <w:multiLevelType w:val="hybridMultilevel"/>
    <w:lvl w:ilvl="0">
      <w:lvlJc w:val="left"/>
      <w:lvlText w:val="%1."/>
      <w:numFmt w:val="decimal"/>
      <w:start w:val="8"/>
    </w:lvl>
  </w:abstractNum>
  <w:abstractNum w:abstractNumId="233">
    <w:nsid w:val="59B76E28"/>
    <w:multiLevelType w:val="hybridMultilevel"/>
    <w:lvl w:ilvl="0">
      <w:lvlJc w:val="left"/>
      <w:lvlText w:val="%1."/>
      <w:numFmt w:val="decimal"/>
      <w:start w:val="9"/>
    </w:lvl>
  </w:abstractNum>
  <w:abstractNum w:abstractNumId="234">
    <w:nsid w:val="4252C2DA"/>
    <w:multiLevelType w:val="hybridMultilevel"/>
    <w:lvl w:ilvl="0">
      <w:lvlJc w:val="left"/>
      <w:lvlText w:val="%1."/>
      <w:numFmt w:val="decimal"/>
      <w:start w:val="10"/>
    </w:lvl>
    <w:lvl w:ilvl="1">
      <w:lvlJc w:val="left"/>
      <w:lvlText w:val="(%2)"/>
      <w:numFmt w:val="lowerRoman"/>
      <w:start w:val="1"/>
    </w:lvl>
  </w:abstractNum>
  <w:abstractNum w:abstractNumId="235">
    <w:nsid w:val="6A92EF4C"/>
    <w:multiLevelType w:val="hybridMultilevel"/>
    <w:lvl w:ilvl="0">
      <w:lvlJc w:val="left"/>
      <w:lvlText w:val="(%1)"/>
      <w:numFmt w:val="lowerRoman"/>
      <w:start w:val="4"/>
    </w:lvl>
  </w:abstractNum>
  <w:abstractNum w:abstractNumId="236">
    <w:nsid w:val="41ED20D7"/>
    <w:multiLevelType w:val="hybridMultilevel"/>
    <w:lvl w:ilvl="0">
      <w:lvlJc w:val="left"/>
      <w:lvlText w:val="%1."/>
      <w:numFmt w:val="decimal"/>
      <w:start w:val="11"/>
    </w:lvl>
  </w:abstractNum>
  <w:abstractNum w:abstractNumId="237">
    <w:nsid w:val="E6B3F6A"/>
    <w:multiLevelType w:val="hybridMultilevel"/>
    <w:lvl w:ilvl="0">
      <w:lvlJc w:val="left"/>
      <w:lvlText w:val="%1."/>
      <w:numFmt w:val="decimal"/>
      <w:start w:val="12"/>
    </w:lvl>
  </w:abstractNum>
  <w:abstractNum w:abstractNumId="238">
    <w:nsid w:val="3EB21819"/>
    <w:multiLevelType w:val="hybridMultilevel"/>
    <w:lvl w:ilvl="0">
      <w:lvlJc w:val="left"/>
      <w:lvlText w:val="%1."/>
      <w:numFmt w:val="decimal"/>
      <w:start w:val="15"/>
    </w:lvl>
  </w:abstractNum>
  <w:abstractNum w:abstractNumId="239">
    <w:nsid w:val="41531DED"/>
    <w:multiLevelType w:val="hybridMultilevel"/>
    <w:lvl w:ilvl="0">
      <w:lvlJc w:val="left"/>
      <w:lvlText w:val="%1."/>
      <w:numFmt w:val="decimal"/>
      <w:start w:val="16"/>
    </w:lvl>
  </w:abstractNum>
  <w:abstractNum w:abstractNumId="240">
    <w:nsid w:val="6353CD2"/>
    <w:multiLevelType w:val="hybridMultilevel"/>
    <w:lvl w:ilvl="0">
      <w:lvlJc w:val="left"/>
      <w:lvlText w:val="%1."/>
      <w:numFmt w:val="decimal"/>
      <w:start w:val="19"/>
    </w:lvl>
  </w:abstractNum>
  <w:abstractNum w:abstractNumId="241">
    <w:nsid w:val="683CAAD3"/>
    <w:multiLevelType w:val="hybridMultilevel"/>
    <w:lvl w:ilvl="0">
      <w:lvlJc w:val="left"/>
      <w:lvlText w:val="%1."/>
      <w:numFmt w:val="decimal"/>
      <w:start w:val="21"/>
    </w:lvl>
  </w:abstractNum>
  <w:abstractNum w:abstractNumId="242">
    <w:nsid w:val="313C7C99"/>
    <w:multiLevelType w:val="hybridMultilevel"/>
    <w:lvl w:ilvl="0">
      <w:lvlJc w:val="left"/>
      <w:lvlText w:val="%1."/>
      <w:numFmt w:val="decimal"/>
      <w:start w:val="25"/>
    </w:lvl>
  </w:abstractNum>
  <w:abstractNum w:abstractNumId="243">
    <w:nsid w:val="519EB94C"/>
    <w:multiLevelType w:val="hybridMultilevel"/>
    <w:lvl w:ilvl="0">
      <w:lvlJc w:val="left"/>
      <w:lvlText w:val="%1."/>
      <w:numFmt w:val="decimal"/>
      <w:start w:val="1"/>
    </w:lvl>
  </w:abstractNum>
  <w:abstractNum w:abstractNumId="244">
    <w:nsid w:val="39DF2579"/>
    <w:multiLevelType w:val="hybridMultilevel"/>
    <w:lvl w:ilvl="0">
      <w:lvlJc w:val="left"/>
      <w:lvlText w:val="(%1)"/>
      <w:numFmt w:val="lowerRoman"/>
      <w:start w:val="1"/>
    </w:lvl>
  </w:abstractNum>
  <w:abstractNum w:abstractNumId="245">
    <w:nsid w:val="126E008B"/>
    <w:multiLevelType w:val="hybridMultilevel"/>
    <w:lvl w:ilvl="0">
      <w:lvlJc w:val="left"/>
      <w:lvlText w:val="%1."/>
      <w:numFmt w:val="decimal"/>
      <w:start w:val="7"/>
    </w:lvl>
  </w:abstractNum>
  <w:abstractNum w:abstractNumId="246">
    <w:nsid w:val="34DFBC00"/>
    <w:multiLevelType w:val="hybridMultilevel"/>
    <w:lvl w:ilvl="0">
      <w:lvlJc w:val="left"/>
      <w:lvlText w:val="%1."/>
      <w:numFmt w:val="decimal"/>
      <w:start w:val="9"/>
    </w:lvl>
    <w:lvl w:ilvl="1">
      <w:lvlJc w:val="left"/>
      <w:lvlText w:val="(%2)"/>
      <w:numFmt w:val="lowerRoman"/>
      <w:start w:val="1"/>
    </w:lvl>
  </w:abstractNum>
  <w:abstractNum w:abstractNumId="247">
    <w:nsid w:val="1F9EC3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48">
    <w:nsid w:val="3410ED5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49">
    <w:nsid w:val="23C049A"/>
    <w:multiLevelType w:val="hybridMultilevel"/>
    <w:lvl w:ilvl="0">
      <w:lvlJc w:val="left"/>
      <w:lvlText w:val="%1."/>
      <w:numFmt w:val="decimal"/>
      <w:start w:val="1"/>
    </w:lvl>
  </w:abstractNum>
  <w:abstractNum w:abstractNumId="250">
    <w:nsid w:val="5BDA35D4"/>
    <w:multiLevelType w:val="hybridMultilevel"/>
    <w:lvl w:ilvl="0">
      <w:lvlJc w:val="left"/>
      <w:lvlText w:val="%1."/>
      <w:numFmt w:val="decimal"/>
      <w:start w:val="6"/>
    </w:lvl>
  </w:abstractNum>
  <w:abstractNum w:abstractNumId="251">
    <w:nsid w:val="496FB218"/>
    <w:multiLevelType w:val="hybridMultilevel"/>
    <w:lvl w:ilvl="0">
      <w:lvlJc w:val="left"/>
      <w:lvlText w:val="(%1)"/>
      <w:numFmt w:val="lowerRoman"/>
      <w:start w:val="1"/>
    </w:lvl>
  </w:abstractNum>
  <w:abstractNum w:abstractNumId="252">
    <w:nsid w:val="680EA5D1"/>
    <w:multiLevelType w:val="hybridMultilevel"/>
    <w:lvl w:ilvl="0">
      <w:lvlJc w:val="left"/>
      <w:lvlText w:val="%1."/>
      <w:numFmt w:val="decimal"/>
      <w:start w:val="8"/>
    </w:lvl>
  </w:abstractNum>
  <w:abstractNum w:abstractNumId="253">
    <w:nsid w:val="4A9554FE"/>
    <w:multiLevelType w:val="hybridMultilevel"/>
    <w:lvl w:ilvl="0">
      <w:lvlJc w:val="left"/>
      <w:lvlText w:val="%1."/>
      <w:numFmt w:val="decimal"/>
      <w:start w:val="1"/>
    </w:lvl>
  </w:abstractNum>
  <w:abstractNum w:abstractNumId="254">
    <w:nsid w:val="392EDBE4"/>
    <w:multiLevelType w:val="hybridMultilevel"/>
    <w:lvl w:ilvl="0">
      <w:lvlJc w:val="left"/>
      <w:lvlText w:val="(%1)"/>
      <w:numFmt w:val="lowerRoman"/>
      <w:start w:val="1"/>
    </w:lvl>
  </w:abstractNum>
  <w:abstractNum w:abstractNumId="255">
    <w:nsid w:val="3D1A2DD9"/>
    <w:multiLevelType w:val="hybridMultilevel"/>
    <w:lvl w:ilvl="0">
      <w:lvlJc w:val="left"/>
      <w:lvlText w:val="%1."/>
      <w:numFmt w:val="decimal"/>
      <w:start w:val="7"/>
    </w:lvl>
  </w:abstractNum>
  <w:abstractNum w:abstractNumId="256">
    <w:nsid w:val="7F618FCD"/>
    <w:multiLevelType w:val="hybridMultilevel"/>
    <w:lvl w:ilvl="0">
      <w:lvlJc w:val="left"/>
      <w:lvlText w:val="%1."/>
      <w:numFmt w:val="decimal"/>
      <w:start w:val="9"/>
    </w:lvl>
    <w:lvl w:ilvl="1">
      <w:lvlJc w:val="left"/>
      <w:lvlText w:val="(%2)"/>
      <w:numFmt w:val="lowerRoman"/>
      <w:start w:val="1"/>
    </w:lvl>
  </w:abstractNum>
  <w:abstractNum w:abstractNumId="257">
    <w:nsid w:val="7843E45"/>
    <w:multiLevelType w:val="hybridMultilevel"/>
    <w:lvl w:ilvl="0">
      <w:lvlJc w:val="left"/>
      <w:lvlText w:val="%1."/>
      <w:numFmt w:val="decimal"/>
      <w:start w:val="10"/>
    </w:lvl>
  </w:abstractNum>
  <w:abstractNum w:abstractNumId="258">
    <w:nsid w:val="9815DA3"/>
    <w:multiLevelType w:val="hybridMultilevel"/>
    <w:lvl w:ilvl="0">
      <w:lvlJc w:val="left"/>
      <w:lvlText w:val="%1."/>
      <w:numFmt w:val="decimal"/>
      <w:start w:val="1"/>
    </w:lvl>
  </w:abstractNum>
  <w:abstractNum w:abstractNumId="259">
    <w:nsid w:val="5204A191"/>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abstractNum>
  <w:abstractNum w:abstractNumId="260">
    <w:nsid w:val="4C73A9C6"/>
    <w:multiLevelType w:val="hybridMultilevel"/>
    <w:lvl w:ilvl="0">
      <w:lvlJc w:val="left"/>
      <w:lvlText w:val="%1."/>
      <w:numFmt w:val="decimal"/>
      <w:start w:val="8"/>
    </w:lvl>
    <w:lvl w:ilvl="1">
      <w:lvlJc w:val="left"/>
      <w:lvlText w:val="%2"/>
      <w:numFmt w:val="decimal"/>
      <w:start w:val="1"/>
    </w:lvl>
    <w:lvl w:ilvl="2">
      <w:lvlJc w:val="left"/>
      <w:lvlText w:val="%3"/>
      <w:numFmt w:val="lowerRoman"/>
      <w:start w:val="1"/>
    </w:lvl>
  </w:abstractNum>
  <w:abstractNum w:abstractNumId="261">
    <w:nsid w:val="1C7E3C01"/>
    <w:multiLevelType w:val="hybridMultilevel"/>
    <w:lvl w:ilvl="0">
      <w:lvlJc w:val="left"/>
      <w:lvlText w:val="%1."/>
      <w:numFmt w:val="decimal"/>
      <w:start w:val="1"/>
    </w:lvl>
  </w:abstractNum>
  <w:abstractNum w:abstractNumId="262">
    <w:nsid w:val="1C2201FF"/>
    <w:multiLevelType w:val="hybridMultilevel"/>
    <w:lvl w:ilvl="0">
      <w:lvlJc w:val="left"/>
      <w:lvlText w:val="%1."/>
      <w:numFmt w:val="decimal"/>
      <w:start w:val="2"/>
    </w:lvl>
    <w:lvl w:ilvl="1">
      <w:lvlJc w:val="left"/>
      <w:lvlText w:val="(%2)"/>
      <w:numFmt w:val="lowerLetter"/>
      <w:start w:val="1"/>
    </w:lvl>
  </w:abstractNum>
  <w:abstractNum w:abstractNumId="263">
    <w:nsid w:val="50ABCEC9"/>
    <w:multiLevelType w:val="hybridMultilevel"/>
    <w:lvl w:ilvl="0">
      <w:lvlJc w:val="left"/>
      <w:lvlText w:val="%1"/>
      <w:numFmt w:val="decimal"/>
      <w:start w:val="1"/>
    </w:lvl>
    <w:lvl w:ilvl="1">
      <w:lvlJc w:val="left"/>
      <w:lvlText w:val="(%2)"/>
      <w:numFmt w:val="lowerLetter"/>
      <w:start w:val="3"/>
    </w:lvl>
  </w:abstractNum>
  <w:abstractNum w:abstractNumId="264">
    <w:nsid w:val="7635AA2A"/>
    <w:multiLevelType w:val="hybridMultilevel"/>
    <w:lvl w:ilvl="0">
      <w:lvlJc w:val="left"/>
      <w:lvlText w:val="%1."/>
      <w:numFmt w:val="decimal"/>
      <w:start w:val="4"/>
    </w:lvl>
    <w:lvl w:ilvl="1">
      <w:lvlJc w:val="left"/>
      <w:lvlText w:val="(%2)"/>
      <w:numFmt w:val="lowerLetter"/>
      <w:start w:val="1"/>
    </w:lvl>
  </w:abstractNum>
  <w:abstractNum w:abstractNumId="265">
    <w:nsid w:val="5E74C4D9"/>
    <w:multiLevelType w:val="hybridMultilevel"/>
    <w:lvl w:ilvl="0">
      <w:lvlJc w:val="left"/>
      <w:lvlText w:val="(%1)"/>
      <w:numFmt w:val="lowerLetter"/>
      <w:start w:val="2"/>
    </w:lvl>
    <w:lvl w:ilvl="1">
      <w:lvlJc w:val="left"/>
      <w:lvlText w:val="(%2)"/>
      <w:numFmt w:val="lowerRoman"/>
      <w:start w:val="1"/>
    </w:lvl>
  </w:abstractNum>
  <w:abstractNum w:abstractNumId="266">
    <w:nsid w:val="3B3EBE15"/>
    <w:multiLevelType w:val="hybridMultilevel"/>
    <w:lvl w:ilvl="0">
      <w:lvlJc w:val="left"/>
      <w:lvlText w:val="%1"/>
      <w:numFmt w:val="decimal"/>
      <w:start w:val="1"/>
    </w:lvl>
    <w:lvl w:ilvl="1">
      <w:lvlJc w:val="left"/>
      <w:lvlText w:val="(%2)"/>
      <w:numFmt w:val="lowerLetter"/>
      <w:start w:val="5"/>
    </w:lvl>
  </w:abstractNum>
  <w:abstractNum w:abstractNumId="267">
    <w:nsid w:val="3822CB01"/>
    <w:multiLevelType w:val="hybridMultilevel"/>
    <w:lvl w:ilvl="0">
      <w:lvlJc w:val="left"/>
      <w:lvlText w:val="%1."/>
      <w:numFmt w:val="decimal"/>
      <w:start w:val="5"/>
    </w:lvl>
    <w:lvl w:ilvl="1">
      <w:lvlJc w:val="left"/>
      <w:lvlText w:val="(%2)"/>
      <w:numFmt w:val="lowerLetter"/>
      <w:start w:val="1"/>
    </w:lvl>
  </w:abstractNum>
  <w:abstractNum w:abstractNumId="268">
    <w:nsid w:val="6CE00443"/>
    <w:multiLevelType w:val="hybridMultilevel"/>
    <w:lvl w:ilvl="0">
      <w:lvlJc w:val="left"/>
      <w:lvlText w:val="(%1)"/>
      <w:numFmt w:val="lowerLetter"/>
      <w:start w:val="2"/>
    </w:lvl>
  </w:abstractNum>
  <w:abstractNum w:abstractNumId="269">
    <w:nsid w:val="79F0D62F"/>
    <w:multiLevelType w:val="hybridMultilevel"/>
    <w:lvl w:ilvl="0">
      <w:lvlJc w:val="left"/>
      <w:lvlText w:val="%1."/>
      <w:numFmt w:val="decimal"/>
      <w:start w:val="6"/>
    </w:lvl>
    <w:lvl w:ilvl="1">
      <w:lvlJc w:val="left"/>
      <w:lvlText w:val="(%2)"/>
      <w:numFmt w:val="lowerLetter"/>
      <w:start w:val="1"/>
    </w:lvl>
  </w:abstractNum>
  <w:abstractNum w:abstractNumId="270">
    <w:nsid w:val="7975E8E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1">
    <w:nsid w:val="73154115"/>
    <w:multiLevelType w:val="hybridMultilevel"/>
    <w:lvl w:ilvl="0">
      <w:lvlJc w:val="left"/>
      <w:lvlText w:val="(%1)"/>
      <w:numFmt w:val="lowerLetter"/>
      <w:start w:val="5"/>
    </w:lvl>
  </w:abstractNum>
  <w:abstractNum w:abstractNumId="272">
    <w:nsid w:val="622D8102"/>
    <w:multiLevelType w:val="hybridMultilevel"/>
    <w:lvl w:ilvl="0">
      <w:lvlJc w:val="left"/>
      <w:lvlText w:val="(%1)"/>
      <w:numFmt w:val="lowerLetter"/>
      <w:start w:val="6"/>
    </w:lvl>
  </w:abstractNum>
  <w:abstractNum w:abstractNumId="273">
    <w:nsid w:val="2AB26587"/>
    <w:multiLevelType w:val="hybridMultilevel"/>
    <w:lvl w:ilvl="0">
      <w:lvlJc w:val="left"/>
      <w:lvlText w:val="(%1)"/>
      <w:numFmt w:val="lowerLetter"/>
      <w:start w:val="12"/>
    </w:lvl>
  </w:abstractNum>
  <w:abstractNum w:abstractNumId="274">
    <w:nsid w:val="44B3FA61"/>
    <w:multiLevelType w:val="hybridMultilevel"/>
    <w:lvl w:ilvl="0">
      <w:lvlJc w:val="left"/>
      <w:lvlText w:val="%1."/>
      <w:numFmt w:val="decimal"/>
      <w:start w:val="1"/>
    </w:lvl>
    <w:lvl w:ilvl="1">
      <w:lvlJc w:val="left"/>
      <w:lvlText w:val="•"/>
      <w:numFmt w:val="bullet"/>
      <w:start w:val="1"/>
    </w:lvl>
  </w:abstractNum>
  <w:abstractNum w:abstractNumId="275">
    <w:nsid w:val="1C0CA67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76">
    <w:nsid w:val="3D206613"/>
    <w:multiLevelType w:val="hybridMultilevel"/>
    <w:lvl w:ilvl="0">
      <w:lvlJc w:val="left"/>
      <w:lvlText w:val="%1"/>
      <w:numFmt w:val="upperLetter"/>
      <w:start w:val="1"/>
    </w:lvl>
    <w:lvl w:ilvl="1">
      <w:lvlJc w:val="left"/>
      <w:lvlText w:val="(%2)"/>
      <w:numFmt w:val="lowerRoman"/>
      <w:start w:val="2"/>
    </w:lvl>
  </w:abstractNum>
  <w:abstractNum w:abstractNumId="277">
    <w:nsid w:val="7993B662"/>
    <w:multiLevelType w:val="hybridMultilevel"/>
    <w:lvl w:ilvl="0">
      <w:lvlJc w:val="left"/>
      <w:lvlText w:val="(%1)"/>
      <w:numFmt w:val="upperLetter"/>
      <w:start w:val="1"/>
    </w:lvl>
    <w:lvl w:ilvl="1">
      <w:lvlJc w:val="left"/>
      <w:lvlText w:val="%2"/>
      <w:numFmt w:val="lowerRoman"/>
      <w:start w:val="1"/>
    </w:lvl>
  </w:abstractNum>
  <w:abstractNum w:abstractNumId="278">
    <w:nsid w:val="3BAB699E"/>
    <w:multiLevelType w:val="hybridMultilevel"/>
    <w:lvl w:ilvl="0">
      <w:lvlJc w:val="left"/>
      <w:lvlText w:val="(%1)"/>
      <w:numFmt w:val="lowerLetter"/>
      <w:start w:val="7"/>
    </w:lvl>
  </w:abstractNum>
  <w:abstractNum w:abstractNumId="279">
    <w:nsid w:val="71315369"/>
    <w:multiLevelType w:val="hybridMultilevel"/>
    <w:lvl w:ilvl="0">
      <w:lvlJc w:val="left"/>
      <w:lvlText w:val="(%1)"/>
      <w:numFmt w:val="lowerLetter"/>
      <w:start w:val="14"/>
    </w:lvl>
    <w:lvl w:ilvl="1">
      <w:lvlJc w:val="left"/>
      <w:lvlText w:val="(%2)"/>
      <w:numFmt w:val="lowerRoman"/>
      <w:start w:val="1"/>
    </w:lvl>
  </w:abstractNum>
  <w:abstractNum w:abstractNumId="280">
    <w:nsid w:val="7BCFBAFC"/>
    <w:multiLevelType w:val="hybridMultilevel"/>
    <w:lvl w:ilvl="0">
      <w:lvlJc w:val="left"/>
      <w:lvlText w:val="%1"/>
      <w:numFmt w:val="decimal"/>
      <w:start w:val="1"/>
    </w:lvl>
    <w:lvl w:ilvl="1">
      <w:lvlJc w:val="left"/>
      <w:lvlText w:val="(%2)"/>
      <w:numFmt w:val="lowerLetter"/>
      <w:start w:val="21"/>
    </w:lvl>
  </w:abstractNum>
  <w:abstractNum w:abstractNumId="281">
    <w:nsid w:val="17859F72"/>
    <w:multiLevelType w:val="hybridMultilevel"/>
    <w:lvl w:ilvl="0">
      <w:lvlJc w:val="left"/>
      <w:lvlText w:val="%1."/>
      <w:numFmt w:val="decimal"/>
      <w:start w:val="3"/>
    </w:lvl>
    <w:lvl w:ilvl="1">
      <w:lvlJc w:val="left"/>
      <w:lvlText w:val="(%2)"/>
      <w:numFmt w:val="lowerLetter"/>
      <w:start w:val="1"/>
    </w:lvl>
  </w:abstractNum>
  <w:abstractNum w:abstractNumId="282">
    <w:nsid w:val="3AA1058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3">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284">
    <w:nsid w:val="621AF47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5">
    <w:nsid w:val="73CFE16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6">
    <w:nsid w:val="20F88EA6"/>
    <w:multiLevelType w:val="hybridMultilevel"/>
    <w:lvl w:ilvl="0">
      <w:lvlJc w:val="left"/>
      <w:lvlText w:val="%1."/>
      <w:numFmt w:val="decimal"/>
      <w:start w:val="7"/>
    </w:lvl>
    <w:lvl w:ilvl="1">
      <w:lvlJc w:val="left"/>
      <w:lvlText w:val="(%2)"/>
      <w:numFmt w:val="lowerLetter"/>
      <w:start w:val="1"/>
    </w:lvl>
  </w:abstractNum>
  <w:abstractNum w:abstractNumId="287">
    <w:nsid w:val="617C843E"/>
    <w:multiLevelType w:val="hybridMultilevel"/>
    <w:lvl w:ilvl="0">
      <w:lvlJc w:val="left"/>
      <w:lvlText w:val="%1"/>
      <w:numFmt w:val="lowerLetter"/>
      <w:start w:val="1"/>
    </w:lvl>
    <w:lvl w:ilvl="1">
      <w:lvlJc w:val="left"/>
      <w:lvlText w:val="(%2)"/>
      <w:numFmt w:val="lowerLetter"/>
      <w:start w:val="2"/>
    </w:lvl>
  </w:abstractNum>
  <w:abstractNum w:abstractNumId="288">
    <w:nsid w:val="7B541FAB"/>
    <w:multiLevelType w:val="hybridMultilevel"/>
    <w:lvl w:ilvl="0">
      <w:lvlJc w:val="left"/>
      <w:lvlText w:val="(%1)"/>
      <w:numFmt w:val="lowerLetter"/>
      <w:start w:val="61"/>
    </w:lvl>
    <w:lvl w:ilvl="1">
      <w:lvlJc w:val="left"/>
      <w:lvlText w:val="%2"/>
      <w:numFmt w:val="lowerLetter"/>
      <w:start w:val="1"/>
    </w:lvl>
  </w:abstractNum>
  <w:abstractNum w:abstractNumId="289">
    <w:nsid w:val="2A79EC49"/>
    <w:multiLevelType w:val="hybridMultilevel"/>
    <w:lvl w:ilvl="0">
      <w:lvlJc w:val="left"/>
      <w:lvlText w:val="%1."/>
      <w:numFmt w:val="decimal"/>
      <w:start w:val="11"/>
    </w:lvl>
    <w:lvl w:ilvl="1">
      <w:lvlJc w:val="left"/>
      <w:lvlText w:val="(%2)"/>
      <w:numFmt w:val="lowerLetter"/>
      <w:start w:val="1"/>
    </w:lvl>
  </w:abstractNum>
  <w:abstractNum w:abstractNumId="290">
    <w:nsid w:val="338125CF"/>
    <w:multiLevelType w:val="hybridMultilevel"/>
    <w:lvl w:ilvl="0">
      <w:lvlJc w:val="left"/>
      <w:lvlText w:val="%1."/>
      <w:numFmt w:val="decimal"/>
      <w:start w:val="12"/>
    </w:lvl>
    <w:lvl w:ilvl="1">
      <w:lvlJc w:val="left"/>
      <w:lvlText w:val="(%2)"/>
      <w:numFmt w:val="lowerLetter"/>
      <w:start w:val="1"/>
    </w:lvl>
  </w:abstractNum>
  <w:abstractNum w:abstractNumId="291">
    <w:nsid w:val="47C7C971"/>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292">
    <w:nsid w:val="46F8284B"/>
    <w:multiLevelType w:val="hybridMultilevel"/>
    <w:lvl w:ilvl="0">
      <w:lvlJc w:val="left"/>
      <w:lvlText w:val="(%1)"/>
      <w:numFmt w:val="decimal"/>
      <w:start w:val="12"/>
    </w:lvl>
    <w:lvl w:ilvl="1">
      <w:lvlJc w:val="left"/>
      <w:lvlText w:val="%2."/>
      <w:numFmt w:val="decimal"/>
      <w:start w:val="19"/>
    </w:lvl>
    <w:lvl w:ilvl="2">
      <w:lvlJc w:val="left"/>
      <w:lvlText w:val="(%3)"/>
      <w:numFmt w:val="lowerLetter"/>
      <w:start w:val="1"/>
    </w:lvl>
  </w:abstractNum>
  <w:abstractNum w:abstractNumId="293">
    <w:nsid w:val="4FA327CE"/>
    <w:multiLevelType w:val="hybridMultilevel"/>
    <w:lvl w:ilvl="0">
      <w:lvlJc w:val="left"/>
      <w:lvlText w:val="(%1)"/>
      <w:numFmt w:val="lowerLetter"/>
      <w:start w:val="2"/>
    </w:lvl>
  </w:abstractNum>
  <w:abstractNum w:abstractNumId="294">
    <w:nsid w:val="1873983A"/>
    <w:multiLevelType w:val="hybridMultilevel"/>
    <w:lvl w:ilvl="0">
      <w:lvlJc w:val="left"/>
      <w:lvlText w:val="%1."/>
      <w:numFmt w:val="upperLetter"/>
      <w:start w:val="9"/>
    </w:lvl>
  </w:abstractNum>
  <w:abstractNum w:abstractNumId="295">
    <w:nsid w:val="3D2DD275"/>
    <w:multiLevelType w:val="hybridMultilevel"/>
    <w:lvl w:ilvl="0">
      <w:lvlJc w:val="left"/>
      <w:lvlText w:val="%1."/>
      <w:numFmt w:val="upperLetter"/>
      <w:start w:val="35"/>
    </w:lvl>
    <w:lvl w:ilvl="1">
      <w:lvlJc w:val="left"/>
      <w:lvlText w:val="%2."/>
      <w:numFmt w:val="decimal"/>
      <w:start w:val="1"/>
    </w:lvl>
  </w:abstractNum>
  <w:abstractNum w:abstractNumId="296">
    <w:nsid w:val="2E17ECA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7">
    <w:nsid w:val="53B2564F"/>
    <w:multiLevelType w:val="hybridMultilevel"/>
    <w:lvl w:ilvl="0">
      <w:lvlJc w:val="left"/>
      <w:lvlText w:val="%1"/>
      <w:numFmt w:val="decimal"/>
      <w:start w:val="1"/>
    </w:lvl>
    <w:lvl w:ilvl="1">
      <w:lvlJc w:val="left"/>
      <w:lvlText w:val="(%2)"/>
      <w:numFmt w:val="lowerLetter"/>
      <w:start w:val="3"/>
    </w:lvl>
  </w:abstractNum>
  <w:abstractNum w:abstractNumId="298">
    <w:nsid w:val="75509D76"/>
    <w:multiLevelType w:val="hybridMultilevel"/>
    <w:lvl w:ilvl="0">
      <w:lvlJc w:val="left"/>
      <w:lvlText w:val="%1."/>
      <w:numFmt w:val="decimal"/>
      <w:start w:val="7"/>
    </w:lvl>
    <w:lvl w:ilvl="1">
      <w:lvlJc w:val="left"/>
      <w:lvlText w:val="%2"/>
      <w:numFmt w:val="lowerLetter"/>
      <w:start w:val="1"/>
    </w:lvl>
  </w:abstractNum>
  <w:abstractNum w:abstractNumId="299">
    <w:nsid w:val="1AF7F0EA"/>
    <w:multiLevelType w:val="hybridMultilevel"/>
    <w:lvl w:ilvl="0">
      <w:lvlJc w:val="left"/>
      <w:lvlText w:val="%1."/>
      <w:numFmt w:val="decimal"/>
      <w:start w:val="11"/>
    </w:lvl>
  </w:abstractNum>
  <w:abstractNum w:abstractNumId="300">
    <w:nsid w:val="4DA32C7E"/>
    <w:multiLevelType w:val="hybridMultilevel"/>
    <w:lvl w:ilvl="0">
      <w:lvlJc w:val="left"/>
      <w:lvlText w:val="%1."/>
      <w:numFmt w:val="decimal"/>
      <w:start w:val="14"/>
    </w:lvl>
    <w:lvl w:ilvl="1">
      <w:lvlJc w:val="left"/>
      <w:lvlText w:val="(%2)"/>
      <w:numFmt w:val="lowerLetter"/>
      <w:start w:val="1"/>
    </w:lvl>
  </w:abstractNum>
  <w:abstractNum w:abstractNumId="301">
    <w:nsid w:val="6EC68664"/>
    <w:multiLevelType w:val="hybridMultilevel"/>
    <w:lvl w:ilvl="0">
      <w:lvlJc w:val="left"/>
      <w:lvlText w:val="%1"/>
      <w:numFmt w:val="decimal"/>
      <w:start w:val="1"/>
    </w:lvl>
    <w:lvl w:ilvl="1">
      <w:lvlJc w:val="left"/>
      <w:lvlText w:val="(%2)"/>
      <w:numFmt w:val="lowerLetter"/>
      <w:start w:val="6"/>
    </w:lvl>
  </w:abstractNum>
  <w:abstractNum w:abstractNumId="302">
    <w:nsid w:val="E0D31FF"/>
    <w:multiLevelType w:val="hybridMultilevel"/>
    <w:lvl w:ilvl="0">
      <w:lvlJc w:val="left"/>
      <w:lvlText w:val="%1."/>
      <w:numFmt w:val="decimal"/>
      <w:start w:val="15"/>
    </w:lvl>
    <w:lvl w:ilvl="1">
      <w:lvlJc w:val="left"/>
      <w:lvlText w:val="(%2)"/>
      <w:numFmt w:val="lowerLetter"/>
      <w:start w:val="1"/>
    </w:lvl>
  </w:abstractNum>
  <w:abstractNum w:abstractNumId="303">
    <w:nsid w:val="2FD0AD81"/>
    <w:multiLevelType w:val="hybridMultilevel"/>
    <w:lvl w:ilvl="0">
      <w:lvlJc w:val="left"/>
      <w:lvlText w:val="%1"/>
      <w:numFmt w:val="decimal"/>
      <w:start w:val="1"/>
    </w:lvl>
    <w:lvl w:ilvl="1">
      <w:lvlJc w:val="left"/>
      <w:lvlText w:val="(%2)"/>
      <w:numFmt w:val="lowerLetter"/>
      <w:start w:val="2"/>
    </w:lvl>
  </w:abstractNum>
  <w:abstractNum w:abstractNumId="304">
    <w:nsid w:val="1978EBEB"/>
    <w:multiLevelType w:val="hybridMultilevel"/>
    <w:lvl w:ilvl="0">
      <w:lvlJc w:val="left"/>
      <w:lvlText w:val="%1."/>
      <w:numFmt w:val="decimal"/>
      <w:start w:val="16"/>
    </w:lvl>
    <w:lvl w:ilvl="1">
      <w:lvlJc w:val="left"/>
      <w:lvlText w:val="%2"/>
      <w:numFmt w:val="lowerLetter"/>
      <w:start w:val="1"/>
    </w:lvl>
  </w:abstractNum>
  <w:abstractNum w:abstractNumId="305">
    <w:nsid w:val="52C12C61"/>
    <w:multiLevelType w:val="hybridMultilevel"/>
    <w:lvl w:ilvl="0">
      <w:lvlJc w:val="left"/>
      <w:lvlText w:val="%1."/>
      <w:numFmt w:val="decimal"/>
      <w:start w:val="21"/>
    </w:lvl>
  </w:abstractNum>
  <w:abstractNum w:abstractNumId="306">
    <w:nsid w:val="4BDD53FD"/>
    <w:multiLevelType w:val="hybridMultilevel"/>
    <w:lvl w:ilvl="0">
      <w:lvlJc w:val="left"/>
      <w:lvlText w:val="(%1)"/>
      <w:numFmt w:val="lowerLetter"/>
      <w:start w:val="1"/>
    </w:lvl>
  </w:abstractNum>
  <w:abstractNum w:abstractNumId="307">
    <w:nsid w:val="569951FE"/>
    <w:multiLevelType w:val="hybridMultilevel"/>
    <w:lvl w:ilvl="0">
      <w:lvlJc w:val="left"/>
      <w:lvlText w:val="(%1)"/>
      <w:numFmt w:val="lowerLetter"/>
      <w:start w:val="4"/>
    </w:lvl>
  </w:abstractNum>
  <w:abstractNum w:abstractNumId="308">
    <w:nsid w:val="4C54E2C3"/>
    <w:multiLevelType w:val="hybridMultilevel"/>
    <w:lvl w:ilvl="0">
      <w:lvlJc w:val="left"/>
      <w:lvlText w:val="[***]"/>
      <w:numFmt w:val="bullet"/>
      <w:start w:val="1"/>
    </w:lvl>
  </w:abstractNum>
  <w:abstractNum w:abstractNumId="309">
    <w:nsid w:val="788BD9B"/>
    <w:multiLevelType w:val="hybridMultilevel"/>
    <w:lvl w:ilvl="0">
      <w:lvlJc w:val="left"/>
      <w:lvlText w:val="%1."/>
      <w:numFmt w:val="decimal"/>
      <w:start w:val="1"/>
    </w:lvl>
  </w:abstractNum>
  <w:abstractNum w:abstractNumId="310">
    <w:nsid w:val="47CAA567"/>
    <w:multiLevelType w:val="hybridMultilevel"/>
    <w:lvl w:ilvl="0">
      <w:lvlJc w:val="left"/>
      <w:lvlText w:val="%1."/>
      <w:numFmt w:val="decimal"/>
      <w:start w:val="6"/>
    </w:lvl>
    <w:lvl w:ilvl="1">
      <w:lvlJc w:val="left"/>
      <w:lvlText w:val="(%2)"/>
      <w:numFmt w:val="lowerRoman"/>
      <w:start w:val="1"/>
    </w:lvl>
  </w:abstractNum>
  <w:abstractNum w:abstractNumId="311">
    <w:nsid w:val="48249DBF"/>
    <w:multiLevelType w:val="hybridMultilevel"/>
    <w:lvl w:ilvl="0">
      <w:lvlJc w:val="left"/>
      <w:lvlText w:val="%1."/>
      <w:numFmt w:val="decimal"/>
      <w:start w:val="18"/>
    </w:lvl>
  </w:abstractNum>
  <w:abstractNum w:abstractNumId="312">
    <w:nsid w:val="1F0E5D0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2020-11-16T23:12:35Z</dcterms:created>
  <dcterms:modified xsi:type="dcterms:W3CDTF">2020-11-16T23:12:35Z</dcterms:modified>
</cp:coreProperties>
</file>