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2060" w:type="dxa"/>
            <w:vAlign w:val="bottom"/>
            <w:gridSpan w:val="5"/>
            <w:vMerge w:val="restart"/>
          </w:tcPr>
          <w:p>
            <w:pPr>
              <w:jc w:val="center"/>
              <w:ind w:right="217"/>
              <w:spacing w:after="0" w:line="143" w:lineRule="exact"/>
              <w:rPr>
                <w:sz w:val="20"/>
                <w:szCs w:val="20"/>
                <w:color w:val="auto"/>
              </w:rPr>
            </w:pPr>
            <w:r>
              <w:rPr>
                <w:rFonts w:ascii="Arial" w:cs="Arial" w:eastAsia="Arial" w:hAnsi="Arial"/>
                <w:sz w:val="13"/>
                <w:szCs w:val="13"/>
                <w:color w:val="auto"/>
              </w:rPr>
              <w:t>Washington, D.C. 20549</w:t>
            </w: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2060" w:type="dxa"/>
            <w:vAlign w:val="bottom"/>
            <w:gridSpan w:val="5"/>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0" w:type="dxa"/>
            <w:vAlign w:val="bottom"/>
            <w:gridSpan w:val="20"/>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gridSpan w:val="3"/>
          </w:tcPr>
          <w:p>
            <w:pPr>
              <w:spacing w:after="0" w:line="20" w:lineRule="exact"/>
              <w:rPr>
                <w:sz w:val="1"/>
                <w:szCs w:val="1"/>
                <w:color w:val="auto"/>
              </w:rPr>
            </w:pPr>
          </w:p>
        </w:tc>
        <w:tc>
          <w:tcPr>
            <w:tcW w:w="640" w:type="dxa"/>
            <w:vAlign w:val="bottom"/>
            <w:tcBorders>
              <w:top w:val="single" w:sz="8" w:color="808080"/>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5"/>
            <w:vMerge w:val="continue"/>
          </w:tcPr>
          <w:p>
            <w:pPr>
              <w:spacing w:after="0"/>
              <w:rPr>
                <w:sz w:val="6"/>
                <w:szCs w:val="6"/>
                <w:color w:val="auto"/>
              </w:rPr>
            </w:pPr>
          </w:p>
        </w:tc>
        <w:tc>
          <w:tcPr>
            <w:tcW w:w="6200" w:type="dxa"/>
            <w:vAlign w:val="bottom"/>
            <w:gridSpan w:val="20"/>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20" w:type="dxa"/>
            <w:vAlign w:val="bottom"/>
            <w:gridSpan w:val="19"/>
            <w:vMerge w:val="restart"/>
          </w:tcPr>
          <w:p>
            <w:pPr>
              <w:jc w:val="center"/>
              <w:ind w:left="44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20" w:type="dxa"/>
            <w:vAlign w:val="bottom"/>
            <w:gridSpan w:val="19"/>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20" w:type="dxa"/>
            <w:vAlign w:val="bottom"/>
            <w:gridSpan w:val="19"/>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53"/>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Haurwitz Rachel E.</w:t>
              </w:r>
            </w:hyperlink>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9"/>
          </w:tcPr>
          <w:p>
            <w:pPr>
              <w:spacing w:after="0" w:line="174" w:lineRule="exact"/>
              <w:rPr>
                <w:rFonts w:ascii="Arial" w:cs="Arial" w:eastAsia="Arial" w:hAnsi="Arial"/>
                <w:sz w:val="20"/>
                <w:szCs w:val="20"/>
                <w:color w:val="0000EE"/>
              </w:rPr>
            </w:pPr>
            <w:hyperlink r:id="rId9">
              <w:r>
                <w:rPr>
                  <w:rFonts w:ascii="Arial" w:cs="Arial" w:eastAsia="Arial" w:hAnsi="Arial"/>
                  <w:sz w:val="20"/>
                  <w:szCs w:val="20"/>
                  <w:color w:val="0000EE"/>
                </w:rPr>
                <w:t xml:space="preserve">Seer,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20" w:lineRule="exact"/>
              <w:rPr>
                <w:sz w:val="20"/>
                <w:szCs w:val="20"/>
                <w:color w:val="auto"/>
              </w:rPr>
            </w:pPr>
            <w:r>
              <w:rPr>
                <w:rFonts w:ascii="Arial" w:cs="Arial" w:eastAsia="Arial" w:hAnsi="Arial"/>
                <w:sz w:val="13"/>
                <w:szCs w:val="13"/>
                <w:color w:val="0000FF"/>
              </w:rPr>
              <w:t>X</w:t>
            </w:r>
          </w:p>
        </w:tc>
        <w:tc>
          <w:tcPr>
            <w:tcW w:w="580" w:type="dxa"/>
            <w:vAlign w:val="bottom"/>
            <w:vMerge w:val="restart"/>
          </w:tcPr>
          <w:p>
            <w:pPr>
              <w:ind w:left="120"/>
              <w:spacing w:after="0" w:line="120"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restart"/>
          </w:tcPr>
          <w:p>
            <w:pPr>
              <w:ind w:left="220"/>
              <w:spacing w:after="0" w:line="120"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7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020" w:type="dxa"/>
            <w:vAlign w:val="bottom"/>
            <w:gridSpan w:val="8"/>
          </w:tcPr>
          <w:p>
            <w:pPr>
              <w:ind w:left="240"/>
              <w:spacing w:after="0"/>
              <w:rPr>
                <w:sz w:val="20"/>
                <w:szCs w:val="20"/>
                <w:color w:val="auto"/>
              </w:rPr>
            </w:pPr>
            <w:r>
              <w:rPr>
                <w:rFonts w:ascii="Arial" w:cs="Arial" w:eastAsia="Arial" w:hAnsi="Arial"/>
                <w:sz w:val="17"/>
                <w:szCs w:val="17"/>
                <w:color w:val="0000FF"/>
                <w:w w:val="89"/>
              </w:rPr>
              <w:t>06/14/2023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w w:val="96"/>
              </w:rPr>
              <w:t>C/O SEER, INC.</w:t>
            </w: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3800 BRIDGE PARKWAY</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2"/>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REDWOOD</w:t>
            </w: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94065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CITY</w:t>
            </w:r>
          </w:p>
        </w:tc>
        <w:tc>
          <w:tcPr>
            <w:tcW w:w="6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4"/>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4"/>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21"/>
          </w:tcPr>
          <w:p>
            <w:pPr>
              <w:ind w:left="5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7"/>
          </w:tcPr>
          <w:p>
            <w:pPr>
              <w:ind w:left="7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6"/>
          </w:tcPr>
          <w:p>
            <w:pPr>
              <w:ind w:left="1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gridSpan w:val="7"/>
          </w:tcPr>
          <w:p>
            <w:pPr>
              <w:ind w:left="72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7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w w:val="95"/>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7"/>
          </w:tcPr>
          <w:p>
            <w:pPr>
              <w:ind w:left="820"/>
              <w:spacing w:after="0"/>
              <w:rPr>
                <w:sz w:val="20"/>
                <w:szCs w:val="20"/>
                <w:color w:val="auto"/>
              </w:rPr>
            </w:pPr>
            <w:r>
              <w:rPr>
                <w:rFonts w:ascii="Arial" w:cs="Arial" w:eastAsia="Arial" w:hAnsi="Arial"/>
                <w:sz w:val="17"/>
                <w:szCs w:val="17"/>
                <w:color w:val="0000FF"/>
              </w:rPr>
              <w:t>06/14/2023</w:t>
            </w:r>
          </w:p>
        </w:tc>
        <w:tc>
          <w:tcPr>
            <w:tcW w:w="2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A</w:t>
            </w:r>
          </w:p>
        </w:tc>
        <w:tc>
          <w:tcPr>
            <w:tcW w:w="9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23,443</w:t>
            </w:r>
            <w:r>
              <w:rPr>
                <w:rFonts w:ascii="Arial" w:cs="Arial" w:eastAsia="Arial" w:hAnsi="Arial"/>
                <w:sz w:val="21"/>
                <w:szCs w:val="21"/>
                <w:color w:val="008000"/>
                <w:vertAlign w:val="superscript"/>
              </w:rPr>
              <w:t>(1)</w:t>
            </w:r>
          </w:p>
        </w:tc>
        <w:tc>
          <w:tcPr>
            <w:tcW w:w="36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80" w:type="dxa"/>
            <w:vAlign w:val="bottom"/>
            <w:tcBorders>
              <w:bottom w:val="single" w:sz="8" w:color="2C2C2C"/>
            </w:tcBorders>
            <w:gridSpan w:val="4"/>
          </w:tcPr>
          <w:p>
            <w:pPr>
              <w:ind w:left="340"/>
              <w:spacing w:after="0"/>
              <w:rPr>
                <w:sz w:val="20"/>
                <w:szCs w:val="20"/>
                <w:color w:val="auto"/>
              </w:rPr>
            </w:pPr>
            <w:r>
              <w:rPr>
                <w:rFonts w:ascii="Arial" w:cs="Arial" w:eastAsia="Arial" w:hAnsi="Arial"/>
                <w:sz w:val="17"/>
                <w:szCs w:val="17"/>
                <w:color w:val="0000FF"/>
              </w:rPr>
              <w:t>29,437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960" w:type="dxa"/>
            <w:vAlign w:val="bottom"/>
            <w:tcBorders>
              <w:top w:val="single" w:sz="8" w:color="2C2C2C"/>
            </w:tcBorders>
            <w:gridSpan w:val="21"/>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20" w:type="dxa"/>
            <w:vAlign w:val="bottom"/>
            <w:gridSpan w:val="1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gridSpan w:val="6"/>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2"/>
            <w:vMerge w:val="restart"/>
          </w:tcPr>
          <w:p>
            <w:pPr>
              <w:jc w:val="right"/>
              <w:ind w:right="113"/>
              <w:spacing w:after="0"/>
              <w:rPr>
                <w:sz w:val="20"/>
                <w:szCs w:val="20"/>
                <w:color w:val="auto"/>
              </w:rPr>
            </w:pPr>
            <w:r>
              <w:rPr>
                <w:rFonts w:ascii="Arial" w:cs="Arial" w:eastAsia="Arial" w:hAnsi="Arial"/>
                <w:sz w:val="13"/>
                <w:szCs w:val="13"/>
                <w:color w:val="0000FF"/>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34,735</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4.33</w:t>
            </w:r>
          </w:p>
        </w:tc>
        <w:tc>
          <w:tcPr>
            <w:tcW w:w="140" w:type="dxa"/>
            <w:vAlign w:val="bottom"/>
          </w:tcPr>
          <w:p>
            <w:pPr>
              <w:spacing w:after="0"/>
              <w:rPr>
                <w:sz w:val="5"/>
                <w:szCs w:val="5"/>
                <w:color w:val="auto"/>
              </w:rPr>
            </w:pPr>
          </w:p>
        </w:tc>
        <w:tc>
          <w:tcPr>
            <w:tcW w:w="1040" w:type="dxa"/>
            <w:vAlign w:val="bottom"/>
            <w:gridSpan w:val="2"/>
            <w:vMerge w:val="restart"/>
          </w:tcPr>
          <w:p>
            <w:pPr>
              <w:jc w:val="right"/>
              <w:ind w:right="95"/>
              <w:spacing w:after="0"/>
              <w:rPr>
                <w:sz w:val="20"/>
                <w:szCs w:val="20"/>
                <w:color w:val="auto"/>
              </w:rPr>
            </w:pPr>
            <w:r>
              <w:rPr>
                <w:rFonts w:ascii="Arial" w:cs="Arial" w:eastAsia="Arial" w:hAnsi="Arial"/>
                <w:sz w:val="13"/>
                <w:szCs w:val="13"/>
                <w:color w:val="0000FF"/>
              </w:rPr>
              <w:t>06/14/2023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4"/>
            <w:vMerge w:val="restart"/>
          </w:tcPr>
          <w:p>
            <w:pPr>
              <w:ind w:left="4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5"/>
                <w:szCs w:val="5"/>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color w:val="0000FF"/>
              </w:rPr>
              <w:t>34,735</w:t>
            </w:r>
          </w:p>
        </w:tc>
        <w:tc>
          <w:tcPr>
            <w:tcW w:w="28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spacing w:after="0"/>
              <w:rPr>
                <w:sz w:val="20"/>
                <w:szCs w:val="20"/>
                <w:color w:val="auto"/>
              </w:rPr>
            </w:pPr>
            <w:r>
              <w:rPr>
                <w:rFonts w:ascii="Arial" w:cs="Arial" w:eastAsia="Arial" w:hAnsi="Arial"/>
                <w:sz w:val="13"/>
                <w:szCs w:val="13"/>
                <w:color w:val="0000FF"/>
                <w:w w:val="98"/>
              </w:rPr>
              <w:t>06/14/2033</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vMerge w:val="restart"/>
          </w:tcPr>
          <w:p>
            <w:pPr>
              <w:ind w:left="220"/>
              <w:spacing w:after="0"/>
              <w:rPr>
                <w:sz w:val="20"/>
                <w:szCs w:val="20"/>
                <w:color w:val="auto"/>
              </w:rPr>
            </w:pPr>
            <w:r>
              <w:rPr>
                <w:rFonts w:ascii="Arial" w:cs="Arial" w:eastAsia="Arial" w:hAnsi="Arial"/>
                <w:sz w:val="13"/>
                <w:szCs w:val="13"/>
                <w:color w:val="0000FF"/>
                <w:w w:val="90"/>
              </w:rPr>
              <w:t>34,735</w:t>
            </w:r>
          </w:p>
        </w:tc>
        <w:tc>
          <w:tcPr>
            <w:tcW w:w="280" w:type="dxa"/>
            <w:vAlign w:val="bottom"/>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-5857875</wp:posOffset>
            </wp:positionV>
            <wp:extent cx="7045960" cy="6038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03821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shares are represented by restricted stock units, or RSUs, which vest on the earlier of (i) June 14, 2024 or (ii) the day prior to the date of the Issuer's next annual meeting of stockholders.</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subject to the option vest on the earlier of (i) June 14, 2024 or (ii) the day prior to the date of the Issuer's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Elona Kogan, by power of</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670579" TargetMode="External"/><Relationship Id="rId9"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2023-06-16T20:30:49Z</dcterms:created>
  <dcterms:modified xsi:type="dcterms:W3CDTF">2023-06-16T20:30:49Z</dcterms:modified>
</cp:coreProperties>
</file>