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2"/>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38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2060" w:type="dxa"/>
            <w:vAlign w:val="bottom"/>
            <w:gridSpan w:val="5"/>
            <w:vMerge w:val="restart"/>
          </w:tcPr>
          <w:p>
            <w:pPr>
              <w:jc w:val="center"/>
              <w:ind w:right="217"/>
              <w:spacing w:after="0" w:line="143" w:lineRule="exact"/>
              <w:rPr>
                <w:sz w:val="20"/>
                <w:szCs w:val="20"/>
                <w:color w:val="auto"/>
              </w:rPr>
            </w:pPr>
            <w:r>
              <w:rPr>
                <w:rFonts w:ascii="Arial" w:cs="Arial" w:eastAsia="Arial" w:hAnsi="Arial"/>
                <w:sz w:val="13"/>
                <w:szCs w:val="13"/>
                <w:color w:val="auto"/>
              </w:rPr>
              <w:t>Washington, D.C. 20549</w:t>
            </w: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20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0" w:type="dxa"/>
            <w:vAlign w:val="bottom"/>
            <w:gridSpan w:val="20"/>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gridSpan w:val="3"/>
          </w:tcPr>
          <w:p>
            <w:pPr>
              <w:spacing w:after="0" w:line="20" w:lineRule="exact"/>
              <w:rPr>
                <w:sz w:val="1"/>
                <w:szCs w:val="1"/>
                <w:color w:val="auto"/>
              </w:rPr>
            </w:pPr>
          </w:p>
        </w:tc>
        <w:tc>
          <w:tcPr>
            <w:tcW w:w="680" w:type="dxa"/>
            <w:vAlign w:val="bottom"/>
            <w:tcBorders>
              <w:top w:val="single" w:sz="8" w:color="808080"/>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80" w:type="dxa"/>
            <w:vAlign w:val="bottom"/>
            <w:gridSpan w:val="2"/>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20"/>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2"/>
                <w:szCs w:val="12"/>
                <w:color w:val="auto"/>
                <w:w w:val="99"/>
              </w:rPr>
              <w:t>Estimated average burden</w:t>
            </w: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60" w:type="dxa"/>
            <w:vAlign w:val="bottom"/>
            <w:gridSpan w:val="19"/>
            <w:vMerge w:val="restart"/>
          </w:tcPr>
          <w:p>
            <w:pPr>
              <w:jc w:val="center"/>
              <w:ind w:left="50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180" w:type="dxa"/>
            <w:vAlign w:val="bottom"/>
          </w:tcPr>
          <w:p>
            <w:pPr>
              <w:spacing w:after="0"/>
              <w:rPr>
                <w:sz w:val="11"/>
                <w:szCs w:val="11"/>
                <w:color w:val="auto"/>
              </w:rPr>
            </w:pPr>
          </w:p>
        </w:tc>
        <w:tc>
          <w:tcPr>
            <w:tcW w:w="50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560" w:type="dxa"/>
            <w:vAlign w:val="bottom"/>
            <w:gridSpan w:val="19"/>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60" w:type="dxa"/>
            <w:vAlign w:val="bottom"/>
            <w:gridSpan w:val="19"/>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53"/>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Ronaghi Mostafa</w:t>
              </w:r>
            </w:hyperlink>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9"/>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Seer,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gridSpan w:val="2"/>
            <w:vMerge w:val="restart"/>
          </w:tcPr>
          <w:p>
            <w:pPr>
              <w:ind w:left="260"/>
              <w:spacing w:after="0" w:line="120" w:lineRule="exact"/>
              <w:rPr>
                <w:sz w:val="20"/>
                <w:szCs w:val="20"/>
                <w:color w:val="auto"/>
              </w:rPr>
            </w:pPr>
            <w:r>
              <w:rPr>
                <w:rFonts w:ascii="Arial" w:cs="Arial" w:eastAsia="Arial" w:hAnsi="Arial"/>
                <w:sz w:val="13"/>
                <w:szCs w:val="13"/>
                <w:color w:val="0000FF"/>
              </w:rPr>
              <w:t>X</w:t>
            </w:r>
          </w:p>
        </w:tc>
        <w:tc>
          <w:tcPr>
            <w:tcW w:w="640" w:type="dxa"/>
            <w:vAlign w:val="bottom"/>
            <w:vMerge w:val="restart"/>
          </w:tcPr>
          <w:p>
            <w:pPr>
              <w:ind w:left="180"/>
              <w:spacing w:after="0" w:line="120"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7"/>
            <w:vMerge w:val="restart"/>
          </w:tcPr>
          <w:p>
            <w:pPr>
              <w:ind w:left="240"/>
              <w:spacing w:after="0" w:line="120"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4"/>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8"/>
                <w:szCs w:val="8"/>
                <w:color w:val="auto"/>
              </w:rPr>
            </w:pPr>
          </w:p>
        </w:tc>
        <w:tc>
          <w:tcPr>
            <w:tcW w:w="1500" w:type="dxa"/>
            <w:vAlign w:val="bottom"/>
            <w:gridSpan w:val="7"/>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020" w:type="dxa"/>
            <w:vAlign w:val="bottom"/>
            <w:gridSpan w:val="8"/>
          </w:tcPr>
          <w:p>
            <w:pPr>
              <w:ind w:left="240"/>
              <w:spacing w:after="0"/>
              <w:rPr>
                <w:sz w:val="20"/>
                <w:szCs w:val="20"/>
                <w:color w:val="auto"/>
              </w:rPr>
            </w:pPr>
            <w:r>
              <w:rPr>
                <w:rFonts w:ascii="Arial" w:cs="Arial" w:eastAsia="Arial" w:hAnsi="Arial"/>
                <w:sz w:val="17"/>
                <w:szCs w:val="17"/>
                <w:color w:val="0000FF"/>
                <w:w w:val="89"/>
              </w:rPr>
              <w:t>06/14/2023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w w:val="96"/>
              </w:rPr>
              <w:t>C/O SEER, INC.</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jc w:val="center"/>
              <w:ind w:right="153"/>
              <w:spacing w:after="0"/>
              <w:rPr>
                <w:sz w:val="20"/>
                <w:szCs w:val="20"/>
                <w:color w:val="auto"/>
              </w:rPr>
            </w:pPr>
            <w:r>
              <w:rPr>
                <w:rFonts w:ascii="Arial" w:cs="Arial" w:eastAsia="Arial" w:hAnsi="Arial"/>
                <w:sz w:val="13"/>
                <w:szCs w:val="13"/>
                <w:color w:val="auto"/>
                <w:w w:val="99"/>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rPr>
              <w:t>3800 BRIDGE PARKWAY, SUITE 102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9"/>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12"/>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REDWOOD</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94065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920" w:type="dxa"/>
            <w:vAlign w:val="bottom"/>
            <w:gridSpan w:val="24"/>
            <w:vMerge w:val="restart"/>
          </w:tcPr>
          <w:p>
            <w:pPr>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920" w:type="dxa"/>
            <w:vAlign w:val="bottom"/>
            <w:gridSpan w:val="2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92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560" w:type="dxa"/>
            <w:vAlign w:val="bottom"/>
            <w:gridSpan w:val="13"/>
            <w:vMerge w:val="restart"/>
          </w:tcPr>
          <w:p>
            <w:pPr>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gridSpan w:val="13"/>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5"/>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7"/>
          </w:tcPr>
          <w:p>
            <w:pPr>
              <w:ind w:left="6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6"/>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6"/>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40" w:type="dxa"/>
            <w:vAlign w:val="bottom"/>
            <w:gridSpan w:val="7"/>
          </w:tcPr>
          <w:p>
            <w:pPr>
              <w:ind w:left="6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6"/>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6"/>
          </w:tcPr>
          <w:p>
            <w:pPr>
              <w:ind w:left="780"/>
              <w:spacing w:after="0"/>
              <w:rPr>
                <w:sz w:val="20"/>
                <w:szCs w:val="20"/>
                <w:color w:val="auto"/>
              </w:rPr>
            </w:pPr>
            <w:r>
              <w:rPr>
                <w:rFonts w:ascii="Arial" w:cs="Arial" w:eastAsia="Arial" w:hAnsi="Arial"/>
                <w:sz w:val="17"/>
                <w:szCs w:val="17"/>
                <w:color w:val="0000FF"/>
                <w:w w:val="86"/>
              </w:rPr>
              <w:t>06/14/2023</w:t>
            </w: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w w:val="83"/>
              </w:rPr>
              <w:t>23,443</w:t>
            </w:r>
            <w:r>
              <w:rPr>
                <w:rFonts w:ascii="Arial" w:cs="Arial" w:eastAsia="Arial" w:hAnsi="Arial"/>
                <w:sz w:val="21"/>
                <w:szCs w:val="21"/>
                <w:color w:val="008000"/>
                <w:w w:val="83"/>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7"/>
              </w:rPr>
              <w:t>224,903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vMerge w:val="restart"/>
          </w:tcPr>
          <w:p>
            <w:pPr>
              <w:jc w:val="center"/>
              <w:ind w:left="252"/>
              <w:spacing w:after="0"/>
              <w:rPr>
                <w:sz w:val="20"/>
                <w:szCs w:val="20"/>
                <w:color w:val="auto"/>
              </w:rPr>
            </w:pPr>
            <w:r>
              <w:rPr>
                <w:rFonts w:ascii="Arial" w:cs="Arial" w:eastAsia="Arial" w:hAnsi="Arial"/>
                <w:sz w:val="17"/>
                <w:szCs w:val="17"/>
                <w:color w:val="0000FF"/>
                <w:w w:val="88"/>
              </w:rPr>
              <w:t>15,157</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4"/>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4"/>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vMerge w:val="restart"/>
          </w:tcPr>
          <w:p>
            <w:pPr>
              <w:jc w:val="center"/>
              <w:ind w:left="252"/>
              <w:spacing w:after="0"/>
              <w:rPr>
                <w:sz w:val="20"/>
                <w:szCs w:val="20"/>
                <w:color w:val="auto"/>
              </w:rPr>
            </w:pPr>
            <w:r>
              <w:rPr>
                <w:rFonts w:ascii="Arial" w:cs="Arial" w:eastAsia="Arial" w:hAnsi="Arial"/>
                <w:sz w:val="17"/>
                <w:szCs w:val="17"/>
                <w:color w:val="0000FF"/>
                <w:w w:val="88"/>
              </w:rPr>
              <w:t>76,722</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4"/>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4"/>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vMerge w:val="restart"/>
          </w:tcPr>
          <w:p>
            <w:pPr>
              <w:jc w:val="center"/>
              <w:ind w:left="252"/>
              <w:spacing w:after="0"/>
              <w:rPr>
                <w:sz w:val="20"/>
                <w:szCs w:val="20"/>
                <w:color w:val="auto"/>
              </w:rPr>
            </w:pPr>
            <w:r>
              <w:rPr>
                <w:rFonts w:ascii="Arial" w:cs="Arial" w:eastAsia="Arial" w:hAnsi="Arial"/>
                <w:sz w:val="17"/>
                <w:szCs w:val="17"/>
                <w:color w:val="0000FF"/>
                <w:w w:val="88"/>
              </w:rPr>
              <w:t>76,722</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4"/>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4"/>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vMerge w:val="restart"/>
          </w:tcPr>
          <w:p>
            <w:pPr>
              <w:jc w:val="center"/>
              <w:ind w:left="252"/>
              <w:spacing w:after="0"/>
              <w:rPr>
                <w:sz w:val="20"/>
                <w:szCs w:val="20"/>
                <w:color w:val="auto"/>
              </w:rPr>
            </w:pPr>
            <w:r>
              <w:rPr>
                <w:rFonts w:ascii="Arial" w:cs="Arial" w:eastAsia="Arial" w:hAnsi="Arial"/>
                <w:sz w:val="17"/>
                <w:szCs w:val="17"/>
                <w:color w:val="0000FF"/>
                <w:w w:val="88"/>
              </w:rPr>
              <w:t>76,722</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6"/>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60" w:type="dxa"/>
            <w:vAlign w:val="bottom"/>
            <w:gridSpan w:val="21"/>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60" w:type="dxa"/>
            <w:vAlign w:val="bottom"/>
            <w:gridSpan w:val="1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gridSpan w:val="6"/>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0000FF"/>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34,735</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4.33</w:t>
            </w:r>
          </w:p>
        </w:tc>
        <w:tc>
          <w:tcPr>
            <w:tcW w:w="140" w:type="dxa"/>
            <w:vAlign w:val="bottom"/>
          </w:tcPr>
          <w:p>
            <w:pPr>
              <w:spacing w:after="0"/>
              <w:rPr>
                <w:sz w:val="5"/>
                <w:szCs w:val="5"/>
                <w:color w:val="auto"/>
              </w:rPr>
            </w:pPr>
          </w:p>
        </w:tc>
        <w:tc>
          <w:tcPr>
            <w:tcW w:w="1040" w:type="dxa"/>
            <w:vAlign w:val="bottom"/>
            <w:gridSpan w:val="2"/>
            <w:vMerge w:val="restart"/>
          </w:tcPr>
          <w:p>
            <w:pPr>
              <w:jc w:val="right"/>
              <w:ind w:right="95"/>
              <w:spacing w:after="0"/>
              <w:rPr>
                <w:sz w:val="20"/>
                <w:szCs w:val="20"/>
                <w:color w:val="auto"/>
              </w:rPr>
            </w:pPr>
            <w:r>
              <w:rPr>
                <w:rFonts w:ascii="Arial" w:cs="Arial" w:eastAsia="Arial" w:hAnsi="Arial"/>
                <w:sz w:val="13"/>
                <w:szCs w:val="13"/>
                <w:color w:val="0000FF"/>
              </w:rPr>
              <w:t>06/14/2023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4"/>
            <w:vMerge w:val="restart"/>
          </w:tcPr>
          <w:p>
            <w:pPr>
              <w:ind w:left="40"/>
              <w:spacing w:after="0"/>
              <w:rPr>
                <w:sz w:val="20"/>
                <w:szCs w:val="20"/>
                <w:color w:val="auto"/>
              </w:rPr>
            </w:pPr>
            <w:r>
              <w:rPr>
                <w:rFonts w:ascii="Arial" w:cs="Arial" w:eastAsia="Arial" w:hAnsi="Arial"/>
                <w:sz w:val="13"/>
                <w:szCs w:val="13"/>
                <w:color w:val="0000FF"/>
              </w:rPr>
              <w:t>A</w:t>
            </w:r>
          </w:p>
        </w:tc>
        <w:tc>
          <w:tcPr>
            <w:tcW w:w="300" w:type="dxa"/>
            <w:vAlign w:val="bottom"/>
          </w:tcPr>
          <w:p>
            <w:pPr>
              <w:spacing w:after="0"/>
              <w:rPr>
                <w:sz w:val="5"/>
                <w:szCs w:val="5"/>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3"/>
                <w:szCs w:val="13"/>
                <w:color w:val="0000FF"/>
              </w:rPr>
              <w:t>34,735</w:t>
            </w:r>
          </w:p>
        </w:tc>
        <w:tc>
          <w:tcPr>
            <w:tcW w:w="300" w:type="dxa"/>
            <w:vAlign w:val="bottom"/>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06/14/2033</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60" w:type="dxa"/>
            <w:vAlign w:val="bottom"/>
            <w:gridSpan w:val="4"/>
            <w:vMerge w:val="restart"/>
          </w:tcPr>
          <w:p>
            <w:pPr>
              <w:ind w:left="220"/>
              <w:spacing w:after="0"/>
              <w:rPr>
                <w:sz w:val="20"/>
                <w:szCs w:val="20"/>
                <w:color w:val="auto"/>
              </w:rPr>
            </w:pPr>
            <w:r>
              <w:rPr>
                <w:rFonts w:ascii="Arial" w:cs="Arial" w:eastAsia="Arial" w:hAnsi="Arial"/>
                <w:sz w:val="13"/>
                <w:szCs w:val="13"/>
                <w:color w:val="0000FF"/>
              </w:rPr>
              <w:t>34,735</w:t>
            </w:r>
          </w:p>
        </w:tc>
        <w:tc>
          <w:tcPr>
            <w:tcW w:w="62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-7251065</wp:posOffset>
            </wp:positionV>
            <wp:extent cx="7045960" cy="7431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743140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shares are represented by restricted stock units, or RSUs, which vest on the earlier of (i) June 14, 2024 or (ii) the day prior to the date of the Issuer's next annual meeting of stockholders.</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Phi-X Capital, LLC, for which the reporting person serves as a manager.</w:t>
      </w:r>
    </w:p>
    <w:p>
      <w:pPr>
        <w:spacing w:after="0" w:line="46" w:lineRule="exact"/>
        <w:rPr>
          <w:rFonts w:ascii="Arial" w:cs="Arial" w:eastAsia="Arial" w:hAnsi="Arial"/>
          <w:sz w:val="13"/>
          <w:szCs w:val="13"/>
          <w:color w:val="008000"/>
        </w:rPr>
      </w:pPr>
    </w:p>
    <w:p>
      <w:pPr>
        <w:ind w:left="40" w:right="62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First Republic Trust Company of Delaware LLC, trustee of a dynasty trust for the reporting person's minor daughter and for which the reporting person serves as an investment advisor.</w:t>
      </w:r>
    </w:p>
    <w:p>
      <w:pPr>
        <w:spacing w:after="0" w:line="23" w:lineRule="exact"/>
        <w:rPr>
          <w:rFonts w:ascii="Arial" w:cs="Arial" w:eastAsia="Arial" w:hAnsi="Arial"/>
          <w:sz w:val="13"/>
          <w:szCs w:val="13"/>
          <w:color w:val="008000"/>
        </w:rPr>
      </w:pPr>
    </w:p>
    <w:p>
      <w:pPr>
        <w:ind w:left="40" w:right="30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First Republic Trust Company of Delaware LLC, trustee of a dynasty trust for the reporting person's minor son and for which the reporting person serves as an investment advisor.</w:t>
      </w:r>
    </w:p>
    <w:p>
      <w:pPr>
        <w:spacing w:after="0" w:line="23"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Ronaghi Children's Trust UTD December 2014 for which the reporting person serves as a trustee.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subject to the option vest on the earlier of (i) June 14, 2024 or (ii) the day prior to the date of the Issuer's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Elona Kogan, by power of</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2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41876" TargetMode="External"/><Relationship Id="rId9"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2023-06-16T20:30:24Z</dcterms:created>
  <dcterms:modified xsi:type="dcterms:W3CDTF">2023-06-16T20:30:24Z</dcterms:modified>
</cp:coreProperties>
</file>