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Kogan Elona Esq.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4.1343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166,587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were sold to satisfy the reporting person's tax obligations in connection with the vesting of restricted stock units, or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1,168 shares acquired under the Issuer's 2020 Employee Stock Purchase Plan on November 15,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Horn,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01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9971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2023-02-22T18:47:17Z</dcterms:created>
  <dcterms:modified xsi:type="dcterms:W3CDTF">2023-02-22T18:47:17Z</dcterms:modified>
</cp:coreProperties>
</file>