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10-K/A</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71" w:lineRule="exact"/>
        <w:rPr>
          <w:sz w:val="24"/>
          <w:szCs w:val="24"/>
          <w:color w:val="auto"/>
        </w:rPr>
      </w:pPr>
    </w:p>
    <w:p>
      <w:pPr>
        <w:ind w:left="4160" w:right="3040" w:hanging="4152"/>
        <w:spacing w:after="0" w:line="335" w:lineRule="auto"/>
        <w:tabs>
          <w:tab w:leader="none" w:pos="266"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w:t>
      </w:r>
      <w:r>
        <w:rPr>
          <w:rFonts w:ascii="Times New Roman" w:cs="Times New Roman" w:eastAsia="Times New Roman" w:hAnsi="Times New Roman"/>
          <w:sz w:val="16"/>
          <w:szCs w:val="16"/>
          <w:color w:val="auto"/>
        </w:rPr>
        <w:t>For the fiscal year ended December 31, 2024</w:t>
      </w:r>
    </w:p>
    <w:p>
      <w:pPr>
        <w:spacing w:after="0" w:line="1" w:lineRule="exact"/>
        <w:rPr>
          <w:rFonts w:ascii="Times New Roman" w:cs="Times New Roman" w:eastAsia="Times New Roman" w:hAnsi="Times New Roman"/>
          <w:sz w:val="16"/>
          <w:szCs w:val="16"/>
          <w:b w:val="1"/>
          <w:bCs w:val="1"/>
          <w:color w:val="auto"/>
        </w:rPr>
      </w:pPr>
    </w:p>
    <w:p>
      <w:pPr>
        <w:ind w:left="5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or</w:t>
      </w:r>
    </w:p>
    <w:p>
      <w:pPr>
        <w:spacing w:after="0" w:line="71" w:lineRule="exact"/>
        <w:rPr>
          <w:sz w:val="24"/>
          <w:szCs w:val="24"/>
          <w:color w:val="auto"/>
        </w:rPr>
      </w:pPr>
    </w:p>
    <w:p>
      <w:pPr>
        <w:ind w:left="3320" w:right="2780" w:hanging="3312"/>
        <w:spacing w:after="0" w:line="335" w:lineRule="auto"/>
        <w:tabs>
          <w:tab w:leader="none" w:pos="10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 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spacing w:after="0" w:line="1" w:lineRule="exact"/>
        <w:rPr>
          <w:rFonts w:ascii="Times New Roman" w:cs="Times New Roman" w:eastAsia="Times New Roman" w:hAnsi="Times New Roman"/>
          <w:sz w:val="16"/>
          <w:szCs w:val="16"/>
          <w:b w:val="1"/>
          <w:bCs w:val="1"/>
          <w:color w:val="auto"/>
        </w:rPr>
      </w:pPr>
    </w:p>
    <w:p>
      <w:pPr>
        <w:ind w:left="44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SEER,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132"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82-1153150</w:t>
      </w:r>
    </w:p>
    <w:p>
      <w:pPr>
        <w:spacing w:after="0" w:line="42" w:lineRule="exact"/>
        <w:rPr>
          <w:sz w:val="24"/>
          <w:szCs w:val="24"/>
          <w:color w:val="auto"/>
        </w:rPr>
      </w:pPr>
    </w:p>
    <w:p>
      <w:pPr>
        <w:sectPr>
          <w:pgSz w:w="11900" w:h="16838" w:orient="portrait"/>
          <w:cols w:equalWidth="0" w:num="2">
            <w:col w:w="7940" w:space="720"/>
            <w:col w:w="2580"/>
          </w:cols>
          <w:pgMar w:left="320" w:top="1359"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42" w:lineRule="exact"/>
        <w:rPr>
          <w:sz w:val="24"/>
          <w:szCs w:val="24"/>
          <w:color w:val="auto"/>
        </w:rPr>
      </w:pPr>
    </w:p>
    <w:p>
      <w:pPr>
        <w:sectPr>
          <w:pgSz w:w="11900" w:h="16838" w:orient="portrait"/>
          <w:cols w:equalWidth="0" w:num="2">
            <w:col w:w="7020" w:space="720"/>
            <w:col w:w="3500"/>
          </w:cols>
          <w:pgMar w:left="320" w:top="135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Redwood City, California 94065</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650-453-0000</w:t>
      </w:r>
    </w:p>
    <w:p>
      <w:pPr>
        <w:sectPr>
          <w:pgSz w:w="11900" w:h="16838" w:orient="portrait"/>
          <w:cols w:equalWidth="0" w:num="1">
            <w:col w:w="11240"/>
          </w:cols>
          <w:pgMar w:left="320" w:top="1359" w:right="339" w:bottom="1440" w:gutter="0" w:footer="0" w:header="0"/>
          <w:type w:val="continuous"/>
        </w:sectPr>
      </w:pP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93345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4120" w:type="dxa"/>
            <w:vAlign w:val="bottom"/>
            <w:gridSpan w:val="5"/>
          </w:tcPr>
          <w:p>
            <w:pPr>
              <w:jc w:val="center"/>
              <w:ind w:left="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00" w:type="dxa"/>
            <w:vAlign w:val="bottom"/>
          </w:tcPr>
          <w:p>
            <w:pPr>
              <w:spacing w:after="0"/>
              <w:rPr>
                <w:sz w:val="16"/>
                <w:szCs w:val="16"/>
                <w:color w:val="auto"/>
              </w:rPr>
            </w:pPr>
          </w:p>
        </w:tc>
      </w:tr>
      <w:tr>
        <w:trPr>
          <w:trHeight w:val="132"/>
        </w:trPr>
        <w:tc>
          <w:tcPr>
            <w:tcW w:w="3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tcPr>
          <w:p>
            <w:pPr>
              <w:spacing w:after="0"/>
              <w:rPr>
                <w:sz w:val="11"/>
                <w:szCs w:val="11"/>
                <w:color w:val="auto"/>
              </w:rPr>
            </w:pPr>
          </w:p>
        </w:tc>
      </w:tr>
      <w:tr>
        <w:trPr>
          <w:trHeight w:val="267"/>
        </w:trPr>
        <w:tc>
          <w:tcPr>
            <w:tcW w:w="3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i w:val="1"/>
                <w:iCs w:val="1"/>
                <w:color w:val="auto"/>
              </w:rPr>
              <w:t>Copies to:</w:t>
            </w:r>
          </w:p>
        </w:tc>
        <w:tc>
          <w:tcPr>
            <w:tcW w:w="3600" w:type="dxa"/>
            <w:vAlign w:val="bottom"/>
          </w:tcPr>
          <w:p>
            <w:pPr>
              <w:spacing w:after="0"/>
              <w:rPr>
                <w:sz w:val="23"/>
                <w:szCs w:val="23"/>
                <w:color w:val="auto"/>
              </w:rPr>
            </w:pPr>
          </w:p>
        </w:tc>
      </w:tr>
      <w:tr>
        <w:trPr>
          <w:trHeight w:val="212"/>
        </w:trPr>
        <w:tc>
          <w:tcPr>
            <w:tcW w:w="352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0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173"/>
        </w:trPr>
        <w:tc>
          <w:tcPr>
            <w:tcW w:w="3520" w:type="dxa"/>
            <w:vAlign w:val="bottom"/>
            <w:tcBorders>
              <w:top w:val="single" w:sz="8" w:color="auto"/>
            </w:tcBorders>
          </w:tcPr>
          <w:p>
            <w:pPr>
              <w:jc w:val="center"/>
              <w:ind w:left="808"/>
              <w:spacing w:after="0"/>
              <w:rPr>
                <w:sz w:val="20"/>
                <w:szCs w:val="20"/>
                <w:color w:val="auto"/>
              </w:rPr>
            </w:pPr>
            <w:r>
              <w:rPr>
                <w:rFonts w:ascii="Times New Roman" w:cs="Times New Roman" w:eastAsia="Times New Roman" w:hAnsi="Times New Roman"/>
                <w:sz w:val="14"/>
                <w:szCs w:val="14"/>
                <w:color w:val="auto"/>
              </w:rPr>
              <w:t>Common Stock, par value $0.00001</w:t>
            </w: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SEER</w:t>
            </w: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tcPr>
          <w:p>
            <w:pPr>
              <w:jc w:val="center"/>
              <w:ind w:right="708"/>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85"/>
        </w:trPr>
        <w:tc>
          <w:tcPr>
            <w:tcW w:w="3520" w:type="dxa"/>
            <w:vAlign w:val="bottom"/>
          </w:tcPr>
          <w:p>
            <w:pPr>
              <w:spacing w:after="0"/>
              <w:rPr>
                <w:sz w:val="16"/>
                <w:szCs w:val="16"/>
                <w:color w:val="auto"/>
              </w:rPr>
            </w:pPr>
          </w:p>
        </w:tc>
        <w:tc>
          <w:tcPr>
            <w:tcW w:w="4120" w:type="dxa"/>
            <w:vAlign w:val="bottom"/>
            <w:gridSpan w:val="5"/>
          </w:tcPr>
          <w:p>
            <w:pPr>
              <w:jc w:val="center"/>
              <w:ind w:left="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3600" w:type="dxa"/>
            <w:vAlign w:val="bottom"/>
          </w:tcPr>
          <w:p>
            <w:pPr>
              <w:spacing w:after="0"/>
              <w:rPr>
                <w:sz w:val="16"/>
                <w:szCs w:val="16"/>
                <w:color w:val="auto"/>
              </w:rPr>
            </w:pPr>
          </w:p>
        </w:tc>
      </w:tr>
      <w:tr>
        <w:trPr>
          <w:trHeight w:val="230"/>
        </w:trPr>
        <w:tc>
          <w:tcPr>
            <w:tcW w:w="1124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r>
        <w:trPr>
          <w:trHeight w:val="242"/>
        </w:trPr>
        <w:tc>
          <w:tcPr>
            <w:tcW w:w="764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6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6"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00" w:val="left"/>
          <w:tab w:leader="none" w:pos="72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Nasdaq Stock Market on June 28, 2024, was approximately $95.8 million.</w:t>
      </w:r>
    </w:p>
    <w:p>
      <w:pPr>
        <w:spacing w:after="0" w:line="1" w:lineRule="exact"/>
        <w:rPr>
          <w:sz w:val="24"/>
          <w:szCs w:val="24"/>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As of February 26, 2025, the registrant had 55,737,066 shares of Class A common stock, $0.00001 par value per share, and 4,044,969 of Class B common stock, $0.00001 par value per share, outstanding.</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782320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0000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-7620</wp:posOffset>
            </wp:positionV>
            <wp:extent cx="354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7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u w:val="single" w:color="auto"/>
          <w:color w:val="0000FF"/>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-7620</wp:posOffset>
            </wp:positionV>
            <wp:extent cx="2600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0960" cy="8890"/>
                    </a:xfrm>
                    <a:prstGeom prst="rect">
                      <a:avLst/>
                    </a:prstGeom>
                    <a:noFill/>
                  </pic:spPr>
                </pic:pic>
              </a:graphicData>
            </a:graphic>
          </wp:anchor>
        </w:drawing>
      </w:r>
    </w:p>
    <w:p>
      <w:pPr>
        <w:spacing w:after="0" w:line="7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u w:val="single" w:color="auto"/>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-7620</wp:posOffset>
            </wp:positionV>
            <wp:extent cx="11455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7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7"/>
          <w:szCs w:val="17"/>
          <w:u w:val="single" w:color="auto"/>
          <w:color w:val="0000FF"/>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-7620</wp:posOffset>
            </wp:positionV>
            <wp:extent cx="4629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7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u w:val="single" w:color="auto"/>
          <w:color w:val="0000FF"/>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-7620</wp:posOffset>
            </wp:positionV>
            <wp:extent cx="3464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7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u w:val="single" w:color="auto"/>
          <w:color w:val="0000FF"/>
        </w:rPr>
        <w:t>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-7620</wp:posOffset>
            </wp:positionV>
            <wp:extent cx="18211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1180" cy="8255"/>
                    </a:xfrm>
                    <a:prstGeom prst="rect">
                      <a:avLst/>
                    </a:prstGeom>
                    <a:noFill/>
                  </pic:spPr>
                </pic:pic>
              </a:graphicData>
            </a:graphic>
          </wp:anchor>
        </w:drawing>
      </w:r>
    </w:p>
    <w:p>
      <w:pPr>
        <w:spacing w:after="0" w:line="70"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u w:val="single" w:color="auto"/>
          <w:color w:val="0000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-7620</wp:posOffset>
            </wp:positionV>
            <wp:extent cx="361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7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u w:val="single" w:color="auto"/>
          <w:color w:val="0000FF"/>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-7620</wp:posOffset>
            </wp:positionV>
            <wp:extent cx="20053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1256030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-7620</wp:posOffset>
            </wp:positionV>
            <wp:extent cx="482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-7620</wp:posOffset>
            </wp:positionV>
            <wp:extent cx="5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43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4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43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4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43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43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2">
            <w:col w:w="9900" w:space="720"/>
            <w:col w:w="180"/>
          </w:cols>
          <w:pgMar w:left="440" w:top="1413" w:right="6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Amendment No. 1 on Form 10-K/A (this “Amendment” or “Form 10-K/A”) to amend the Annual Report on Form 10-K of Seer, Inc., a Delaware corporation (referred to as “Seer,” the “Company,” “we,” “us,” or “our”) for the fiscal year ended December 31, 2024, originally filed with the Securities and Exchange Commission (the “SEC”) on March 3, 2025 (the “Original Report”), is being filed for the purpose of including the information required to be disclosed by Part III of Form 10-K. This information was previously omitted from the Original Report in reliance on General Instruction G(3) to Form 10-K, which permits the information in the above referenced items to be incorporated in the Form 10-K by reference from our definitive proxy statement if such proxy statement is filed no later than 120 days after our fiscal year-end. The reference on the cover page of the Original Report to the incorporation by reference to portions of our definitive proxy statement into Part III of the Original Report has been deleted. This Amendment No. 1 hereby amends and restates in their entirety the cover page and Items 10 through 14 of Part III of the Original Report.</w:t>
      </w:r>
    </w:p>
    <w:p>
      <w:pPr>
        <w:spacing w:after="0" w:line="13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required by Rule 12b-15 under the Securities Exchange Act of 1934, as amended, in connection with this Form 10-K/A, our Chief Executive Officer and Chief Financial Officer and President are providing Rule 13a-14(a) certifications as included herein. We are amending Item 15 of Part IV solely to reflect the inclusion of these certifications.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Except as described above, this Form 10-K/A does not modify or update disclosure in, or exhibits to, the Original Report. Furthermore, this Form 10-K/A does not change any previously reported financial results, nor does it reflect events occurring after the filing date of the Original Report. Information not affected by this Form 10-K/A remains unchanged and reflects the disclosures made at the time the Original Report was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manage our business affairs under the direction of our board of directors, which currently consists of seven members. Our board of directors has affirmatively determined that five of our seven directors qualify as “independent” within the meaning of the listing standards of the Nasdaq Stock Market LLC (Nasdaq).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and ages as of March 31, 2025 and certain other information for each of the directors: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80" w:type="dxa"/>
            <w:vAlign w:val="bottom"/>
          </w:tcPr>
          <w:p>
            <w:pPr>
              <w:jc w:val="center"/>
              <w:ind w:left="1752"/>
              <w:spacing w:after="0"/>
              <w:rPr>
                <w:sz w:val="20"/>
                <w:szCs w:val="20"/>
                <w:color w:val="auto"/>
              </w:rPr>
            </w:pPr>
            <w:r>
              <w:rPr>
                <w:rFonts w:ascii="Times New Roman" w:cs="Times New Roman" w:eastAsia="Times New Roman" w:hAnsi="Times New Roman"/>
                <w:sz w:val="14"/>
                <w:szCs w:val="14"/>
                <w:b w:val="1"/>
                <w:bCs w:val="1"/>
                <w:color w:val="auto"/>
              </w:rPr>
              <w:t>Age</w:t>
            </w:r>
          </w:p>
        </w:tc>
        <w:tc>
          <w:tcPr>
            <w:tcW w:w="3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0" w:type="dxa"/>
            <w:vAlign w:val="bottom"/>
          </w:tcPr>
          <w:p>
            <w:pPr>
              <w:spacing w:after="0"/>
              <w:rPr>
                <w:sz w:val="1"/>
                <w:szCs w:val="1"/>
                <w:color w:val="auto"/>
              </w:rPr>
            </w:pPr>
          </w:p>
        </w:tc>
      </w:tr>
      <w:tr>
        <w:trPr>
          <w:trHeight w:val="198"/>
        </w:trPr>
        <w:tc>
          <w:tcPr>
            <w:tcW w:w="4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Omid Farokhzad, M.D.</w:t>
            </w:r>
          </w:p>
        </w:tc>
        <w:tc>
          <w:tcPr>
            <w:tcW w:w="2280" w:type="dxa"/>
            <w:vAlign w:val="bottom"/>
            <w:vMerge w:val="restart"/>
            <w:shd w:val="clear" w:color="auto" w:fill="CFF0FC"/>
          </w:tcPr>
          <w:p>
            <w:pPr>
              <w:jc w:val="center"/>
              <w:ind w:left="1772"/>
              <w:spacing w:after="0"/>
              <w:rPr>
                <w:sz w:val="20"/>
                <w:szCs w:val="20"/>
                <w:color w:val="auto"/>
              </w:rPr>
            </w:pPr>
            <w:r>
              <w:rPr>
                <w:rFonts w:ascii="Times New Roman" w:cs="Times New Roman" w:eastAsia="Times New Roman" w:hAnsi="Times New Roman"/>
                <w:sz w:val="18"/>
                <w:szCs w:val="18"/>
                <w:color w:val="auto"/>
                <w:w w:val="99"/>
              </w:rPr>
              <w:t>56</w:t>
            </w:r>
          </w:p>
        </w:tc>
        <w:tc>
          <w:tcPr>
            <w:tcW w:w="368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Chief Executive Officer and Chair of the Board</w:t>
            </w:r>
          </w:p>
        </w:tc>
        <w:tc>
          <w:tcPr>
            <w:tcW w:w="120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126"/>
        </w:trPr>
        <w:tc>
          <w:tcPr>
            <w:tcW w:w="4080" w:type="dxa"/>
            <w:vAlign w:val="bottom"/>
            <w:shd w:val="clear" w:color="auto" w:fill="CFF0FC"/>
          </w:tcPr>
          <w:p>
            <w:pPr>
              <w:spacing w:after="0"/>
              <w:rPr>
                <w:sz w:val="10"/>
                <w:szCs w:val="10"/>
                <w:color w:val="auto"/>
              </w:rPr>
            </w:pPr>
          </w:p>
        </w:tc>
        <w:tc>
          <w:tcPr>
            <w:tcW w:w="2280" w:type="dxa"/>
            <w:vAlign w:val="bottom"/>
            <w:vMerge w:val="continue"/>
            <w:shd w:val="clear" w:color="auto" w:fill="CFF0FC"/>
          </w:tcPr>
          <w:p>
            <w:pPr>
              <w:spacing w:after="0"/>
              <w:rPr>
                <w:sz w:val="10"/>
                <w:szCs w:val="10"/>
                <w:color w:val="auto"/>
              </w:rPr>
            </w:pPr>
          </w:p>
        </w:tc>
        <w:tc>
          <w:tcPr>
            <w:tcW w:w="36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of Directors</w:t>
            </w:r>
          </w:p>
        </w:tc>
        <w:tc>
          <w:tcPr>
            <w:tcW w:w="12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80" w:type="dxa"/>
            <w:vAlign w:val="bottom"/>
            <w:shd w:val="clear" w:color="auto" w:fill="CFF0FC"/>
          </w:tcPr>
          <w:p>
            <w:pPr>
              <w:spacing w:after="0"/>
              <w:rPr>
                <w:sz w:val="9"/>
                <w:szCs w:val="9"/>
                <w:color w:val="auto"/>
              </w:rPr>
            </w:pPr>
          </w:p>
        </w:tc>
        <w:tc>
          <w:tcPr>
            <w:tcW w:w="2280" w:type="dxa"/>
            <w:vAlign w:val="bottom"/>
            <w:shd w:val="clear" w:color="auto" w:fill="CFF0FC"/>
          </w:tcPr>
          <w:p>
            <w:pPr>
              <w:spacing w:after="0"/>
              <w:rPr>
                <w:sz w:val="9"/>
                <w:szCs w:val="9"/>
                <w:color w:val="auto"/>
              </w:rPr>
            </w:pPr>
          </w:p>
        </w:tc>
        <w:tc>
          <w:tcPr>
            <w:tcW w:w="3680" w:type="dxa"/>
            <w:vAlign w:val="bottom"/>
            <w:vMerge w:val="continue"/>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Meeta Gulyani </w:t>
            </w:r>
            <w:r>
              <w:rPr>
                <w:rFonts w:ascii="Times New Roman" w:cs="Times New Roman" w:eastAsia="Times New Roman" w:hAnsi="Times New Roman"/>
                <w:sz w:val="24"/>
                <w:szCs w:val="24"/>
                <w:color w:val="auto"/>
                <w:vertAlign w:val="superscript"/>
              </w:rPr>
              <w:t>(1)</w:t>
            </w:r>
          </w:p>
        </w:tc>
        <w:tc>
          <w:tcPr>
            <w:tcW w:w="2280" w:type="dxa"/>
            <w:vAlign w:val="bottom"/>
          </w:tcPr>
          <w:p>
            <w:pPr>
              <w:jc w:val="center"/>
              <w:ind w:left="1772"/>
              <w:spacing w:after="0"/>
              <w:rPr>
                <w:sz w:val="20"/>
                <w:szCs w:val="20"/>
                <w:color w:val="auto"/>
              </w:rPr>
            </w:pPr>
            <w:r>
              <w:rPr>
                <w:rFonts w:ascii="Times New Roman" w:cs="Times New Roman" w:eastAsia="Times New Roman" w:hAnsi="Times New Roman"/>
                <w:sz w:val="18"/>
                <w:szCs w:val="18"/>
                <w:color w:val="auto"/>
                <w:w w:val="99"/>
              </w:rPr>
              <w:t>56</w:t>
            </w:r>
          </w:p>
        </w:tc>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David Hallal </w:t>
            </w:r>
            <w:r>
              <w:rPr>
                <w:rFonts w:ascii="Times New Roman" w:cs="Times New Roman" w:eastAsia="Times New Roman" w:hAnsi="Times New Roman"/>
                <w:sz w:val="24"/>
                <w:szCs w:val="24"/>
                <w:color w:val="auto"/>
                <w:vertAlign w:val="superscript"/>
              </w:rPr>
              <w:t>(1)(2)(3)</w:t>
            </w:r>
          </w:p>
        </w:tc>
        <w:tc>
          <w:tcPr>
            <w:tcW w:w="2280" w:type="dxa"/>
            <w:vAlign w:val="bottom"/>
            <w:shd w:val="clear" w:color="auto" w:fill="CFF0FC"/>
          </w:tcPr>
          <w:p>
            <w:pPr>
              <w:jc w:val="center"/>
              <w:ind w:left="1772"/>
              <w:spacing w:after="0"/>
              <w:rPr>
                <w:sz w:val="20"/>
                <w:szCs w:val="20"/>
                <w:color w:val="auto"/>
              </w:rPr>
            </w:pPr>
            <w:r>
              <w:rPr>
                <w:rFonts w:ascii="Times New Roman" w:cs="Times New Roman" w:eastAsia="Times New Roman" w:hAnsi="Times New Roman"/>
                <w:sz w:val="18"/>
                <w:szCs w:val="18"/>
                <w:color w:val="auto"/>
                <w:w w:val="99"/>
              </w:rPr>
              <w:t>58</w:t>
            </w:r>
          </w:p>
        </w:tc>
        <w:tc>
          <w:tcPr>
            <w:tcW w:w="3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Terrance McGuire </w:t>
            </w:r>
            <w:r>
              <w:rPr>
                <w:rFonts w:ascii="Times New Roman" w:cs="Times New Roman" w:eastAsia="Times New Roman" w:hAnsi="Times New Roman"/>
                <w:sz w:val="24"/>
                <w:szCs w:val="24"/>
                <w:color w:val="auto"/>
                <w:vertAlign w:val="superscript"/>
              </w:rPr>
              <w:t>(1)(2)</w:t>
            </w:r>
          </w:p>
        </w:tc>
        <w:tc>
          <w:tcPr>
            <w:tcW w:w="2280" w:type="dxa"/>
            <w:vAlign w:val="bottom"/>
          </w:tcPr>
          <w:p>
            <w:pPr>
              <w:jc w:val="center"/>
              <w:ind w:left="1772"/>
              <w:spacing w:after="0"/>
              <w:rPr>
                <w:sz w:val="20"/>
                <w:szCs w:val="20"/>
                <w:color w:val="auto"/>
              </w:rPr>
            </w:pPr>
            <w:r>
              <w:rPr>
                <w:rFonts w:ascii="Times New Roman" w:cs="Times New Roman" w:eastAsia="Times New Roman" w:hAnsi="Times New Roman"/>
                <w:sz w:val="18"/>
                <w:szCs w:val="18"/>
                <w:color w:val="auto"/>
                <w:w w:val="99"/>
              </w:rPr>
              <w:t>69</w:t>
            </w:r>
          </w:p>
        </w:tc>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Robert Langer, Sc.D.</w:t>
            </w:r>
            <w:r>
              <w:rPr>
                <w:rFonts w:ascii="Times New Roman" w:cs="Times New Roman" w:eastAsia="Times New Roman" w:hAnsi="Times New Roman"/>
                <w:sz w:val="24"/>
                <w:szCs w:val="24"/>
                <w:color w:val="auto"/>
                <w:vertAlign w:val="superscript"/>
              </w:rPr>
              <w:t>(4)</w:t>
            </w:r>
          </w:p>
        </w:tc>
        <w:tc>
          <w:tcPr>
            <w:tcW w:w="2280" w:type="dxa"/>
            <w:vAlign w:val="bottom"/>
            <w:shd w:val="clear" w:color="auto" w:fill="CFF0FC"/>
          </w:tcPr>
          <w:p>
            <w:pPr>
              <w:jc w:val="center"/>
              <w:ind w:left="1772"/>
              <w:spacing w:after="0"/>
              <w:rPr>
                <w:sz w:val="20"/>
                <w:szCs w:val="20"/>
                <w:color w:val="auto"/>
              </w:rPr>
            </w:pPr>
            <w:r>
              <w:rPr>
                <w:rFonts w:ascii="Times New Roman" w:cs="Times New Roman" w:eastAsia="Times New Roman" w:hAnsi="Times New Roman"/>
                <w:sz w:val="18"/>
                <w:szCs w:val="18"/>
                <w:color w:val="auto"/>
                <w:w w:val="99"/>
              </w:rPr>
              <w:t>76</w:t>
            </w:r>
          </w:p>
        </w:tc>
        <w:tc>
          <w:tcPr>
            <w:tcW w:w="3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Dipchand (Deep) Nishar </w:t>
            </w:r>
            <w:r>
              <w:rPr>
                <w:rFonts w:ascii="Times New Roman" w:cs="Times New Roman" w:eastAsia="Times New Roman" w:hAnsi="Times New Roman"/>
                <w:sz w:val="24"/>
                <w:szCs w:val="24"/>
                <w:color w:val="auto"/>
                <w:vertAlign w:val="superscript"/>
              </w:rPr>
              <w:t>(3)(4)</w:t>
            </w:r>
          </w:p>
        </w:tc>
        <w:tc>
          <w:tcPr>
            <w:tcW w:w="2280" w:type="dxa"/>
            <w:vAlign w:val="bottom"/>
          </w:tcPr>
          <w:p>
            <w:pPr>
              <w:jc w:val="center"/>
              <w:ind w:left="1772"/>
              <w:spacing w:after="0"/>
              <w:rPr>
                <w:sz w:val="20"/>
                <w:szCs w:val="20"/>
                <w:color w:val="auto"/>
              </w:rPr>
            </w:pPr>
            <w:r>
              <w:rPr>
                <w:rFonts w:ascii="Times New Roman" w:cs="Times New Roman" w:eastAsia="Times New Roman" w:hAnsi="Times New Roman"/>
                <w:sz w:val="18"/>
                <w:szCs w:val="18"/>
                <w:color w:val="auto"/>
                <w:w w:val="99"/>
              </w:rPr>
              <w:t>56</w:t>
            </w:r>
          </w:p>
        </w:tc>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Nicolas Roelofs, Ph.D. </w:t>
            </w:r>
            <w:r>
              <w:rPr>
                <w:rFonts w:ascii="Times New Roman" w:cs="Times New Roman" w:eastAsia="Times New Roman" w:hAnsi="Times New Roman"/>
                <w:sz w:val="24"/>
                <w:szCs w:val="24"/>
                <w:color w:val="auto"/>
                <w:vertAlign w:val="superscript"/>
              </w:rPr>
              <w:t>(2)(3)(4)</w:t>
            </w:r>
          </w:p>
        </w:tc>
        <w:tc>
          <w:tcPr>
            <w:tcW w:w="2280" w:type="dxa"/>
            <w:vAlign w:val="bottom"/>
            <w:shd w:val="clear" w:color="auto" w:fill="CFF0FC"/>
          </w:tcPr>
          <w:p>
            <w:pPr>
              <w:jc w:val="center"/>
              <w:ind w:left="1772"/>
              <w:spacing w:after="0"/>
              <w:rPr>
                <w:sz w:val="20"/>
                <w:szCs w:val="20"/>
                <w:color w:val="auto"/>
              </w:rPr>
            </w:pPr>
            <w:r>
              <w:rPr>
                <w:rFonts w:ascii="Times New Roman" w:cs="Times New Roman" w:eastAsia="Times New Roman" w:hAnsi="Times New Roman"/>
                <w:sz w:val="18"/>
                <w:szCs w:val="18"/>
                <w:color w:val="auto"/>
                <w:w w:val="99"/>
              </w:rPr>
              <w:t>67</w:t>
            </w:r>
          </w:p>
        </w:tc>
        <w:tc>
          <w:tcPr>
            <w:tcW w:w="3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audit committee</w:t>
      </w:r>
    </w:p>
    <w:p>
      <w:pPr>
        <w:spacing w:after="0" w:line="26"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talent and compensation committee</w:t>
      </w:r>
    </w:p>
    <w:p>
      <w:pPr>
        <w:spacing w:after="0" w:line="18"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corporate governance and nominating committee</w:t>
      </w:r>
    </w:p>
    <w:p>
      <w:pPr>
        <w:spacing w:after="0" w:line="18"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science and technology committee</w:t>
      </w:r>
    </w:p>
    <w:p>
      <w:pPr>
        <w:spacing w:after="0" w:line="1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Omid Farokhzad, M.D. </w:t>
      </w:r>
      <w:r>
        <w:rPr>
          <w:rFonts w:ascii="Times New Roman" w:cs="Times New Roman" w:eastAsia="Times New Roman" w:hAnsi="Times New Roman"/>
          <w:sz w:val="18"/>
          <w:szCs w:val="18"/>
          <w:color w:val="auto"/>
        </w:rPr>
        <w:t>co-founded our Company and has served as our Chief Executive Officer since February 2018, and as a member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March 2017, serving as the Chair since September 2020, and as President of the Company from September 2022 until November 2023. He served as the executive chair of Dynamics Special Purpose Corp., a blank check company, from May 2021 until June 2022.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Senti Biosciences, Selecta Biosciences and BIND Therapeutics. He holds an M.A. and M.D. from Boston University and an M.B.A. from Massachusetts Institute of Technology Sloan School of Management.</w:t>
      </w:r>
    </w:p>
    <w:p>
      <w:pPr>
        <w:spacing w:after="0" w:line="13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Meeta Gulyani </w:t>
      </w:r>
      <w:r>
        <w:rPr>
          <w:rFonts w:ascii="Times New Roman" w:cs="Times New Roman" w:eastAsia="Times New Roman" w:hAnsi="Times New Roman"/>
          <w:sz w:val="18"/>
          <w:szCs w:val="18"/>
          <w:color w:val="auto"/>
        </w:rPr>
        <w:t>has served as a member of our board of directors since November 2021. Ms. Gulyani has served as Senior Vice President,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Manager, Bioprocessing and Head of Life Science Strategy of Ecolab, since December 2024. From October 2023 to February 2024, she was a member of Novo Advisory Group, a management advisory firm assisting both healthy companies and those facing financial difficulty. From January 2016 to August 2023, she served as Executive Vice President, Head of Strategy, Business Development and Transformation at the Life Science business of Merck KGaA, Darmstadt, Germany, a global life science and technology company, which operates as MilliporeSigma in U.S. and Canada. From May 2014 to December 2015, she served as Executive Vice President, Head of Global Strategy and Franchises at the Pharmaceutical business of Merck KGaA, Darmstadt, Germany, which operates as EMD Serono, Inc. in U.S. and Canada. From January 2012 to April 2014, Ms. Gulyani served as General Manager, India Management Center at Roche Pharmaceuticals, division of Roche Holding AG, a healthcare company. Ms. Gulyani currently serves as an advisory board member of Single Use Support GmbH. Ms. Gulyani holds a M.B.A. from the Asian Institute of Management, Philippines, accompanied by an exchange program at the Wharton School of the University of Pennsylvania. She earned a bachelor’s degree in economics from the Shri Ram College of Commerce at Delhi University in India.</w:t>
      </w:r>
    </w:p>
    <w:p>
      <w:pPr>
        <w:spacing w:after="0" w:line="13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believe Ms. Gulyani is qualified to serve on our board of directors because of her extensive experience in the life sciences industry and experience across markets, including Asia.</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Hallal </w:t>
      </w:r>
      <w:r>
        <w:rPr>
          <w:rFonts w:ascii="Times New Roman" w:cs="Times New Roman" w:eastAsia="Times New Roman" w:hAnsi="Times New Roman"/>
          <w:sz w:val="18"/>
          <w:szCs w:val="18"/>
          <w:color w:val="auto"/>
        </w:rPr>
        <w:t>has served as a member of our board of directors since February 2018 and as Lead Independent Director from September 2020 to August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Mr. Hallal has served as Chief Executive Officer of ElevateBio LLC, a biotechnology company he co-founded, since December 2017. Mr. Hallal had served as Chief Executive Officer of AlloVir, Inc., a late clinical-stage cell therapy company from September 2018 to March 2021. Prior to that, from June 2006 to December 2016, Mr. Hallal served in executive roles of increasing responsibility at Alexion Pharmaceuticals, Inc., a pharmaceutical company, most recently serving as Chief Executive Officer from April 2015 to December 2016, Chief Operating Officer from September 2014 to April 2015 and Chief Commercial Officer, Head of Commercial Operations from July 2006 to September 2014, as well as a member of the Board of Directors from September 2014 to December 2016. Mr. Hallal currently serves as Chairman of the board at AlloVir, ElevateBio, Scholar Rock Holding Corp. and iTeos Therapeutics S.A. He holds a B.A. in Psychology from the University of New Hampshire.</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Mr. Hallal is qualified to serve on our board of directors because of his extensive business experience and knowledge of company operations, and his experience working with companies in the life sciences industry.</w:t>
      </w:r>
    </w:p>
    <w:p>
      <w:pPr>
        <w:spacing w:after="0" w:line="10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Terrance McGuire </w:t>
      </w:r>
      <w:r>
        <w:rPr>
          <w:rFonts w:ascii="Times New Roman" w:cs="Times New Roman" w:eastAsia="Times New Roman" w:hAnsi="Times New Roman"/>
          <w:sz w:val="18"/>
          <w:szCs w:val="18"/>
          <w:color w:val="auto"/>
        </w:rPr>
        <w:t>has served as a member of our board of directors since December 2017. Mr. McGuire is a founding partner of Polaris Partners.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starting Polaris Partners in 1996, Mr. McGuire spent seven years at Burr, Egan, Deleage &amp; Co., investing in early stage medical and information technology companies. He currently serves on the board of directors of Invivyd, Inc. (formerly Adagio Therapeutics, Inc.), Tectonic Therapeutic, and Whitehead Institute, and previously served on the board of directors of Acceleron Pharma, Inc., Alector, Inc., Arsanis, Inc., Cyclerion Therapeutics, Inc., Ironwood Pharmaceuticals, Inc., Pulmatrix, Inc., and The David H. Koch Institute for Integrative Cancer Research at the Massachusetts Institute of Technology. Mr. McGuire also serves as a member of the Board of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w:t>
      </w:r>
    </w:p>
    <w:p>
      <w:pPr>
        <w:spacing w:after="0" w:line="13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believe Mr. McGuire is qualified to serve on our board of directors because of his substantial corporate development and business strategy expertise gained in the venture capital industry.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Langer, Sc.D. </w:t>
      </w:r>
      <w:r>
        <w:rPr>
          <w:rFonts w:ascii="Times New Roman" w:cs="Times New Roman" w:eastAsia="Times New Roman" w:hAnsi="Times New Roman"/>
          <w:sz w:val="18"/>
          <w:szCs w:val="18"/>
          <w:color w:val="auto"/>
        </w:rPr>
        <w:t>has served as a member of our board of directors since December 2017. Dr. Langer has served as an Institute Professor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Massachusetts Institute of Technology since July 2005. He currently serves on the board of directors of Abpro Bio Co. Ltd., Frequency Therapeutics, Inc., and Puretech Health plc, and previously served on the board of directors of Alkermes, Inc., Lyra Therapeutics, Inc., Kala Pharmaceuticals, Inc., Moderna, Inc., Momenta Pharmaceuticals, Inc., Millipore Corp., Rubius Therapeutics and Wyeth. Dr. Langer currently serves on the Board of Trustees at Boston Children’s Hospital. Dr. Langer holds a B.S. in Chemical Engineering from Cornell University and an Sc.D. in Chemical Engineering from Massachusetts Institute of Technology.</w:t>
      </w:r>
    </w:p>
    <w:p>
      <w:pPr>
        <w:spacing w:after="0" w:line="1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Dr. Langer is qualified to serve on our board of directors because of his pioneering academic work, extensive medical and scientific knowledge, and experience serving on public company board of directors.</w:t>
      </w:r>
    </w:p>
    <w:p>
      <w:pPr>
        <w:spacing w:after="0" w:line="1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Dipchand (Deep) Nishar </w:t>
      </w:r>
      <w:r>
        <w:rPr>
          <w:rFonts w:ascii="Times New Roman" w:cs="Times New Roman" w:eastAsia="Times New Roman" w:hAnsi="Times New Roman"/>
          <w:sz w:val="18"/>
          <w:szCs w:val="18"/>
          <w:color w:val="auto"/>
        </w:rPr>
        <w:t>has served as a member of our board of directors since February 2021. Mr. Nishar has been a Managing Director at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Catalyst since January 2022. From June 2015 to December 2021, he served as a Senior Managing Partner of SoftBank Investment Advisers (US) Inc., a private equity company. From January 2009 to October 2014, he was with LinkedIn Corporation, an employment-oriented online service company acquired by Microsoft Corporation, where he served as Senior Vice President, Product and User Experience from May 2011 to October 2014 and as Vice President, Products from January 2009 to May 2011. From August 2003 to January 2009, Mr. Nishar served in various executive roles with Google Inc., a technology company that specializes in Internet-related services and products, most recently as the Senior Director of Products for the Asia-Pacific region. Mr. Nishar served on the board of directors of Dynamics Special Purpose Corp., from May 2021 until June 2022, and Vir Biotechnology, Inc., from August 2017 until June 2022. He currently serves as a member of the board of directors of several privately-held companies. Mr. Nishar previously served on the board of directors of Guardant Health, Inc., from October 2018 until June 2020, Relay Therapeutics, Inc., from June 2019 until December 2021, TripAdvisor, Inc., from August 2013 until June 2019, and Zymergen Inc., from October 2016 until September 2020. Mr. Nishar holds a B. Tech from the Indian Institute of Technology, an M.S. in Electrical Engineering from the University of Illinois, Urbana-Champaign and an M.B.A. from Harvard Business School.</w:t>
      </w:r>
    </w:p>
    <w:p>
      <w:pPr>
        <w:spacing w:after="0" w:line="140" w:lineRule="exact"/>
        <w:rPr>
          <w:sz w:val="20"/>
          <w:szCs w:val="20"/>
          <w:color w:val="auto"/>
        </w:rPr>
      </w:pPr>
    </w:p>
    <w:p>
      <w:pPr>
        <w:ind w:right="600"/>
        <w:spacing w:after="0" w:line="285" w:lineRule="auto"/>
        <w:rPr>
          <w:sz w:val="20"/>
          <w:szCs w:val="20"/>
          <w:color w:val="auto"/>
        </w:rPr>
      </w:pPr>
      <w:r>
        <w:rPr>
          <w:rFonts w:ascii="Times New Roman" w:cs="Times New Roman" w:eastAsia="Times New Roman" w:hAnsi="Times New Roman"/>
          <w:sz w:val="18"/>
          <w:szCs w:val="18"/>
          <w:color w:val="auto"/>
        </w:rPr>
        <w:t>We believe Mr. Nishar is qualified to serve on our board of directors due to his extensive background in the technology industry and his investment activities in the life science sector</w:t>
      </w:r>
      <w:r>
        <w:rPr>
          <w:rFonts w:ascii="Arial" w:cs="Arial" w:eastAsia="Arial" w:hAnsi="Arial"/>
          <w:sz w:val="18"/>
          <w:szCs w:val="18"/>
          <w:color w:val="auto"/>
        </w:rPr>
        <w:t>.</w:t>
      </w:r>
    </w:p>
    <w:p>
      <w:pPr>
        <w:spacing w:after="0" w:line="9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Nicolas Roelofs, Ph.D. </w:t>
      </w:r>
      <w:r>
        <w:rPr>
          <w:rFonts w:ascii="Times New Roman" w:cs="Times New Roman" w:eastAsia="Times New Roman" w:hAnsi="Times New Roman"/>
          <w:sz w:val="18"/>
          <w:szCs w:val="18"/>
          <w:color w:val="auto"/>
        </w:rPr>
        <w:t>has served as a member of our board of directors and as Lead Independent Director since August 2024. Dr. Roelofs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of Summa Equity AB since July 2019. Dr. Roelofs has also served as Industrial Advisor of Nordic Capital since 2014. Dr. Roelofs has served on the Board of Directors of Olink Holding AB (Nasdaq: OLK), a Swedish publicly limited liability company that trades on the Nasdaq Global Market, since December 2020. From March 2020 to November 2024, Dr. Roelofs has served as chairman of the board of directors of multiple privately-held companies, including Sengenics Corporation Pte Ltd., One BioMed Pte Ltd. and ScaleBio Ltd. Dr. Roelofs also serves as a member of the board of directors of multiple privately-held companies, including Velsera, Inc. and LGC Group. Dr. Roelofs previously served as the President of the Life Sciences Group at Agilent Technologies, Group Operations Officer for the Life Sciences Division of Bio-Rad Inc., and Chief Operating Officer of Stratagene Inc. Dr. Roelofs received his Bachelor of Science in chemistry, biology, and German from Simpson College, his Master of Science in organic chemistry from Iowa State University, and his doctorate in organic chemistry from University of Nevada, Reno.</w:t>
      </w:r>
    </w:p>
    <w:p>
      <w:pPr>
        <w:spacing w:after="0" w:line="13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believe Dr. Roelofs is qualified to serve on our board of directors due to his extensive business experience of company operations in the life science sector, extensive scientific knowledge, and experience serving on public company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as of March 31, 2025. Officers are elected by our board of directors to hold office until their successors are elected and qualified.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Age</w:t>
            </w:r>
          </w:p>
        </w:tc>
        <w:tc>
          <w:tcPr>
            <w:tcW w:w="7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1440" w:type="dxa"/>
            <w:vAlign w:val="bottom"/>
            <w:shd w:val="clear" w:color="auto" w:fill="CFF0FC"/>
          </w:tcPr>
          <w:p>
            <w:pPr>
              <w:jc w:val="center"/>
              <w:ind w:left="536"/>
              <w:spacing w:after="0"/>
              <w:rPr>
                <w:sz w:val="20"/>
                <w:szCs w:val="20"/>
                <w:color w:val="auto"/>
              </w:rPr>
            </w:pPr>
            <w:r>
              <w:rPr>
                <w:rFonts w:ascii="Times New Roman" w:cs="Times New Roman" w:eastAsia="Times New Roman" w:hAnsi="Times New Roman"/>
                <w:sz w:val="18"/>
                <w:szCs w:val="18"/>
                <w:color w:val="auto"/>
                <w:w w:val="99"/>
              </w:rPr>
              <w:t>56</w:t>
            </w:r>
          </w:p>
        </w:tc>
        <w:tc>
          <w:tcPr>
            <w:tcW w:w="72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1440" w:type="dxa"/>
            <w:vAlign w:val="bottom"/>
          </w:tcPr>
          <w:p>
            <w:pPr>
              <w:jc w:val="center"/>
              <w:ind w:left="536"/>
              <w:spacing w:after="0"/>
              <w:rPr>
                <w:sz w:val="20"/>
                <w:szCs w:val="20"/>
                <w:color w:val="auto"/>
              </w:rPr>
            </w:pPr>
            <w:r>
              <w:rPr>
                <w:rFonts w:ascii="Times New Roman" w:cs="Times New Roman" w:eastAsia="Times New Roman" w:hAnsi="Times New Roman"/>
                <w:sz w:val="18"/>
                <w:szCs w:val="18"/>
                <w:color w:val="auto"/>
                <w:w w:val="99"/>
              </w:rPr>
              <w:t>57</w:t>
            </w: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President, Chief Financial Officer and Treasurer</w:t>
            </w: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biography of Omid Farokhzad, M.D., please see “Board of Directors and Corporate Governance.”</w:t>
      </w:r>
    </w:p>
    <w:p>
      <w:pPr>
        <w:spacing w:after="0" w:line="16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Horn </w:t>
      </w:r>
      <w:r>
        <w:rPr>
          <w:rFonts w:ascii="Times New Roman" w:cs="Times New Roman" w:eastAsia="Times New Roman" w:hAnsi="Times New Roman"/>
          <w:sz w:val="18"/>
          <w:szCs w:val="18"/>
          <w:color w:val="auto"/>
        </w:rPr>
        <w:t>has served as our Chief Financial Officer and Treasurer since May 2020 and became President in November 2023. Prior to joining us,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Horn was with Morgan Stanley, an investment bank 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listing standards of Nasdaq, independent directors must comprise a majority of a listed company’s board of directors within one year of the completion of our initial public offering. In addition, the listing standards of Nasdaq require that, subject to specified exceptions, each member of a listed company’s audit, talent and compensation and corporate governance and nominating committees be independent. Audit committee members and talent and compensation committee members must also satisfy the independence criteria set forth in Rule 10A-3 and Rule 10C-1, respectively, under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listing standards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listing standards of Nasdaq, the board of directors must affirmatively determine that each member of the talent and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talent and compensation committee member, including: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each of Meeta Gulyani, David Hallal, Terrance McGuire, Dipchand (Deep) Nishar and Nicolas Roelofs, Ph.D., representing five of our seven directors, does not have a relationship that would interfere with the exercise of independent judgment in carrying out the responsibilities of a director and that each of these directors is “independent” as that term is defined under the listing standards of Nasdaq. In addition, our board of directors has determined that all members of our audit, talent and compensation and corporate governance and nominating committees satisfy the independence standards for committee members established by applicable SEC rules and regulations and the listing standards of Nasdaq. Additionally, former director Rachel Haurwitz, Ph.D., who served on the board until July 2024, was independent during the period she served on our board of directors.</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and Other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board of directors has appointed Nicolas Roelofs, Ph.D. to serve as our Lead Independent Director beginning August 13, 2024. Prior to Dr. Roelofs’ appointment, Mr. Hallal served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Dr. Roelofs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talent and compensation committee, a corporate governance and nominating committee, and a science and technology committee. The composition, responsibilities and the number of meetings held during 2024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audit committee consists of Meeta Gulyani, David Hallal and Terrance McGuire, with Ms. Gulyani serving as Chair. Our former director, Rachel Haurwitz, Ph.D., also served on our audit committee until July 2024. Our board of directors has determined that each of the members of our audit committee, as well as Dr. Haurwitz at the time she was serving on our audit committee, satisfies the independence requirements under the listing standards of Nasdaq and Rule 10A-3 of the Exchange Act. Our board of directors has determined that Mr. Hallal is an “audit committee financial expert” within the meaning of SEC rules and regulations. Each member of our audit committee can read and understand fundamental financial statements in accordance with applicable requirements. In arriving at these determinations, our board of directors examined each audit committee member’s scope of experience and the nature of their employment in the corporate finance sector.</w:t>
      </w:r>
    </w:p>
    <w:p>
      <w:pPr>
        <w:spacing w:after="0" w:line="13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our board of directors in monitoring our financial systems. Our audit committee is also responsible for, among other things:</w:t>
      </w:r>
    </w:p>
    <w:p>
      <w:pPr>
        <w:spacing w:after="0" w:line="108" w:lineRule="exact"/>
        <w:rPr>
          <w:sz w:val="20"/>
          <w:szCs w:val="20"/>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the independent registered public accounting firm to audit our financial statements;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audit and non-audit services and fees;</w:t>
      </w:r>
    </w:p>
    <w:p>
      <w:pPr>
        <w:spacing w:after="0" w:line="117"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to be included in our annual proxy statement;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and communications from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controls and disclosure controls and procedures;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conflicts of interest situations, and approving or prohibiting any involvement in matters that may involve a conflict of interest or taking of a corporate opportunity;</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 and</w:t>
      </w:r>
    </w:p>
    <w:p>
      <w:pPr>
        <w:spacing w:after="0" w:line="117"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accounting related complaints and the confidential submission by our employees of concerns regarding questionable accounting or auditing matters.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and regulations of the SEC and the listing standards of Nasdaq. A copy of the charter for our audit committee is available on our investor relations website at investor.seer.bio. In 2024, our audit committee held four meetings and acted by unanimous written consent once.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and Compensation Committee</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consists of David Hallal, Terrance McGuire and Nicolas Roelofs, Ph.D, with Mr. McGuire serving as Chair. Our former director, Rachel Haurwitz, Ph.D., also served on our talent and compensation committee until July 2024. Our board of directors has determined that each of the members of our talent and compensation committee, as well as Dr. Haurwitz at the time she was serving on our talent and compensation committee, is independent under the listing standards of Nasdaq and a “non-employee director” as defined in Rule 16b-3 under the Exchange Act.</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talent and compensation committee oversees our compensation policies, plans, and benefits programs. The compensation committee is also responsible for, among other things:</w:t>
      </w:r>
    </w:p>
    <w:p>
      <w:pPr>
        <w:spacing w:after="0" w:line="54"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overall compensation philosophy and compensation policies, plans and benefit programs;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of directors for approval, the compensation of our executive officers and directors;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talent and compensation committee report that the SEC requires to be included in our annual proxy statement, if any;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talent and compensation committee operates under a written charter that satisfies the applicable rules and regulations of the SEC and the listing standards of Nasdaq. A copy of the charter for our talent and compensation committee is available on our investor relations website at investor.seer.bio. In 2024, our talent and compensation committee held five meetings and acted by unanimous written consent two times.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corporate governance and nominating committee consists of David Hallal, Dipchand (Deep) Nishar and Nicolas Roelofs, Ph.D., with Dr. Roelofs serving as Chair. Our board of directors has determined that each of the members of our corporate governance and nominating committee is independent under the listing standards of Nasdaq.</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corporate governance and nominating committee oversees and assists our board of directors in reviewing and recommending nominees for election as directors. The corporate governance and nominating committee is also responsible for, among other things:</w:t>
      </w:r>
    </w:p>
    <w:p>
      <w:pPr>
        <w:spacing w:after="0" w:line="54" w:lineRule="exact"/>
        <w:rPr>
          <w:sz w:val="20"/>
          <w:szCs w:val="20"/>
          <w:color w:val="auto"/>
        </w:rPr>
      </w:pPr>
    </w:p>
    <w:p>
      <w:pPr>
        <w:ind w:left="1140" w:right="28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making recommendations to our board of directors regarding nominees for election to our board of directors and its committees;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corporate governance and nominating committee operates under a written charter that satisfies the listing standards of Nasdaq. A copy of the charter for our corporate governance and nominating committee is available on our investor relations website at investor.seer.bio. In 2024, our corporate governance and nominating committee held three meetings and acted by unanimous written consent once.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Science and Technology Committee</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April 2021, our board of directors formed our science and technology committee. Our science and technology committee consists of Robert Langer, Sc.D., Dipchand (Deep) Nishar and Nicolas Roelofs, Ph.D., with Dr. Langer serving as Chair. Our science and technology committee oversees and assists our board of directors in its oversight of our scientific and technological strategies and research and development plans and goals. In 2024, our science and technology committee held one meeting. The science and technology committee is also responsible for, among other things:</w:t>
      </w:r>
    </w:p>
    <w:p>
      <w:pPr>
        <w:spacing w:after="0" w:line="72" w:lineRule="exact"/>
        <w:rPr>
          <w:sz w:val="20"/>
          <w:szCs w:val="20"/>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performance relating to our research and development plans and goals;</w:t>
      </w:r>
    </w:p>
    <w:p>
      <w:pPr>
        <w:spacing w:after="0" w:line="117" w:lineRule="exact"/>
        <w:rPr>
          <w:rFonts w:ascii="Times New Roman" w:cs="Times New Roman" w:eastAsia="Times New Roman" w:hAnsi="Times New Roman"/>
          <w:sz w:val="18"/>
          <w:szCs w:val="18"/>
          <w:color w:val="auto"/>
        </w:rPr>
      </w:pPr>
    </w:p>
    <w:p>
      <w:pPr>
        <w:ind w:left="1140" w:right="72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scientific and technological strategies and research and development plans, and goals, including the competitive environment;</w:t>
      </w:r>
    </w:p>
    <w:p>
      <w:pPr>
        <w:spacing w:after="0" w:line="53"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discussing significant emerging science and technology issues and trends, including their potential impact on our scientific and technological strategies and research and development plans and goals;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periodic review of our intellectual property portfolio and strategy, including our overall competitiveness.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Board and Stockholder Meetings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our fiscal year ended December 31, 2024, our board of directors held five meetings (including regularly scheduled and special meetings) and acted by unanimous written consent four times,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annual meetings of stockholders, we strongly encourage, but do not require, our directors to attend. Three members of our Board attended our annual meeting of stockholders in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and Compensation Committee Interlocks and Insider Participation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2024, David Hallal, Rachel Haurwitz, Ph.D., who served on the board until July 2024, and Terrance McGuire served on our talent and compensation committee. In February 2025, Nicolas Roelofs, Ph.D. was added to the talent and compensation committee. None of the members of our talent and compensation committee is currently, or has been at any time, one of our officers or employees. None of our executive officers currently serves, or has served during the past fiscal year, as a member of the board of directors or the talent and compensation committee (or other board committee performing equivalent functions or, in the absence of any such committee, the entire board of directors) of any entity that has one or more of its executive officers serving as a member of our board of directors or our talent compensation committee.</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governance and nominating committee will consider director candidates recommended by stockholders holding continuously (i) at least</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$2,000 in market value of the outstanding shares of our common stock for at least three years prior to the date of the submission of the recommendation or nomination, (ii) at least $15,000 in market value of the outstanding shares of our common stock for at least two years prior to the date of the submission of the recommendation or nomination, or (iii) at least $25,000 in market value of the outstanding shares of our common stock for at least one year prior to the date of the submission of the recommendation or nomination, so long as such recommendations or nominations comply with our amended and restated certificate of incorporation, amended and restated bylaws, and applicable laws, rules and regulations, including those promulgated by the SEC. Our corporate governance and nominating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President and Chief Financial Officer in writing.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Such recommendations must include information about the candidate, a statement of support of the candidate by the recommending stockholder, evidence of the recommending stockholder’s ownership of our capital stock, a signed letter from the candidate confirming willingness to serve on our board of directors, information regarding any relationships between us and the candidate and any additional information required by our amended and restated bylaws.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governance and nominating committee has discretion to decide which individuals to recommend for nomination as directors.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our amended and restated bylaws, stockholders may also directly nominate persons for election to our board of directors. Any nomination must comply with the requirements set forth in our amended and restated bylaws and should be sent in writing to our President and Chief Financial Officer at Seer, Inc., 3800 Bridge Parkway, Suite 102, Redwood City, California 94065. To be timely for an annual meeting of stockholders, nominations must be received by our President and Chief Financial Officer not later than the 45th day nor earlier than the 75th day before the one-year anniversary of the date on which we first mailed our proxy materials or a notice of availability of proxy materials (whichever is earlier) for the preceding year’s annual meeting. In the event that no annual meeting was held in the previous year or if the date of the annual meeting is advanced by more than 25 days from the one-year anniversary of the date of the previous year’s annual meeting, then notice by the stockholder to be timely must be so received by our President and Chief Financial Officer not earlier than the close of business on the 120th day prior to such annual meeting and not later than the close of business on the later of</w:t>
      </w:r>
    </w:p>
    <w:p>
      <w:pPr>
        <w:spacing w:after="0" w:line="1" w:lineRule="exact"/>
        <w:rPr>
          <w:sz w:val="20"/>
          <w:szCs w:val="20"/>
          <w:color w:val="auto"/>
        </w:rPr>
      </w:pPr>
    </w:p>
    <w:p>
      <w:pPr>
        <w:ind w:right="220" w:firstLine="8"/>
        <w:spacing w:after="0" w:line="260"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such annual meeting and (ii) the 10th day following the day on which public announcement of the date of such annual meeting is first made.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Interested parties wishing to communicate with non-management members of our board of directors may do so by writing and mailing the correspondence to our President and Chief Financial Officer at Seer, Inc., 3800 Bridge Parkway, Suite 102, Redwood City, California 94065. Our President and Chief Financial Officer monitors these communications and will provide a summary of all received bona fide messages to our board of directors at each regularly scheduled meeting of our board of directors. Where the nature of a communication warrants, our President and Chief Financial Officer may determine, in his or her judgment, to obtain the more immediate attention of the appropriate committee of the board of directors or non-management director, of independent advisors or of our management.</w:t>
      </w:r>
    </w:p>
    <w:p>
      <w:pPr>
        <w:spacing w:after="0" w:line="13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President and Chief Financial Officer, and other executive and senior financial officers. The full text of our Corporate Governance Guidelines and our Code of Business Conduct and Ethics is posted on our investor relations website at investor.seer.bio. We will post any amendments to our Code of Business Conduct and Ethics and any waivers of our Code of Business Conduct and Ethics for directors and executive officers on the same website or in filings under the Exchange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Our talent and compensation committee is responsible for overseeing the management of risks relating to our executive compensation plans and arrangements. Our audit committee is responsible for overseeing the company’s significant business risks, including risks relating to accounting matters and financial reporting, potential conflicts of interest, and cybersecurity. The audit committee oversees management’s implementation of the cybersecurity risk management program and reports to the board of directors regarding its activities related to cybersecurity. The board of directors also receives periodic briefings from the audit committee on our cybersecurity risk management program. Our corporate governance and nominating committee is responsible for overseeing the management of risks associated with the independence of our board of directors. Although each committee is responsible for evaluating certain risks and overseeing the management of such risks, our entire board of directors is regularly informed through discussions from committee members about such risks. Our board of directors believes its current leadership structure supports the risk oversight function of the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our board of directors adopted, and our stockholders approved, a compensation policy for our non-employee directors, which has since been amended from time to time, including most recently on February 26, 2025, and prior to that on February 28, 2024. This policy was initially developed, and has generally been reviewed annually and updated periodically with input from our talent and compensation committee’s independent compensation consultant, Aon’s Human Capital Solutions practice, a division of Aon plc (Aon, formerly Radford), regarding practices and compensation levels at comparable companies. It is designed to attract, retain and reward non-employee directors.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outside director compensation policy, each non-employee director receives the cash and equity compensation for his or her services as a member of our board of directors, as described below. We also reimburse our non-employee directors for reasonable, customary and documented travel expenses to meetings of our board of directors or its committees.</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director compensation policy and our 2020 Equity Incentive Plan (the 2020 Plan) includes a maximum annual limit of $750,000 or, in the first year of a non-employee director’s service on our board of directors as a non-employee director, $1,000,000, of equity awards granted and other compensation provided to a non-employee director in any fiscal year. For purposes of these limitations, the value of an equity award is based on its grant date fair value (determined in accordance with generally accepted accounting principles, or GAAP). Any equity awards granted or other compensation provided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outside director compensation policy provides for the following cash compensation program for our non-employee directors:</w:t>
      </w:r>
    </w:p>
    <w:p>
      <w:pPr>
        <w:spacing w:after="0" w:line="117"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$42,500 per year for service as a non-employee director;</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per year for service as lead independent director;</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audit committee;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the audit committee;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 of the talent and compensation committee;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 member of the talent and compensation committee;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corporate governance and nominating committee;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corporate governance and nominating committee;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science and technology committee;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science and technology committee.</w:t>
      </w:r>
    </w:p>
    <w:p>
      <w:pPr>
        <w:spacing w:after="0" w:line="17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Each non-employee director who serves as a committee Chair receives only the additional annual cash fee as the Chair of the committee, and not the additional annual fee as a member of the committee. All cash payments to non-employee directors are paid quarterly in arrears on a prorated basis. The annual retainer fee for service on our board of directors for fiscal 2024 was increased from $40,000 to $42,500, under our outside director compensation policy as amended on February 28,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Initial Awards</w:t>
      </w:r>
    </w:p>
    <w:p>
      <w:pPr>
        <w:spacing w:after="0" w:line="1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person who first becomes a non-employee director will receive, on the first trading day on or after the date that the person first becomes a non-employee director, certain initial equity awards (collectively, the Initial Award), pursuant to our outside director compensation policy:</w:t>
      </w:r>
    </w:p>
    <w:p>
      <w:pPr>
        <w:spacing w:after="0" w:line="108" w:lineRule="exact"/>
        <w:rPr>
          <w:sz w:val="20"/>
          <w:szCs w:val="20"/>
          <w:color w:val="auto"/>
        </w:rPr>
      </w:pPr>
    </w:p>
    <w:p>
      <w:pPr>
        <w:ind w:left="380" w:right="6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 on February 26, 2025, of stock options to purchase 61,000 shares of our common stock and restricted stock units covering 41,000 shares of our common stock; or</w:t>
      </w:r>
    </w:p>
    <w:p>
      <w:pPr>
        <w:spacing w:after="0" w:line="107"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 on February 28, 2024 (and until amended on February 26, 2025), of stock options to purchase 69,470 shares of our common stock and restricted stock units covering 46,886 shares of our common stock.</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Initial Award vests in three equal annual installments following the director's start date, on the same day of the month as the start date, subject to continued services to us through the applicable vesting dates.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person was a member of our board of directors and also an employee, then becoming a non-employee director due to termination of employment will not entitle the person to an Initial Award.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Awards</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Each non-employee director automatically will receive, on the date of each annual meeting of our stockholders (an Annual Meeting), certain annual award or awards (collectively, the Annual Award), pursuant to our outside director compensation policy:</w:t>
      </w:r>
    </w:p>
    <w:p>
      <w:pPr>
        <w:spacing w:after="0" w:line="162" w:lineRule="exact"/>
        <w:rPr>
          <w:sz w:val="20"/>
          <w:szCs w:val="20"/>
          <w:color w:val="auto"/>
        </w:rPr>
      </w:pPr>
    </w:p>
    <w:p>
      <w:pPr>
        <w:ind w:left="380" w:right="16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 on February 26, 2025, of stock options to purchase 30,500 shares of our common stock (the Annual Option Award) and restricted stock units covering 20,500 shares of our common stock (the Annual RSU Award); or</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 on February 28, 2024 (and until amended on February 26, 2025), of restricted stock units covering 58,178 shares of our common stock.</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each of the above versions of our outside director compensation policy, if an individual began service as a non-employee director after the date of the Annual Meeting that occurred immediately prior to such Annual Meeting,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our change in control, as defined in our 2020 Equity Incentive Plan, each non-employee director’s then outstanding equity awards covering shares of our common stock that were granted to him or her while a non-employee director will accelerate vesting in full, provided that he or she remains a non-employee director through the date of our change in control.</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Other Award Terms.</w:t>
      </w:r>
      <w:r>
        <w:rPr>
          <w:rFonts w:ascii="Times New Roman" w:cs="Times New Roman" w:eastAsia="Times New Roman" w:hAnsi="Times New Roman"/>
          <w:sz w:val="18"/>
          <w:szCs w:val="18"/>
          <w:color w:val="auto"/>
        </w:rPr>
        <w:t xml:space="preserve"> Each Initial Award and Annual Award will be granted under our 2020 Equity Incentive Plan (or its successor plan, as applicable) and cover shares of our Class A common stock, and are subject to the terms and conditions of such plan and form of award agreement thereunder. These awards will have a maximum term to expiration of ten years from their grant and a per share exercise price equal to 100% of the fair market value of a share of our common stock on the award’s grant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for Fiscal Year 2024</w:t>
      </w:r>
    </w:p>
    <w:p>
      <w:pPr>
        <w:spacing w:after="0" w:line="17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Directors who are also our employees receive no additional compensation for their service as directors. Omid Farokhzad, M.D., our Chief Executive Officer, was an employee director during 2024. See the section titled “Executive Compensation” for additional information about Dr. Farokhzad’s compensation.</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total compensation each of our non-employee directors received during the year ended December 31, 2024. Other than as set forth in the table, we did not pay any compensation, make any equity awards or non-equity awards to or pay any other compensation to any of our non-employee directors in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4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Stock Awards ($)</w:t>
            </w:r>
          </w:p>
        </w:tc>
        <w:tc>
          <w:tcPr>
            <w:tcW w:w="13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3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60" w:type="dxa"/>
            <w:vAlign w:val="bottom"/>
          </w:tcPr>
          <w:p>
            <w:pPr>
              <w:spacing w:after="0"/>
              <w:rPr>
                <w:sz w:val="16"/>
                <w:szCs w:val="16"/>
                <w:color w:val="auto"/>
              </w:rPr>
            </w:pPr>
          </w:p>
        </w:tc>
        <w:tc>
          <w:tcPr>
            <w:tcW w:w="12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35"/>
        </w:trPr>
        <w:tc>
          <w:tcPr>
            <w:tcW w:w="3020" w:type="dxa"/>
            <w:vAlign w:val="bottom"/>
            <w:vMerge w:val="continue"/>
          </w:tcPr>
          <w:p>
            <w:pPr>
              <w:spacing w:after="0"/>
              <w:rPr>
                <w:sz w:val="11"/>
                <w:szCs w:val="11"/>
                <w:color w:val="auto"/>
              </w:rPr>
            </w:pPr>
          </w:p>
        </w:tc>
        <w:tc>
          <w:tcPr>
            <w:tcW w:w="2400" w:type="dxa"/>
            <w:vAlign w:val="bottom"/>
          </w:tcPr>
          <w:p>
            <w:pPr>
              <w:jc w:val="right"/>
              <w:ind w:right="154"/>
              <w:spacing w:after="0" w:line="135" w:lineRule="exact"/>
              <w:rPr>
                <w:sz w:val="20"/>
                <w:szCs w:val="20"/>
                <w:color w:val="auto"/>
              </w:rPr>
            </w:pPr>
            <w:r>
              <w:rPr>
                <w:rFonts w:ascii="Times New Roman" w:cs="Times New Roman" w:eastAsia="Times New Roman" w:hAnsi="Times New Roman"/>
                <w:sz w:val="14"/>
                <w:szCs w:val="14"/>
                <w:b w:val="1"/>
                <w:bCs w:val="1"/>
                <w:color w:val="auto"/>
              </w:rPr>
              <w:t>Paid in Cash ($)</w:t>
            </w:r>
          </w:p>
        </w:tc>
        <w:tc>
          <w:tcPr>
            <w:tcW w:w="1440" w:type="dxa"/>
            <w:vAlign w:val="bottom"/>
          </w:tcPr>
          <w:p>
            <w:pPr>
              <w:jc w:val="right"/>
              <w:ind w:right="617"/>
              <w:spacing w:after="0"/>
              <w:rPr>
                <w:sz w:val="20"/>
                <w:szCs w:val="20"/>
                <w:color w:val="auto"/>
              </w:rPr>
            </w:pPr>
            <w:r>
              <w:rPr>
                <w:rFonts w:ascii="Times New Roman" w:cs="Times New Roman" w:eastAsia="Times New Roman" w:hAnsi="Times New Roman"/>
                <w:sz w:val="10"/>
                <w:szCs w:val="10"/>
                <w:b w:val="1"/>
                <w:bCs w:val="1"/>
                <w:color w:val="auto"/>
              </w:rPr>
              <w:t>(1)</w:t>
            </w:r>
          </w:p>
        </w:tc>
        <w:tc>
          <w:tcPr>
            <w:tcW w:w="1360" w:type="dxa"/>
            <w:vAlign w:val="bottom"/>
          </w:tcPr>
          <w:p>
            <w:pPr>
              <w:jc w:val="right"/>
              <w:ind w:right="496"/>
              <w:spacing w:after="0" w:line="135"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5"/>
                <w:szCs w:val="15"/>
                <w:b w:val="1"/>
                <w:bCs w:val="1"/>
                <w:color w:val="auto"/>
                <w:vertAlign w:val="superscript"/>
              </w:rPr>
              <w:t>(1)</w:t>
            </w:r>
          </w:p>
        </w:tc>
        <w:tc>
          <w:tcPr>
            <w:tcW w:w="1360" w:type="dxa"/>
            <w:vAlign w:val="bottom"/>
          </w:tcPr>
          <w:p>
            <w:pPr>
              <w:jc w:val="right"/>
              <w:ind w:right="34"/>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4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Hallal</w:t>
            </w:r>
          </w:p>
        </w:tc>
        <w:tc>
          <w:tcPr>
            <w:tcW w:w="24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79,158</w:t>
            </w: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108,793</w:t>
            </w:r>
          </w:p>
        </w:tc>
        <w:tc>
          <w:tcPr>
            <w:tcW w:w="1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187,951</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Robert Langer, Sc.D.</w:t>
            </w:r>
          </w:p>
        </w:tc>
        <w:tc>
          <w:tcPr>
            <w:tcW w:w="24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52,500</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108,793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6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236,293</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24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67,500</w:t>
            </w: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108,793</w:t>
            </w:r>
          </w:p>
        </w:tc>
        <w:tc>
          <w:tcPr>
            <w:tcW w:w="1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176,293</w:t>
            </w:r>
          </w:p>
        </w:tc>
        <w:tc>
          <w:tcPr>
            <w:tcW w:w="0" w:type="dxa"/>
            <w:vAlign w:val="bottom"/>
          </w:tcPr>
          <w:p>
            <w:pPr>
              <w:spacing w:after="0"/>
              <w:rPr>
                <w:sz w:val="1"/>
                <w:szCs w:val="1"/>
                <w:color w:val="auto"/>
              </w:rPr>
            </w:pPr>
          </w:p>
        </w:tc>
      </w:tr>
      <w:tr>
        <w:trPr>
          <w:trHeight w:val="216"/>
        </w:trPr>
        <w:tc>
          <w:tcPr>
            <w:tcW w:w="3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Rachel Haurwitz, Ph.D.</w:t>
            </w:r>
            <w:r>
              <w:rPr>
                <w:rFonts w:ascii="Times New Roman" w:cs="Times New Roman" w:eastAsia="Times New Roman" w:hAnsi="Times New Roman"/>
                <w:sz w:val="24"/>
                <w:szCs w:val="24"/>
                <w:color w:val="auto"/>
                <w:vertAlign w:val="superscript"/>
              </w:rPr>
              <w:t>(3)</w:t>
            </w:r>
          </w:p>
        </w:tc>
        <w:tc>
          <w:tcPr>
            <w:tcW w:w="24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33,913</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108,793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142,706</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Meeta Gulyani</w:t>
            </w:r>
          </w:p>
        </w:tc>
        <w:tc>
          <w:tcPr>
            <w:tcW w:w="24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72,500</w:t>
            </w: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108,793</w:t>
            </w:r>
          </w:p>
        </w:tc>
        <w:tc>
          <w:tcPr>
            <w:tcW w:w="1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181,293</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Dipchand (Deep) Nishar</w:t>
            </w:r>
          </w:p>
        </w:tc>
        <w:tc>
          <w:tcPr>
            <w:tcW w:w="24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52,500</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108,793</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161,293</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Nicolas Roelofs, Ph.D.</w:t>
            </w:r>
            <w:r>
              <w:rPr>
                <w:rFonts w:ascii="Times New Roman" w:cs="Times New Roman" w:eastAsia="Times New Roman" w:hAnsi="Times New Roman"/>
                <w:sz w:val="24"/>
                <w:szCs w:val="24"/>
                <w:color w:val="auto"/>
                <w:vertAlign w:val="superscript"/>
              </w:rPr>
              <w:t>(4)</w:t>
            </w:r>
          </w:p>
        </w:tc>
        <w:tc>
          <w:tcPr>
            <w:tcW w:w="24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30,577</w:t>
            </w:r>
          </w:p>
        </w:tc>
        <w:tc>
          <w:tcPr>
            <w:tcW w:w="1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79,706</w:t>
            </w:r>
          </w:p>
        </w:tc>
        <w:tc>
          <w:tcPr>
            <w:tcW w:w="1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85,809</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196,092</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00" w:right="140" w:hanging="292"/>
        <w:spacing w:after="0" w:line="275" w:lineRule="auto"/>
        <w:tabs>
          <w:tab w:leader="none" w:pos="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in this column represents the aggregate grant-date fair value of the award as computed as of the grant date of each option awarded in fiscal 2024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3, 2025.</w:t>
      </w:r>
    </w:p>
    <w:p>
      <w:pPr>
        <w:spacing w:after="0" w:line="74"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fixed annual consulting fee arrangement for Dr. Langer’s service on our Scientific Advisory Board in 2024.</w:t>
      </w:r>
    </w:p>
    <w:p>
      <w:pPr>
        <w:spacing w:after="0" w:line="126"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Haurwitz resigned from our board of directors in July 2024.</w:t>
      </w:r>
    </w:p>
    <w:p>
      <w:pPr>
        <w:spacing w:after="0" w:line="126"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Roelofs joined our board of directors in August 2024.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non-employee directors as of December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4"/>
          </w:tcPr>
          <w:p>
            <w:pPr>
              <w:jc w:val="right"/>
              <w:ind w:right="897"/>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80" w:type="dxa"/>
            <w:vAlign w:val="bottom"/>
            <w:gridSpan w:val="6"/>
          </w:tcPr>
          <w:p>
            <w:pPr>
              <w:ind w:left="9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gridSpan w:val="2"/>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Number of Securities</w:t>
            </w:r>
          </w:p>
        </w:tc>
        <w:tc>
          <w:tcPr>
            <w:tcW w:w="1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 of Shares</w:t>
            </w: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Market Value of</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jc w:val="center"/>
              <w:ind w:lef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Units of Stock</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 of</w:t>
            </w:r>
          </w:p>
        </w:tc>
        <w:tc>
          <w:tcPr>
            <w:tcW w:w="0" w:type="dxa"/>
            <w:vAlign w:val="bottom"/>
          </w:tcPr>
          <w:p>
            <w:pPr>
              <w:spacing w:after="0"/>
              <w:rPr>
                <w:sz w:val="1"/>
                <w:szCs w:val="1"/>
                <w:color w:val="auto"/>
              </w:rPr>
            </w:pPr>
          </w:p>
        </w:tc>
      </w:tr>
      <w:tr>
        <w:trPr>
          <w:trHeight w:val="128"/>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4"/>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20" w:type="dxa"/>
            <w:vAlign w:val="bottom"/>
          </w:tcPr>
          <w:p>
            <w:pPr>
              <w:spacing w:after="0"/>
              <w:rPr>
                <w:sz w:val="11"/>
                <w:szCs w:val="11"/>
                <w:color w:val="auto"/>
              </w:rPr>
            </w:pPr>
          </w:p>
        </w:tc>
        <w:tc>
          <w:tcPr>
            <w:tcW w:w="12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 Options</w:t>
            </w:r>
          </w:p>
        </w:tc>
        <w:tc>
          <w:tcPr>
            <w:tcW w:w="120" w:type="dxa"/>
            <w:vAlign w:val="bottom"/>
          </w:tcPr>
          <w:p>
            <w:pPr>
              <w:spacing w:after="0"/>
              <w:rPr>
                <w:sz w:val="11"/>
                <w:szCs w:val="11"/>
                <w:color w:val="auto"/>
              </w:rPr>
            </w:pPr>
          </w:p>
        </w:tc>
        <w:tc>
          <w:tcPr>
            <w:tcW w:w="1040" w:type="dxa"/>
            <w:vAlign w:val="bottom"/>
          </w:tcPr>
          <w:p>
            <w:pPr>
              <w:jc w:val="right"/>
              <w:ind w:right="57"/>
              <w:spacing w:after="0" w:line="128" w:lineRule="exact"/>
              <w:rPr>
                <w:sz w:val="20"/>
                <w:szCs w:val="20"/>
                <w:color w:val="auto"/>
              </w:rPr>
            </w:pPr>
            <w:r>
              <w:rPr>
                <w:rFonts w:ascii="Times New Roman" w:cs="Times New Roman" w:eastAsia="Times New Roman" w:hAnsi="Times New Roman"/>
                <w:sz w:val="13"/>
                <w:szCs w:val="13"/>
                <w:b w:val="1"/>
                <w:bCs w:val="1"/>
                <w:color w:val="auto"/>
              </w:rPr>
              <w:t>Option Exercise</w:t>
            </w:r>
          </w:p>
        </w:tc>
        <w:tc>
          <w:tcPr>
            <w:tcW w:w="220" w:type="dxa"/>
            <w:vAlign w:val="bottom"/>
          </w:tcPr>
          <w:p>
            <w:pPr>
              <w:spacing w:after="0"/>
              <w:rPr>
                <w:sz w:val="11"/>
                <w:szCs w:val="11"/>
                <w:color w:val="auto"/>
              </w:rPr>
            </w:pPr>
          </w:p>
        </w:tc>
        <w:tc>
          <w:tcPr>
            <w:tcW w:w="10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3"/>
              </w:rPr>
              <w:t>Option Expiration</w:t>
            </w:r>
          </w:p>
        </w:tc>
        <w:tc>
          <w:tcPr>
            <w:tcW w:w="200" w:type="dxa"/>
            <w:vAlign w:val="bottom"/>
          </w:tcPr>
          <w:p>
            <w:pPr>
              <w:spacing w:after="0"/>
              <w:rPr>
                <w:sz w:val="11"/>
                <w:szCs w:val="11"/>
                <w:color w:val="auto"/>
              </w:rPr>
            </w:pPr>
          </w:p>
        </w:tc>
        <w:tc>
          <w:tcPr>
            <w:tcW w:w="11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 That Have</w:t>
            </w:r>
          </w:p>
        </w:tc>
        <w:tc>
          <w:tcPr>
            <w:tcW w:w="0" w:type="dxa"/>
            <w:vAlign w:val="bottom"/>
          </w:tcPr>
          <w:p>
            <w:pPr>
              <w:spacing w:after="0"/>
              <w:rPr>
                <w:sz w:val="1"/>
                <w:szCs w:val="1"/>
                <w:color w:val="auto"/>
              </w:rPr>
            </w:pPr>
          </w:p>
        </w:tc>
      </w:tr>
      <w:tr>
        <w:trPr>
          <w:trHeight w:val="162"/>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Options (#) Exercisable</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7"/>
              </w:rPr>
              <w:t>(#) Unexercisable</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Date</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3"/>
              </w:rPr>
              <w:t>Not Vested ($)</w:t>
            </w:r>
            <w:r>
              <w:rPr>
                <w:rFonts w:ascii="Times New Roman" w:cs="Times New Roman" w:eastAsia="Times New Roman" w:hAnsi="Times New Roman"/>
                <w:sz w:val="16"/>
                <w:szCs w:val="16"/>
                <w:b w:val="1"/>
                <w:bCs w:val="1"/>
                <w:color w:val="auto"/>
                <w:w w:val="93"/>
                <w:vertAlign w:val="superscript"/>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92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David Hallal</w:t>
            </w:r>
          </w:p>
        </w:tc>
        <w:tc>
          <w:tcPr>
            <w:tcW w:w="108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1/28/2020</w:t>
            </w:r>
          </w:p>
        </w:tc>
        <w:tc>
          <w:tcPr>
            <w:tcW w:w="1260" w:type="dxa"/>
            <w:vAlign w:val="bottom"/>
            <w:gridSpan w:val="3"/>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101,886</w:t>
            </w: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9"/>
                <w:szCs w:val="9"/>
                <w:color w:val="auto"/>
              </w:rPr>
            </w:pPr>
          </w:p>
        </w:tc>
        <w:tc>
          <w:tcPr>
            <w:tcW w:w="1120" w:type="dxa"/>
            <w:vAlign w:val="bottom"/>
            <w:shd w:val="clear" w:color="auto" w:fill="CFF0FC"/>
          </w:tcPr>
          <w:p>
            <w:pPr>
              <w:jc w:val="right"/>
              <w:ind w:right="17"/>
              <w:spacing w:after="0" w:line="11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2.70</w:t>
            </w:r>
          </w:p>
        </w:tc>
        <w:tc>
          <w:tcPr>
            <w:tcW w:w="126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1/27/2030</w:t>
            </w:r>
          </w:p>
        </w:tc>
        <w:tc>
          <w:tcPr>
            <w:tcW w:w="200" w:type="dxa"/>
            <w:vAlign w:val="bottom"/>
            <w:shd w:val="clear" w:color="auto" w:fill="CFF0FC"/>
          </w:tcPr>
          <w:p>
            <w:pPr>
              <w:spacing w:after="0"/>
              <w:rPr>
                <w:sz w:val="9"/>
                <w:szCs w:val="9"/>
                <w:color w:val="auto"/>
              </w:rPr>
            </w:pPr>
          </w:p>
        </w:tc>
        <w:tc>
          <w:tcPr>
            <w:tcW w:w="11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120"/>
              <w:spacing w:after="0" w:line="11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0"/>
        </w:trPr>
        <w:tc>
          <w:tcPr>
            <w:tcW w:w="1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7/28/2020</w:t>
            </w:r>
          </w:p>
        </w:tc>
        <w:tc>
          <w:tcPr>
            <w:tcW w:w="1260" w:type="dxa"/>
            <w:vAlign w:val="bottom"/>
            <w:gridSpan w:val="3"/>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51,753</w:t>
            </w: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12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7/27/2030</w:t>
            </w:r>
          </w:p>
        </w:tc>
        <w:tc>
          <w:tcPr>
            <w:tcW w:w="20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60" w:type="dxa"/>
            <w:vAlign w:val="bottom"/>
            <w:gridSpan w:val="3"/>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gridSpan w:val="2"/>
            <w:vMerge w:val="continue"/>
            <w:shd w:val="clear" w:color="auto" w:fill="CFF0FC"/>
          </w:tcPr>
          <w:p>
            <w:pPr>
              <w:spacing w:after="0"/>
              <w:rPr>
                <w:sz w:val="2"/>
                <w:szCs w:val="2"/>
                <w:color w:val="auto"/>
              </w:rPr>
            </w:pPr>
          </w:p>
        </w:tc>
        <w:tc>
          <w:tcPr>
            <w:tcW w:w="126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20" w:type="dxa"/>
            <w:vAlign w:val="bottom"/>
            <w:gridSpan w:val="2"/>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9/11/2020</w:t>
            </w:r>
          </w:p>
        </w:tc>
        <w:tc>
          <w:tcPr>
            <w:tcW w:w="1260" w:type="dxa"/>
            <w:vAlign w:val="bottom"/>
            <w:gridSpan w:val="3"/>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38,422</w:t>
            </w: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(4)</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12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9/10/2030</w:t>
            </w:r>
          </w:p>
        </w:tc>
        <w:tc>
          <w:tcPr>
            <w:tcW w:w="20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60" w:type="dxa"/>
            <w:vAlign w:val="bottom"/>
            <w:gridSpan w:val="3"/>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gridSpan w:val="2"/>
            <w:vMerge w:val="continue"/>
            <w:shd w:val="clear" w:color="auto" w:fill="CFF0FC"/>
          </w:tcPr>
          <w:p>
            <w:pPr>
              <w:spacing w:after="0"/>
              <w:rPr>
                <w:sz w:val="2"/>
                <w:szCs w:val="2"/>
                <w:color w:val="auto"/>
              </w:rPr>
            </w:pPr>
          </w:p>
        </w:tc>
        <w:tc>
          <w:tcPr>
            <w:tcW w:w="126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20" w:type="dxa"/>
            <w:vAlign w:val="bottom"/>
            <w:gridSpan w:val="2"/>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12/3/2020</w:t>
            </w:r>
          </w:p>
        </w:tc>
        <w:tc>
          <w:tcPr>
            <w:tcW w:w="120" w:type="dxa"/>
            <w:vAlign w:val="bottom"/>
            <w:shd w:val="clear" w:color="auto" w:fill="CFF0FC"/>
          </w:tcPr>
          <w:p>
            <w:pPr>
              <w:spacing w:after="0"/>
              <w:rPr>
                <w:sz w:val="9"/>
                <w:szCs w:val="9"/>
                <w:color w:val="auto"/>
              </w:rPr>
            </w:pPr>
          </w:p>
        </w:tc>
        <w:tc>
          <w:tcPr>
            <w:tcW w:w="114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18,691</w:t>
            </w: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w:t>
            </w:r>
          </w:p>
        </w:tc>
        <w:tc>
          <w:tcPr>
            <w:tcW w:w="12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12/2/2030</w:t>
            </w:r>
          </w:p>
        </w:tc>
        <w:tc>
          <w:tcPr>
            <w:tcW w:w="20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gridSpan w:val="2"/>
            <w:vMerge w:val="continue"/>
            <w:shd w:val="clear" w:color="auto" w:fill="CFF0FC"/>
          </w:tcPr>
          <w:p>
            <w:pPr>
              <w:spacing w:after="0"/>
              <w:rPr>
                <w:sz w:val="2"/>
                <w:szCs w:val="2"/>
                <w:color w:val="auto"/>
              </w:rPr>
            </w:pPr>
          </w:p>
        </w:tc>
        <w:tc>
          <w:tcPr>
            <w:tcW w:w="126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20" w:type="dxa"/>
            <w:vAlign w:val="bottom"/>
            <w:gridSpan w:val="2"/>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6/17/2021</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w:t>
            </w: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(6)</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33.74</w:t>
            </w:r>
          </w:p>
        </w:tc>
        <w:tc>
          <w:tcPr>
            <w:tcW w:w="12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6/17/2031</w:t>
            </w:r>
          </w:p>
        </w:tc>
        <w:tc>
          <w:tcPr>
            <w:tcW w:w="20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gridSpan w:val="2"/>
            <w:vMerge w:val="continue"/>
            <w:shd w:val="clear" w:color="auto" w:fill="CFF0FC"/>
          </w:tcPr>
          <w:p>
            <w:pPr>
              <w:spacing w:after="0"/>
              <w:rPr>
                <w:sz w:val="2"/>
                <w:szCs w:val="2"/>
                <w:color w:val="auto"/>
              </w:rPr>
            </w:pPr>
          </w:p>
        </w:tc>
        <w:tc>
          <w:tcPr>
            <w:tcW w:w="126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20" w:type="dxa"/>
            <w:vAlign w:val="bottom"/>
            <w:gridSpan w:val="2"/>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6/15/2022</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29,640</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(7)</w:t>
            </w:r>
          </w:p>
        </w:tc>
        <w:tc>
          <w:tcPr>
            <w:tcW w:w="120" w:type="dxa"/>
            <w:vAlign w:val="bottom"/>
            <w:tcBorders>
              <w:bottom w:val="single" w:sz="8" w:color="CFF0FC"/>
            </w:tcBorders>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ind w:right="17"/>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1160" w:type="dxa"/>
            <w:vAlign w:val="bottom"/>
            <w:tcBorders>
              <w:bottom w:val="single" w:sz="8" w:color="CFF0FC"/>
            </w:tcBorders>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7.33</w:t>
            </w:r>
          </w:p>
        </w:tc>
        <w:tc>
          <w:tcPr>
            <w:tcW w:w="1260" w:type="dxa"/>
            <w:vAlign w:val="bottom"/>
            <w:tcBorders>
              <w:bottom w:val="single" w:sz="8" w:color="CFF0FC"/>
            </w:tcBorders>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6/15/2032</w:t>
            </w:r>
          </w:p>
        </w:tc>
        <w:tc>
          <w:tcPr>
            <w:tcW w:w="200" w:type="dxa"/>
            <w:vAlign w:val="bottom"/>
            <w:tcBorders>
              <w:bottom w:val="single" w:sz="8" w:color="CFF0FC"/>
            </w:tcBorders>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7"/>
        </w:trPr>
        <w:tc>
          <w:tcPr>
            <w:tcW w:w="1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6/14/2023</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34,735</w:t>
            </w:r>
          </w:p>
        </w:tc>
        <w:tc>
          <w:tcPr>
            <w:tcW w:w="120" w:type="dxa"/>
            <w:vAlign w:val="bottom"/>
            <w:shd w:val="clear" w:color="auto" w:fill="CFF0FC"/>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(8)</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6/14/2033</w:t>
            </w:r>
          </w:p>
        </w:tc>
        <w:tc>
          <w:tcPr>
            <w:tcW w:w="20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color w:val="auto"/>
              </w:rPr>
              <w:t>(13</w:t>
            </w:r>
          </w:p>
        </w:tc>
        <w:tc>
          <w:tcPr>
            <w:tcW w:w="100" w:type="dxa"/>
            <w:vAlign w:val="bottom"/>
          </w:tcPr>
          <w:p>
            <w:pPr>
              <w:spacing w:after="0"/>
              <w:rPr>
                <w:sz w:val="9"/>
                <w:szCs w:val="9"/>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4"/>
        </w:trPr>
        <w:tc>
          <w:tcPr>
            <w:tcW w:w="19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6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2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6/12/2024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(9)</w:t>
            </w:r>
          </w:p>
        </w:tc>
        <w:tc>
          <w:tcPr>
            <w:tcW w:w="12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58,178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134,391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920" w:type="dxa"/>
            <w:vAlign w:val="bottom"/>
            <w:vMerge w:val="restart"/>
          </w:tcPr>
          <w:p>
            <w:pPr>
              <w:spacing w:after="0" w:line="117" w:lineRule="exact"/>
              <w:rPr>
                <w:sz w:val="20"/>
                <w:szCs w:val="20"/>
                <w:color w:val="auto"/>
              </w:rPr>
            </w:pPr>
            <w:r>
              <w:rPr>
                <w:rFonts w:ascii="Times New Roman" w:cs="Times New Roman" w:eastAsia="Times New Roman" w:hAnsi="Times New Roman"/>
                <w:sz w:val="13"/>
                <w:szCs w:val="13"/>
                <w:color w:val="auto"/>
              </w:rPr>
              <w:t>Robert Langer, Sc.D.</w:t>
            </w:r>
          </w:p>
        </w:tc>
        <w:tc>
          <w:tcPr>
            <w:tcW w:w="108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3"/>
                <w:szCs w:val="13"/>
                <w:color w:val="auto"/>
              </w:rPr>
              <w:t>5/18/2018</w:t>
            </w:r>
          </w:p>
        </w:tc>
        <w:tc>
          <w:tcPr>
            <w:tcW w:w="1260" w:type="dxa"/>
            <w:vAlign w:val="bottom"/>
            <w:gridSpan w:val="3"/>
            <w:vMerge w:val="restart"/>
          </w:tcPr>
          <w:p>
            <w:pPr>
              <w:jc w:val="right"/>
              <w:spacing w:after="0" w:line="117" w:lineRule="exact"/>
              <w:rPr>
                <w:sz w:val="20"/>
                <w:szCs w:val="20"/>
                <w:color w:val="auto"/>
              </w:rPr>
            </w:pPr>
            <w:r>
              <w:rPr>
                <w:rFonts w:ascii="Times New Roman" w:cs="Times New Roman" w:eastAsia="Times New Roman" w:hAnsi="Times New Roman"/>
                <w:sz w:val="13"/>
                <w:szCs w:val="13"/>
                <w:color w:val="auto"/>
              </w:rPr>
              <w:t>104,048</w:t>
            </w: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vMerge w:val="restart"/>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7"/>
                <w:szCs w:val="7"/>
                <w:color w:val="auto"/>
              </w:rPr>
            </w:pPr>
          </w:p>
        </w:tc>
        <w:tc>
          <w:tcPr>
            <w:tcW w:w="116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3"/>
                <w:szCs w:val="13"/>
                <w:color w:val="auto"/>
              </w:rPr>
              <w:t>0.05</w:t>
            </w:r>
          </w:p>
        </w:tc>
        <w:tc>
          <w:tcPr>
            <w:tcW w:w="1260" w:type="dxa"/>
            <w:vAlign w:val="bottom"/>
            <w:gridSpan w:val="2"/>
            <w:vMerge w:val="restart"/>
          </w:tcPr>
          <w:p>
            <w:pPr>
              <w:jc w:val="right"/>
              <w:spacing w:after="0" w:line="117" w:lineRule="exact"/>
              <w:rPr>
                <w:sz w:val="20"/>
                <w:szCs w:val="20"/>
                <w:color w:val="auto"/>
              </w:rPr>
            </w:pPr>
            <w:r>
              <w:rPr>
                <w:rFonts w:ascii="Times New Roman" w:cs="Times New Roman" w:eastAsia="Times New Roman" w:hAnsi="Times New Roman"/>
                <w:sz w:val="13"/>
                <w:szCs w:val="13"/>
                <w:color w:val="auto"/>
              </w:rPr>
              <w:t>5/17/2028</w:t>
            </w:r>
          </w:p>
        </w:tc>
        <w:tc>
          <w:tcPr>
            <w:tcW w:w="200" w:type="dxa"/>
            <w:vAlign w:val="bottom"/>
          </w:tcPr>
          <w:p>
            <w:pPr>
              <w:spacing w:after="0"/>
              <w:rPr>
                <w:sz w:val="7"/>
                <w:szCs w:val="7"/>
                <w:color w:val="auto"/>
              </w:rPr>
            </w:pPr>
          </w:p>
        </w:tc>
        <w:tc>
          <w:tcPr>
            <w:tcW w:w="1120" w:type="dxa"/>
            <w:vAlign w:val="bottom"/>
            <w:vMerge w:val="restart"/>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tcPr>
          <w:p>
            <w:pPr>
              <w:spacing w:after="0"/>
              <w:rPr>
                <w:sz w:val="9"/>
                <w:szCs w:val="9"/>
                <w:color w:val="auto"/>
              </w:rPr>
            </w:pPr>
          </w:p>
        </w:tc>
        <w:tc>
          <w:tcPr>
            <w:tcW w:w="108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1/28/2020</w:t>
            </w:r>
          </w:p>
        </w:tc>
        <w:tc>
          <w:tcPr>
            <w:tcW w:w="126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101,886</w:t>
            </w:r>
          </w:p>
        </w:tc>
        <w:tc>
          <w:tcPr>
            <w:tcW w:w="1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11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12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1/27/2030</w:t>
            </w:r>
          </w:p>
        </w:tc>
        <w:tc>
          <w:tcPr>
            <w:tcW w:w="200" w:type="dxa"/>
            <w:vAlign w:val="bottom"/>
          </w:tcPr>
          <w:p>
            <w:pPr>
              <w:spacing w:after="0"/>
              <w:rPr>
                <w:sz w:val="9"/>
                <w:szCs w:val="9"/>
                <w:color w:val="auto"/>
              </w:rPr>
            </w:pPr>
          </w:p>
        </w:tc>
        <w:tc>
          <w:tcPr>
            <w:tcW w:w="112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tcPr>
          <w:p>
            <w:pPr>
              <w:spacing w:after="0"/>
              <w:rPr>
                <w:sz w:val="9"/>
                <w:szCs w:val="9"/>
                <w:color w:val="auto"/>
              </w:rPr>
            </w:pPr>
          </w:p>
        </w:tc>
        <w:tc>
          <w:tcPr>
            <w:tcW w:w="108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7/28/2020</w:t>
            </w:r>
          </w:p>
        </w:tc>
        <w:tc>
          <w:tcPr>
            <w:tcW w:w="126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121,562</w:t>
            </w:r>
          </w:p>
        </w:tc>
        <w:tc>
          <w:tcPr>
            <w:tcW w:w="1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11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12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7/27/2030</w:t>
            </w:r>
          </w:p>
        </w:tc>
        <w:tc>
          <w:tcPr>
            <w:tcW w:w="200" w:type="dxa"/>
            <w:vAlign w:val="bottom"/>
          </w:tcPr>
          <w:p>
            <w:pPr>
              <w:spacing w:after="0"/>
              <w:rPr>
                <w:sz w:val="9"/>
                <w:szCs w:val="9"/>
                <w:color w:val="auto"/>
              </w:rPr>
            </w:pPr>
          </w:p>
        </w:tc>
        <w:tc>
          <w:tcPr>
            <w:tcW w:w="112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tcPr>
          <w:p>
            <w:pPr>
              <w:spacing w:after="0"/>
              <w:rPr>
                <w:sz w:val="9"/>
                <w:szCs w:val="9"/>
                <w:color w:val="auto"/>
              </w:rPr>
            </w:pPr>
          </w:p>
        </w:tc>
        <w:tc>
          <w:tcPr>
            <w:tcW w:w="108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12/3/2020</w:t>
            </w:r>
          </w:p>
        </w:tc>
        <w:tc>
          <w:tcPr>
            <w:tcW w:w="126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18,691</w:t>
            </w:r>
          </w:p>
        </w:tc>
        <w:tc>
          <w:tcPr>
            <w:tcW w:w="1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11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w:t>
            </w:r>
          </w:p>
        </w:tc>
        <w:tc>
          <w:tcPr>
            <w:tcW w:w="12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12/2/2030</w:t>
            </w:r>
          </w:p>
        </w:tc>
        <w:tc>
          <w:tcPr>
            <w:tcW w:w="200" w:type="dxa"/>
            <w:vAlign w:val="bottom"/>
          </w:tcPr>
          <w:p>
            <w:pPr>
              <w:spacing w:after="0"/>
              <w:rPr>
                <w:sz w:val="9"/>
                <w:szCs w:val="9"/>
                <w:color w:val="auto"/>
              </w:rPr>
            </w:pPr>
          </w:p>
        </w:tc>
        <w:tc>
          <w:tcPr>
            <w:tcW w:w="112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tcPr>
          <w:p>
            <w:pPr>
              <w:spacing w:after="0"/>
              <w:rPr>
                <w:sz w:val="9"/>
                <w:szCs w:val="9"/>
                <w:color w:val="auto"/>
              </w:rPr>
            </w:pPr>
          </w:p>
        </w:tc>
        <w:tc>
          <w:tcPr>
            <w:tcW w:w="108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6/17/2021</w:t>
            </w:r>
          </w:p>
        </w:tc>
        <w:tc>
          <w:tcPr>
            <w:tcW w:w="126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w:t>
            </w:r>
          </w:p>
        </w:tc>
        <w:tc>
          <w:tcPr>
            <w:tcW w:w="1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(6)</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11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33.74</w:t>
            </w:r>
          </w:p>
        </w:tc>
        <w:tc>
          <w:tcPr>
            <w:tcW w:w="12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6/17/2031</w:t>
            </w:r>
          </w:p>
        </w:tc>
        <w:tc>
          <w:tcPr>
            <w:tcW w:w="200" w:type="dxa"/>
            <w:vAlign w:val="bottom"/>
          </w:tcPr>
          <w:p>
            <w:pPr>
              <w:spacing w:after="0"/>
              <w:rPr>
                <w:sz w:val="9"/>
                <w:szCs w:val="9"/>
                <w:color w:val="auto"/>
              </w:rPr>
            </w:pPr>
          </w:p>
        </w:tc>
        <w:tc>
          <w:tcPr>
            <w:tcW w:w="112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tcPr>
          <w:p>
            <w:pPr>
              <w:spacing w:after="0"/>
              <w:rPr>
                <w:sz w:val="9"/>
                <w:szCs w:val="9"/>
                <w:color w:val="auto"/>
              </w:rPr>
            </w:pPr>
          </w:p>
        </w:tc>
        <w:tc>
          <w:tcPr>
            <w:tcW w:w="108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6/15/2022</w:t>
            </w:r>
          </w:p>
        </w:tc>
        <w:tc>
          <w:tcPr>
            <w:tcW w:w="126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29,640</w:t>
            </w:r>
          </w:p>
        </w:tc>
        <w:tc>
          <w:tcPr>
            <w:tcW w:w="1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(7)</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11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7.33</w:t>
            </w:r>
          </w:p>
        </w:tc>
        <w:tc>
          <w:tcPr>
            <w:tcW w:w="12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6/15/2032</w:t>
            </w:r>
          </w:p>
        </w:tc>
        <w:tc>
          <w:tcPr>
            <w:tcW w:w="200" w:type="dxa"/>
            <w:vAlign w:val="bottom"/>
          </w:tcPr>
          <w:p>
            <w:pPr>
              <w:spacing w:after="0"/>
              <w:rPr>
                <w:sz w:val="9"/>
                <w:szCs w:val="9"/>
                <w:color w:val="auto"/>
              </w:rPr>
            </w:pPr>
          </w:p>
        </w:tc>
        <w:tc>
          <w:tcPr>
            <w:tcW w:w="112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tcPr>
          <w:p>
            <w:pPr>
              <w:spacing w:after="0"/>
              <w:rPr>
                <w:sz w:val="9"/>
                <w:szCs w:val="9"/>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6/14/2023</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34,735</w:t>
            </w:r>
          </w:p>
        </w:tc>
        <w:tc>
          <w:tcPr>
            <w:tcW w:w="1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(8)</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6/14/2033</w:t>
            </w:r>
          </w:p>
        </w:tc>
        <w:tc>
          <w:tcPr>
            <w:tcW w:w="20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color w:val="auto"/>
              </w:rPr>
              <w:t>(13</w:t>
            </w:r>
          </w:p>
        </w:tc>
        <w:tc>
          <w:tcPr>
            <w:tcW w:w="100" w:type="dxa"/>
            <w:vAlign w:val="bottom"/>
          </w:tcPr>
          <w:p>
            <w:pPr>
              <w:spacing w:after="0"/>
              <w:rPr>
                <w:sz w:val="9"/>
                <w:szCs w:val="9"/>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79"/>
        </w:trPr>
        <w:tc>
          <w:tcPr>
            <w:tcW w:w="19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9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6/12/2024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58,178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134,391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Terrance McGuire</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1/28/2020</w:t>
            </w:r>
          </w:p>
        </w:tc>
        <w:tc>
          <w:tcPr>
            <w:tcW w:w="1260" w:type="dxa"/>
            <w:vAlign w:val="bottom"/>
            <w:gridSpan w:val="3"/>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101,886</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2.70</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1/27/2030</w:t>
            </w: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0"/>
        </w:trPr>
        <w:tc>
          <w:tcPr>
            <w:tcW w:w="1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7/28/2020</w:t>
            </w:r>
          </w:p>
        </w:tc>
        <w:tc>
          <w:tcPr>
            <w:tcW w:w="1260" w:type="dxa"/>
            <w:vAlign w:val="bottom"/>
            <w:gridSpan w:val="3"/>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58,415</w:t>
            </w: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12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7/27/2030</w:t>
            </w:r>
          </w:p>
        </w:tc>
        <w:tc>
          <w:tcPr>
            <w:tcW w:w="20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60" w:type="dxa"/>
            <w:vAlign w:val="bottom"/>
            <w:gridSpan w:val="3"/>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gridSpan w:val="2"/>
            <w:vMerge w:val="continue"/>
            <w:shd w:val="clear" w:color="auto" w:fill="CFF0FC"/>
          </w:tcPr>
          <w:p>
            <w:pPr>
              <w:spacing w:after="0"/>
              <w:rPr>
                <w:sz w:val="2"/>
                <w:szCs w:val="2"/>
                <w:color w:val="auto"/>
              </w:rPr>
            </w:pPr>
          </w:p>
        </w:tc>
        <w:tc>
          <w:tcPr>
            <w:tcW w:w="126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20" w:type="dxa"/>
            <w:vAlign w:val="bottom"/>
            <w:gridSpan w:val="2"/>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12/3/2020</w:t>
            </w:r>
          </w:p>
        </w:tc>
        <w:tc>
          <w:tcPr>
            <w:tcW w:w="1260" w:type="dxa"/>
            <w:vAlign w:val="bottom"/>
            <w:gridSpan w:val="3"/>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18,691</w:t>
            </w: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w:t>
            </w:r>
          </w:p>
        </w:tc>
        <w:tc>
          <w:tcPr>
            <w:tcW w:w="12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12/2/2030</w:t>
            </w:r>
          </w:p>
        </w:tc>
        <w:tc>
          <w:tcPr>
            <w:tcW w:w="20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60" w:type="dxa"/>
            <w:vAlign w:val="bottom"/>
            <w:gridSpan w:val="3"/>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gridSpan w:val="2"/>
            <w:vMerge w:val="continue"/>
            <w:shd w:val="clear" w:color="auto" w:fill="CFF0FC"/>
          </w:tcPr>
          <w:p>
            <w:pPr>
              <w:spacing w:after="0"/>
              <w:rPr>
                <w:sz w:val="2"/>
                <w:szCs w:val="2"/>
                <w:color w:val="auto"/>
              </w:rPr>
            </w:pPr>
          </w:p>
        </w:tc>
        <w:tc>
          <w:tcPr>
            <w:tcW w:w="126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20" w:type="dxa"/>
            <w:vAlign w:val="bottom"/>
            <w:gridSpan w:val="2"/>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6/17/2021</w:t>
            </w:r>
          </w:p>
        </w:tc>
        <w:tc>
          <w:tcPr>
            <w:tcW w:w="120" w:type="dxa"/>
            <w:vAlign w:val="bottom"/>
            <w:shd w:val="clear" w:color="auto" w:fill="CFF0FC"/>
          </w:tcPr>
          <w:p>
            <w:pPr>
              <w:spacing w:after="0"/>
              <w:rPr>
                <w:sz w:val="9"/>
                <w:szCs w:val="9"/>
                <w:color w:val="auto"/>
              </w:rPr>
            </w:pPr>
          </w:p>
        </w:tc>
        <w:tc>
          <w:tcPr>
            <w:tcW w:w="114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w:t>
            </w: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(6)</w:t>
            </w:r>
          </w:p>
        </w:tc>
        <w:tc>
          <w:tcPr>
            <w:tcW w:w="12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33.74</w:t>
            </w:r>
          </w:p>
        </w:tc>
        <w:tc>
          <w:tcPr>
            <w:tcW w:w="1260" w:type="dxa"/>
            <w:vAlign w:val="bottom"/>
            <w:gridSpan w:val="2"/>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6/17/2031</w:t>
            </w:r>
          </w:p>
        </w:tc>
        <w:tc>
          <w:tcPr>
            <w:tcW w:w="200" w:type="dxa"/>
            <w:vAlign w:val="bottom"/>
            <w:shd w:val="clear" w:color="auto" w:fill="CFF0FC"/>
          </w:tcPr>
          <w:p>
            <w:pPr>
              <w:spacing w:after="0"/>
              <w:rPr>
                <w:sz w:val="9"/>
                <w:szCs w:val="9"/>
                <w:color w:val="auto"/>
              </w:rPr>
            </w:pPr>
          </w:p>
        </w:tc>
        <w:tc>
          <w:tcPr>
            <w:tcW w:w="1120" w:type="dxa"/>
            <w:vAlign w:val="bottom"/>
            <w:vMerge w:val="restart"/>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40" w:type="dxa"/>
            <w:vAlign w:val="bottom"/>
            <w:gridSpan w:val="2"/>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gridSpan w:val="2"/>
            <w:vMerge w:val="continue"/>
            <w:shd w:val="clear" w:color="auto" w:fill="CFF0FC"/>
          </w:tcPr>
          <w:p>
            <w:pPr>
              <w:spacing w:after="0"/>
              <w:rPr>
                <w:sz w:val="2"/>
                <w:szCs w:val="2"/>
                <w:color w:val="auto"/>
              </w:rPr>
            </w:pPr>
          </w:p>
        </w:tc>
        <w:tc>
          <w:tcPr>
            <w:tcW w:w="126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2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20" w:type="dxa"/>
            <w:vAlign w:val="bottom"/>
            <w:gridSpan w:val="2"/>
            <w:vMerge w:val="continue"/>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9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6/15/2022</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29,640</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(7)</w:t>
            </w:r>
          </w:p>
        </w:tc>
        <w:tc>
          <w:tcPr>
            <w:tcW w:w="120" w:type="dxa"/>
            <w:vAlign w:val="bottom"/>
            <w:tcBorders>
              <w:bottom w:val="single" w:sz="8" w:color="CFF0FC"/>
            </w:tcBorders>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ind w:right="17"/>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1160" w:type="dxa"/>
            <w:vAlign w:val="bottom"/>
            <w:tcBorders>
              <w:bottom w:val="single" w:sz="8" w:color="CFF0FC"/>
            </w:tcBorders>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7.33</w:t>
            </w:r>
          </w:p>
        </w:tc>
        <w:tc>
          <w:tcPr>
            <w:tcW w:w="1260" w:type="dxa"/>
            <w:vAlign w:val="bottom"/>
            <w:tcBorders>
              <w:bottom w:val="single" w:sz="8" w:color="CFF0FC"/>
            </w:tcBorders>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6/15/2032</w:t>
            </w:r>
          </w:p>
        </w:tc>
        <w:tc>
          <w:tcPr>
            <w:tcW w:w="200" w:type="dxa"/>
            <w:vAlign w:val="bottom"/>
            <w:tcBorders>
              <w:bottom w:val="single" w:sz="8" w:color="CFF0FC"/>
            </w:tcBorders>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7"/>
        </w:trPr>
        <w:tc>
          <w:tcPr>
            <w:tcW w:w="1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6/14/2023</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34,735</w:t>
            </w:r>
          </w:p>
        </w:tc>
        <w:tc>
          <w:tcPr>
            <w:tcW w:w="1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(8)</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6/14/2033</w:t>
            </w:r>
          </w:p>
        </w:tc>
        <w:tc>
          <w:tcPr>
            <w:tcW w:w="20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color w:val="auto"/>
              </w:rPr>
              <w:t>(13</w:t>
            </w:r>
          </w:p>
        </w:tc>
        <w:tc>
          <w:tcPr>
            <w:tcW w:w="100" w:type="dxa"/>
            <w:vAlign w:val="bottom"/>
          </w:tcPr>
          <w:p>
            <w:pPr>
              <w:spacing w:after="0"/>
              <w:rPr>
                <w:sz w:val="9"/>
                <w:szCs w:val="9"/>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4"/>
        </w:trPr>
        <w:tc>
          <w:tcPr>
            <w:tcW w:w="19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6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20" w:type="dxa"/>
            <w:vAlign w:val="bottom"/>
            <w:vMerge w:val="continue"/>
            <w:shd w:val="clear" w:color="auto" w:fill="CFF0FC"/>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6/12/2024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(10</w:t>
            </w:r>
          </w:p>
        </w:tc>
        <w:tc>
          <w:tcPr>
            <w:tcW w:w="12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58,178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134,391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Meeta Gulyani</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11/29/2021</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3"/>
                <w:szCs w:val="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11/29/2031</w:t>
            </w:r>
          </w:p>
        </w:tc>
        <w:tc>
          <w:tcPr>
            <w:tcW w:w="200" w:type="dxa"/>
            <w:vAlign w:val="bottom"/>
          </w:tcPr>
          <w:p>
            <w:pPr>
              <w:spacing w:after="0"/>
              <w:rPr>
                <w:sz w:val="3"/>
                <w:szCs w:val="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07"/>
        </w:trPr>
        <w:tc>
          <w:tcPr>
            <w:tcW w:w="19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92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tcPr>
          <w:p>
            <w:pPr>
              <w:spacing w:after="0"/>
              <w:rPr>
                <w:sz w:val="9"/>
                <w:szCs w:val="9"/>
                <w:color w:val="auto"/>
              </w:rPr>
            </w:pPr>
          </w:p>
        </w:tc>
        <w:tc>
          <w:tcPr>
            <w:tcW w:w="108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6/15/2022</w:t>
            </w:r>
          </w:p>
        </w:tc>
        <w:tc>
          <w:tcPr>
            <w:tcW w:w="126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16,159</w:t>
            </w:r>
          </w:p>
        </w:tc>
        <w:tc>
          <w:tcPr>
            <w:tcW w:w="1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(7)</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11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7.33</w:t>
            </w:r>
          </w:p>
        </w:tc>
        <w:tc>
          <w:tcPr>
            <w:tcW w:w="126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6/15/2032</w:t>
            </w:r>
          </w:p>
        </w:tc>
        <w:tc>
          <w:tcPr>
            <w:tcW w:w="200" w:type="dxa"/>
            <w:vAlign w:val="bottom"/>
          </w:tcPr>
          <w:p>
            <w:pPr>
              <w:spacing w:after="0"/>
              <w:rPr>
                <w:sz w:val="9"/>
                <w:szCs w:val="9"/>
                <w:color w:val="auto"/>
              </w:rPr>
            </w:pPr>
          </w:p>
        </w:tc>
        <w:tc>
          <w:tcPr>
            <w:tcW w:w="112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tcPr>
          <w:p>
            <w:pPr>
              <w:spacing w:after="0"/>
              <w:rPr>
                <w:sz w:val="9"/>
                <w:szCs w:val="9"/>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6/14/2023</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34,735</w:t>
            </w:r>
          </w:p>
        </w:tc>
        <w:tc>
          <w:tcPr>
            <w:tcW w:w="1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(8)</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6/14/2033</w:t>
            </w:r>
          </w:p>
        </w:tc>
        <w:tc>
          <w:tcPr>
            <w:tcW w:w="20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color w:val="auto"/>
              </w:rPr>
              <w:t>(13</w:t>
            </w:r>
          </w:p>
        </w:tc>
        <w:tc>
          <w:tcPr>
            <w:tcW w:w="100" w:type="dxa"/>
            <w:vAlign w:val="bottom"/>
          </w:tcPr>
          <w:p>
            <w:pPr>
              <w:spacing w:after="0"/>
              <w:rPr>
                <w:sz w:val="9"/>
                <w:szCs w:val="9"/>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79"/>
        </w:trPr>
        <w:tc>
          <w:tcPr>
            <w:tcW w:w="19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9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6/12/2024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8"/>
                <w:szCs w:val="8"/>
                <w:color w:val="auto"/>
                <w:w w:val="93"/>
              </w:rPr>
              <w:t>(11</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58,178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134,391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Dipchand (Deep) Nishar</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3/2/2022</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27,500</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2,500</w:t>
            </w:r>
          </w:p>
        </w:tc>
        <w:tc>
          <w:tcPr>
            <w:tcW w:w="160" w:type="dxa"/>
            <w:vAlign w:val="bottom"/>
            <w:vMerge w:val="continue"/>
          </w:tcPr>
          <w:p>
            <w:pPr>
              <w:spacing w:after="0"/>
              <w:rPr>
                <w:sz w:val="3"/>
                <w:szCs w:val="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3/2/2032</w:t>
            </w:r>
          </w:p>
        </w:tc>
        <w:tc>
          <w:tcPr>
            <w:tcW w:w="200" w:type="dxa"/>
            <w:vAlign w:val="bottom"/>
          </w:tcPr>
          <w:p>
            <w:pPr>
              <w:spacing w:after="0"/>
              <w:rPr>
                <w:sz w:val="3"/>
                <w:szCs w:val="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51"/>
        </w:trPr>
        <w:tc>
          <w:tcPr>
            <w:tcW w:w="1920" w:type="dxa"/>
            <w:vAlign w:val="bottom"/>
            <w:vMerge w:val="continue"/>
            <w:shd w:val="clear" w:color="auto" w:fill="CFF0FC"/>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8"/>
                <w:szCs w:val="8"/>
                <w:color w:val="auto"/>
              </w:rPr>
              <w:t>)</w:t>
            </w:r>
          </w:p>
        </w:tc>
        <w:tc>
          <w:tcPr>
            <w:tcW w:w="116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6/15/2022</w:t>
            </w:r>
          </w:p>
        </w:tc>
        <w:tc>
          <w:tcPr>
            <w:tcW w:w="1260" w:type="dxa"/>
            <w:vAlign w:val="bottom"/>
            <w:tcBorders>
              <w:bottom w:val="single" w:sz="8" w:color="CFF0FC"/>
            </w:tcBorders>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29,640</w:t>
            </w:r>
          </w:p>
        </w:tc>
        <w:tc>
          <w:tcPr>
            <w:tcW w:w="1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(7)</w:t>
            </w:r>
          </w:p>
        </w:tc>
        <w:tc>
          <w:tcPr>
            <w:tcW w:w="120" w:type="dxa"/>
            <w:vAlign w:val="bottom"/>
            <w:tcBorders>
              <w:bottom w:val="single" w:sz="8" w:color="CFF0FC"/>
            </w:tcBorders>
            <w:shd w:val="clear" w:color="auto" w:fill="CFF0FC"/>
          </w:tcPr>
          <w:p>
            <w:pPr>
              <w:spacing w:after="0"/>
              <w:rPr>
                <w:sz w:val="10"/>
                <w:szCs w:val="10"/>
                <w:color w:val="auto"/>
              </w:rPr>
            </w:pPr>
          </w:p>
        </w:tc>
        <w:tc>
          <w:tcPr>
            <w:tcW w:w="1120" w:type="dxa"/>
            <w:vAlign w:val="bottom"/>
            <w:tcBorders>
              <w:bottom w:val="single" w:sz="8" w:color="CFF0FC"/>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7.33</w:t>
            </w:r>
          </w:p>
        </w:tc>
        <w:tc>
          <w:tcPr>
            <w:tcW w:w="1260" w:type="dxa"/>
            <w:vAlign w:val="bottom"/>
            <w:tcBorders>
              <w:bottom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6/15/2032</w:t>
            </w:r>
          </w:p>
        </w:tc>
        <w:tc>
          <w:tcPr>
            <w:tcW w:w="200" w:type="dxa"/>
            <w:vAlign w:val="bottom"/>
            <w:tcBorders>
              <w:bottom w:val="single" w:sz="8" w:color="CFF0FC"/>
            </w:tcBorders>
            <w:shd w:val="clear" w:color="auto" w:fill="CFF0FC"/>
          </w:tcPr>
          <w:p>
            <w:pPr>
              <w:spacing w:after="0"/>
              <w:rPr>
                <w:sz w:val="10"/>
                <w:szCs w:val="10"/>
                <w:color w:val="auto"/>
              </w:rPr>
            </w:pPr>
          </w:p>
        </w:tc>
        <w:tc>
          <w:tcPr>
            <w:tcW w:w="1120" w:type="dxa"/>
            <w:vAlign w:val="bottom"/>
            <w:tcBorders>
              <w:bottom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7"/>
        </w:trPr>
        <w:tc>
          <w:tcPr>
            <w:tcW w:w="1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6/14/2023</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34,735</w:t>
            </w:r>
          </w:p>
        </w:tc>
        <w:tc>
          <w:tcPr>
            <w:tcW w:w="1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8"/>
                <w:szCs w:val="8"/>
                <w:color w:val="auto"/>
              </w:rPr>
              <w:t>(8)</w:t>
            </w:r>
          </w:p>
        </w:tc>
        <w:tc>
          <w:tcPr>
            <w:tcW w:w="120" w:type="dxa"/>
            <w:vAlign w:val="bottom"/>
          </w:tcPr>
          <w:p>
            <w:pPr>
              <w:spacing w:after="0"/>
              <w:rPr>
                <w:sz w:val="9"/>
                <w:szCs w:val="9"/>
                <w:color w:val="auto"/>
              </w:rPr>
            </w:pPr>
          </w:p>
        </w:tc>
        <w:tc>
          <w:tcPr>
            <w:tcW w:w="11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6/14/2033</w:t>
            </w:r>
          </w:p>
        </w:tc>
        <w:tc>
          <w:tcPr>
            <w:tcW w:w="20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color w:val="auto"/>
              </w:rPr>
              <w:t>(13</w:t>
            </w:r>
          </w:p>
        </w:tc>
        <w:tc>
          <w:tcPr>
            <w:tcW w:w="100" w:type="dxa"/>
            <w:vAlign w:val="bottom"/>
          </w:tcPr>
          <w:p>
            <w:pPr>
              <w:spacing w:after="0"/>
              <w:rPr>
                <w:sz w:val="9"/>
                <w:szCs w:val="9"/>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4"/>
        </w:trPr>
        <w:tc>
          <w:tcPr>
            <w:tcW w:w="19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60" w:type="dxa"/>
            <w:vAlign w:val="bottom"/>
            <w:vMerge w:val="continue"/>
            <w:shd w:val="clear" w:color="auto" w:fill="CFF0FC"/>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6/12/2024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8"/>
                <w:szCs w:val="8"/>
                <w:color w:val="auto"/>
                <w:w w:val="93"/>
              </w:rPr>
              <w:t>(12</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58,178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134,391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Nicolas Roelofs, Ph.D.</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8/13/2024</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3"/>
                <w:szCs w:val="3"/>
                <w:color w:val="auto"/>
              </w:rPr>
            </w:pPr>
          </w:p>
        </w:tc>
        <w:tc>
          <w:tcPr>
            <w:tcW w:w="124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69,470</w:t>
            </w:r>
          </w:p>
        </w:tc>
        <w:tc>
          <w:tcPr>
            <w:tcW w:w="160" w:type="dxa"/>
            <w:vAlign w:val="bottom"/>
            <w:vMerge w:val="continue"/>
          </w:tcPr>
          <w:p>
            <w:pPr>
              <w:spacing w:after="0"/>
              <w:rPr>
                <w:sz w:val="3"/>
                <w:szCs w:val="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8/13/2034</w:t>
            </w:r>
          </w:p>
        </w:tc>
        <w:tc>
          <w:tcPr>
            <w:tcW w:w="200" w:type="dxa"/>
            <w:vAlign w:val="bottom"/>
          </w:tcPr>
          <w:p>
            <w:pPr>
              <w:spacing w:after="0"/>
              <w:rPr>
                <w:sz w:val="3"/>
                <w:szCs w:val="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62"/>
        </w:trPr>
        <w:tc>
          <w:tcPr>
            <w:tcW w:w="19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8"/>
                <w:szCs w:val="8"/>
                <w:color w:val="auto"/>
              </w:rPr>
              <w:t>)</w:t>
            </w:r>
          </w:p>
        </w:tc>
        <w:tc>
          <w:tcPr>
            <w:tcW w:w="11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color w:val="auto"/>
              </w:rPr>
              <w:t>(14</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8/13/2024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46,886</w:t>
            </w:r>
          </w:p>
        </w:tc>
        <w:tc>
          <w:tcPr>
            <w:tcW w:w="240" w:type="dxa"/>
            <w:vAlign w:val="bottom"/>
            <w:gridSpan w:val="2"/>
            <w:vMerge w:val="continue"/>
          </w:tcPr>
          <w:p>
            <w:pPr>
              <w:spacing w:after="0"/>
              <w:rPr>
                <w:sz w:val="2"/>
                <w:szCs w:val="2"/>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108,307</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9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-2629535</wp:posOffset>
            </wp:positionV>
            <wp:extent cx="443166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31665" cy="20574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-1275080</wp:posOffset>
            </wp:positionV>
            <wp:extent cx="507492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749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-452120</wp:posOffset>
            </wp:positionV>
            <wp:extent cx="583755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37555" cy="205740"/>
                    </a:xfrm>
                    <a:prstGeom prst="rect">
                      <a:avLst/>
                    </a:prstGeom>
                    <a:noFill/>
                  </pic:spPr>
                </pic:pic>
              </a:graphicData>
            </a:graphic>
          </wp:anchor>
        </w:drawing>
      </w:r>
    </w:p>
    <w:p>
      <w:pPr>
        <w:spacing w:after="0" w:line="117" w:lineRule="exact"/>
        <w:rPr>
          <w:sz w:val="20"/>
          <w:szCs w:val="20"/>
          <w:color w:val="auto"/>
        </w:rPr>
      </w:pPr>
    </w:p>
    <w:p>
      <w:pPr>
        <w:ind w:left="520" w:right="100" w:hanging="512"/>
        <w:spacing w:after="0" w:line="298" w:lineRule="auto"/>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are based upon the last reported price of our Class A common stock on the Nasdaq Global Select Market on December 31, 2024, which was $2.31.</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vested in 48 equal monthly installments beginning on February 28, 2020, subject to continued service to the Company.</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vested in 48 equal monthly installments beginning on August 28, 2020, subject to continued service to the Company.</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vested in 48 equal monthly installments beginning on October 11, 2020, subject to continued service to the Company.</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vested in 6 equal monthly installments beginning on January 3, 2021, subject to continued service to the Company.</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vested in full on June 15, 2022.</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vested in full on June 14, 2023.</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or stock award vest in full on June 11, 2024, subject to continued service to the Company.</w:t>
      </w:r>
    </w:p>
    <w:p>
      <w:pPr>
        <w:spacing w:after="0" w:line="126" w:lineRule="exact"/>
        <w:rPr>
          <w:rFonts w:ascii="Times New Roman" w:cs="Times New Roman" w:eastAsia="Times New Roman" w:hAnsi="Times New Roman"/>
          <w:sz w:val="16"/>
          <w:szCs w:val="16"/>
          <w:color w:val="auto"/>
        </w:rPr>
      </w:pPr>
    </w:p>
    <w:p>
      <w:pPr>
        <w:ind w:left="520" w:right="20" w:hanging="512"/>
        <w:spacing w:after="0" w:line="298" w:lineRule="auto"/>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the option are subject to an early exercise provision and are immediately exercisable. One-fourth of the shares underlying the option vested on March 23, 2019, and 1/48th of the shares vested monthly thereafter, subject to continued service to the Company.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vested in 36 equal monthly installments beginning on December 9, 2021, subject to continued service to the Company.</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vested in 36 equal monthly installments beginning on April 2, 2022, subject to continued service to the Company.</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option vest in 3 equal annual installments beginning on August 13, 2025, subject to continued service to the Company.</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stock award vest in full on June 12, 2025, subject to continued service to the Company.</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subject to the stock award vest in full on August 13, 2025, subject to continued service to the Company.</w:t>
      </w: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2024, all executive officers, directors and greater than 10% stockholders complied with all applicable SEC filing requirements, except as set forth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40" w:type="dxa"/>
            <w:vAlign w:val="bottom"/>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rPr>
              <w:t>Filed Date</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23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Transaction Type</w:t>
            </w: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3340" w:type="dxa"/>
            <w:vAlign w:val="bottom"/>
            <w:shd w:val="clear" w:color="auto" w:fill="CFF0FC"/>
          </w:tcPr>
          <w:p>
            <w:pPr>
              <w:jc w:val="center"/>
              <w:ind w:left="873"/>
              <w:spacing w:after="0"/>
              <w:rPr>
                <w:sz w:val="20"/>
                <w:szCs w:val="20"/>
                <w:color w:val="auto"/>
              </w:rPr>
            </w:pPr>
            <w:r>
              <w:rPr>
                <w:rFonts w:ascii="Times New Roman" w:cs="Times New Roman" w:eastAsia="Times New Roman" w:hAnsi="Times New Roman"/>
                <w:sz w:val="18"/>
                <w:szCs w:val="18"/>
                <w:color w:val="auto"/>
                <w:w w:val="99"/>
              </w:rPr>
              <w:t>March 12, 2024</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2380" w:type="dxa"/>
            <w:vAlign w:val="bottom"/>
            <w:shd w:val="clear" w:color="auto" w:fill="CFF0FC"/>
          </w:tcPr>
          <w:p>
            <w:pPr>
              <w:jc w:val="center"/>
              <w:ind w:right="54"/>
              <w:spacing w:after="0"/>
              <w:rPr>
                <w:sz w:val="20"/>
                <w:szCs w:val="20"/>
                <w:color w:val="auto"/>
              </w:rPr>
            </w:pPr>
            <w:r>
              <w:rPr>
                <w:rFonts w:ascii="Times New Roman" w:cs="Times New Roman" w:eastAsia="Times New Roman" w:hAnsi="Times New Roman"/>
                <w:sz w:val="18"/>
                <w:szCs w:val="18"/>
                <w:color w:val="auto"/>
              </w:rPr>
              <w:t>Sale</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3340" w:type="dxa"/>
            <w:vAlign w:val="bottom"/>
          </w:tcPr>
          <w:p>
            <w:pPr>
              <w:jc w:val="center"/>
              <w:ind w:left="893"/>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6, 2024</w:t>
            </w:r>
          </w:p>
        </w:tc>
        <w:tc>
          <w:tcPr>
            <w:tcW w:w="238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97"/>
              </w:rPr>
              <w:t>Award</w:t>
            </w: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Horn</w:t>
            </w:r>
          </w:p>
        </w:tc>
        <w:tc>
          <w:tcPr>
            <w:tcW w:w="3340" w:type="dxa"/>
            <w:vAlign w:val="bottom"/>
            <w:shd w:val="clear" w:color="auto" w:fill="CFF0FC"/>
          </w:tcPr>
          <w:p>
            <w:pPr>
              <w:jc w:val="center"/>
              <w:ind w:left="893"/>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February 6, 2024</w:t>
            </w:r>
          </w:p>
        </w:tc>
        <w:tc>
          <w:tcPr>
            <w:tcW w:w="2380" w:type="dxa"/>
            <w:vAlign w:val="bottom"/>
            <w:shd w:val="clear" w:color="auto" w:fill="CFF0FC"/>
          </w:tcPr>
          <w:p>
            <w:pPr>
              <w:jc w:val="center"/>
              <w:ind w:right="54"/>
              <w:spacing w:after="0"/>
              <w:rPr>
                <w:sz w:val="20"/>
                <w:szCs w:val="20"/>
                <w:color w:val="auto"/>
              </w:rPr>
            </w:pPr>
            <w:r>
              <w:rPr>
                <w:rFonts w:ascii="Times New Roman" w:cs="Times New Roman" w:eastAsia="Times New Roman" w:hAnsi="Times New Roman"/>
                <w:sz w:val="18"/>
                <w:szCs w:val="18"/>
                <w:color w:val="auto"/>
                <w:w w:val="97"/>
              </w:rPr>
              <w:t>Award</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Elona Kogan</w:t>
            </w:r>
          </w:p>
        </w:tc>
        <w:tc>
          <w:tcPr>
            <w:tcW w:w="3340" w:type="dxa"/>
            <w:vAlign w:val="bottom"/>
          </w:tcPr>
          <w:p>
            <w:pPr>
              <w:jc w:val="center"/>
              <w:ind w:left="893"/>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6, 2024</w:t>
            </w:r>
          </w:p>
        </w:tc>
        <w:tc>
          <w:tcPr>
            <w:tcW w:w="238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97"/>
              </w:rPr>
              <w:t>Award</w:t>
            </w:r>
          </w:p>
        </w:tc>
      </w:tr>
      <w:tr>
        <w:trPr>
          <w:trHeight w:val="846"/>
        </w:trPr>
        <w:tc>
          <w:tcPr>
            <w:tcW w:w="3180" w:type="dxa"/>
            <w:vAlign w:val="bottom"/>
          </w:tcPr>
          <w:p>
            <w:pPr>
              <w:spacing w:after="0"/>
              <w:rPr>
                <w:sz w:val="24"/>
                <w:szCs w:val="24"/>
                <w:color w:val="auto"/>
              </w:rPr>
            </w:pPr>
          </w:p>
        </w:tc>
        <w:tc>
          <w:tcPr>
            <w:tcW w:w="334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20</w:t>
            </w:r>
          </w:p>
        </w:tc>
        <w:tc>
          <w:tcPr>
            <w:tcW w:w="23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763"/>
        </w:trPr>
        <w:tc>
          <w:tcPr>
            <w:tcW w:w="31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named executive officers during the years ended December 31, 2024 and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Stock Awards ($)</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Option Awards ($)</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Non-Equity Incentive</w:t>
            </w:r>
          </w:p>
        </w:tc>
        <w:tc>
          <w:tcPr>
            <w:tcW w:w="18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All Other Compensation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122"/>
        </w:trPr>
        <w:tc>
          <w:tcPr>
            <w:tcW w:w="23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(1)</w:t>
            </w:r>
          </w:p>
        </w:tc>
        <w:tc>
          <w:tcPr>
            <w:tcW w:w="1580" w:type="dxa"/>
            <w:vAlign w:val="bottom"/>
          </w:tcPr>
          <w:p>
            <w:pPr>
              <w:jc w:val="right"/>
              <w:ind w:right="170"/>
              <w:spacing w:after="0" w:line="122" w:lineRule="exact"/>
              <w:rPr>
                <w:sz w:val="20"/>
                <w:szCs w:val="20"/>
                <w:color w:val="auto"/>
              </w:rPr>
            </w:pPr>
            <w:r>
              <w:rPr>
                <w:rFonts w:ascii="Times New Roman" w:cs="Times New Roman" w:eastAsia="Times New Roman" w:hAnsi="Times New Roman"/>
                <w:sz w:val="13"/>
                <w:szCs w:val="13"/>
                <w:b w:val="1"/>
                <w:bCs w:val="1"/>
                <w:color w:val="auto"/>
              </w:rPr>
              <w:t>Plan Compensation ($)</w:t>
            </w:r>
          </w:p>
        </w:tc>
        <w:tc>
          <w:tcPr>
            <w:tcW w:w="1880" w:type="dxa"/>
            <w:vAlign w:val="bottom"/>
          </w:tcPr>
          <w:p>
            <w:pPr>
              <w:jc w:val="right"/>
              <w:ind w:right="314"/>
              <w:spacing w:after="0" w:line="122"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(2)</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4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color w:val="auto"/>
              </w:rPr>
              <w:t>Omid Farokhzad, M.D.</w:t>
            </w:r>
          </w:p>
        </w:tc>
        <w:tc>
          <w:tcPr>
            <w:tcW w:w="108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619,208</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937,452</w:t>
            </w:r>
          </w:p>
        </w:tc>
        <w:tc>
          <w:tcPr>
            <w:tcW w:w="122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1,422,924</w:t>
            </w:r>
          </w:p>
        </w:tc>
        <w:tc>
          <w:tcPr>
            <w:tcW w:w="158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397,174</w:t>
            </w:r>
          </w:p>
        </w:tc>
        <w:tc>
          <w:tcPr>
            <w:tcW w:w="1880" w:type="dxa"/>
            <w:vAlign w:val="bottom"/>
            <w:vMerge w:val="restart"/>
            <w:shd w:val="clear" w:color="auto" w:fill="CFF0FC"/>
          </w:tcPr>
          <w:p>
            <w:pPr>
              <w:jc w:val="right"/>
              <w:ind w:right="314"/>
              <w:spacing w:after="0"/>
              <w:rPr>
                <w:sz w:val="20"/>
                <w:szCs w:val="20"/>
                <w:color w:val="auto"/>
              </w:rPr>
            </w:pPr>
            <w:r>
              <w:rPr>
                <w:rFonts w:ascii="Times New Roman" w:cs="Times New Roman" w:eastAsia="Times New Roman" w:hAnsi="Times New Roman"/>
                <w:sz w:val="14"/>
                <w:szCs w:val="14"/>
                <w:color w:val="auto"/>
              </w:rPr>
              <w:t>173,192</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3,549,950</w:t>
            </w:r>
          </w:p>
        </w:tc>
        <w:tc>
          <w:tcPr>
            <w:tcW w:w="0" w:type="dxa"/>
            <w:vAlign w:val="bottom"/>
          </w:tcPr>
          <w:p>
            <w:pPr>
              <w:spacing w:after="0"/>
              <w:rPr>
                <w:sz w:val="1"/>
                <w:szCs w:val="1"/>
                <w:color w:val="auto"/>
              </w:rPr>
            </w:pPr>
          </w:p>
        </w:tc>
      </w:tr>
      <w:tr>
        <w:trPr>
          <w:trHeight w:val="151"/>
        </w:trPr>
        <w:tc>
          <w:tcPr>
            <w:tcW w:w="234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080" w:type="dxa"/>
            <w:vAlign w:val="bottom"/>
            <w:vMerge w:val="continue"/>
            <w:shd w:val="clear" w:color="auto" w:fill="CFF0FC"/>
          </w:tcPr>
          <w:p>
            <w:pPr>
              <w:spacing w:after="0"/>
              <w:rPr>
                <w:sz w:val="13"/>
                <w:szCs w:val="13"/>
                <w:color w:val="auto"/>
              </w:rPr>
            </w:pPr>
          </w:p>
        </w:tc>
        <w:tc>
          <w:tcPr>
            <w:tcW w:w="1060" w:type="dxa"/>
            <w:vAlign w:val="bottom"/>
            <w:vMerge w:val="continue"/>
            <w:shd w:val="clear" w:color="auto" w:fill="CFF0FC"/>
          </w:tcPr>
          <w:p>
            <w:pPr>
              <w:spacing w:after="0"/>
              <w:rPr>
                <w:sz w:val="13"/>
                <w:szCs w:val="13"/>
                <w:color w:val="auto"/>
              </w:rPr>
            </w:pPr>
          </w:p>
        </w:tc>
        <w:tc>
          <w:tcPr>
            <w:tcW w:w="1120" w:type="dxa"/>
            <w:vAlign w:val="bottom"/>
            <w:vMerge w:val="continue"/>
            <w:shd w:val="clear" w:color="auto" w:fill="CFF0FC"/>
          </w:tcPr>
          <w:p>
            <w:pPr>
              <w:spacing w:after="0"/>
              <w:rPr>
                <w:sz w:val="13"/>
                <w:szCs w:val="13"/>
                <w:color w:val="auto"/>
              </w:rPr>
            </w:pPr>
          </w:p>
        </w:tc>
        <w:tc>
          <w:tcPr>
            <w:tcW w:w="1220" w:type="dxa"/>
            <w:vAlign w:val="bottom"/>
            <w:vMerge w:val="continue"/>
            <w:shd w:val="clear" w:color="auto" w:fill="CFF0FC"/>
          </w:tcPr>
          <w:p>
            <w:pPr>
              <w:spacing w:after="0"/>
              <w:rPr>
                <w:sz w:val="13"/>
                <w:szCs w:val="13"/>
                <w:color w:val="auto"/>
              </w:rPr>
            </w:pPr>
          </w:p>
        </w:tc>
        <w:tc>
          <w:tcPr>
            <w:tcW w:w="1580" w:type="dxa"/>
            <w:vAlign w:val="bottom"/>
            <w:vMerge w:val="continue"/>
            <w:shd w:val="clear" w:color="auto" w:fill="CFF0FC"/>
          </w:tcPr>
          <w:p>
            <w:pPr>
              <w:spacing w:after="0"/>
              <w:rPr>
                <w:sz w:val="13"/>
                <w:szCs w:val="13"/>
                <w:color w:val="auto"/>
              </w:rPr>
            </w:pPr>
          </w:p>
        </w:tc>
        <w:tc>
          <w:tcPr>
            <w:tcW w:w="1880" w:type="dxa"/>
            <w:vAlign w:val="bottom"/>
            <w:vMerge w:val="continue"/>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spacing w:after="0"/>
              <w:rPr>
                <w:sz w:val="14"/>
                <w:szCs w:val="14"/>
                <w:color w:val="auto"/>
              </w:rPr>
            </w:pPr>
          </w:p>
        </w:tc>
        <w:tc>
          <w:tcPr>
            <w:tcW w:w="10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596,459</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1,845,180</w:t>
            </w: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2,170,350</w:t>
            </w:r>
          </w:p>
        </w:tc>
        <w:tc>
          <w:tcPr>
            <w:tcW w:w="15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423,653</w:t>
            </w:r>
          </w:p>
        </w:tc>
        <w:tc>
          <w:tcPr>
            <w:tcW w:w="188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4"/>
                <w:szCs w:val="14"/>
                <w:color w:val="auto"/>
              </w:rPr>
              <w:t>161,689</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5,197,331</w:t>
            </w:r>
          </w:p>
        </w:tc>
        <w:tc>
          <w:tcPr>
            <w:tcW w:w="0" w:type="dxa"/>
            <w:vAlign w:val="bottom"/>
          </w:tcPr>
          <w:p>
            <w:pPr>
              <w:spacing w:after="0"/>
              <w:rPr>
                <w:sz w:val="1"/>
                <w:szCs w:val="1"/>
                <w:color w:val="auto"/>
              </w:rPr>
            </w:pPr>
          </w:p>
        </w:tc>
      </w:tr>
      <w:tr>
        <w:trPr>
          <w:trHeight w:val="124"/>
        </w:trPr>
        <w:tc>
          <w:tcPr>
            <w:tcW w:w="234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David Horn</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525,888</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292,117</w:t>
            </w:r>
          </w:p>
        </w:tc>
        <w:tc>
          <w:tcPr>
            <w:tcW w:w="12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389,251</w:t>
            </w:r>
          </w:p>
        </w:tc>
        <w:tc>
          <w:tcPr>
            <w:tcW w:w="15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218,264</w:t>
            </w:r>
          </w:p>
        </w:tc>
        <w:tc>
          <w:tcPr>
            <w:tcW w:w="1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2,500</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1,428,020</w:t>
            </w:r>
          </w:p>
        </w:tc>
        <w:tc>
          <w:tcPr>
            <w:tcW w:w="0" w:type="dxa"/>
            <w:vAlign w:val="bottom"/>
          </w:tcPr>
          <w:p>
            <w:pPr>
              <w:spacing w:after="0"/>
              <w:rPr>
                <w:sz w:val="1"/>
                <w:szCs w:val="1"/>
                <w:color w:val="auto"/>
              </w:rPr>
            </w:pPr>
          </w:p>
        </w:tc>
      </w:tr>
      <w:tr>
        <w:trPr>
          <w:trHeight w:val="151"/>
        </w:trPr>
        <w:tc>
          <w:tcPr>
            <w:tcW w:w="2340" w:type="dxa"/>
            <w:vAlign w:val="bottom"/>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President and Chief Financial Officer</w:t>
            </w: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8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Elona Kogan </w:t>
            </w:r>
            <w:r>
              <w:rPr>
                <w:rFonts w:ascii="Times New Roman" w:cs="Times New Roman" w:eastAsia="Times New Roman" w:hAnsi="Times New Roman"/>
                <w:sz w:val="19"/>
                <w:szCs w:val="19"/>
                <w:color w:val="auto"/>
                <w:vertAlign w:val="superscript"/>
              </w:rPr>
              <w:t>(3)</w:t>
            </w:r>
          </w:p>
        </w:tc>
        <w:tc>
          <w:tcPr>
            <w:tcW w:w="1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461,250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321,300</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467,460</w:t>
            </w: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197,886</w:t>
            </w:r>
          </w:p>
        </w:tc>
        <w:tc>
          <w:tcPr>
            <w:tcW w:w="188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2,500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1,450,396</w:t>
            </w:r>
          </w:p>
        </w:tc>
        <w:tc>
          <w:tcPr>
            <w:tcW w:w="0" w:type="dxa"/>
            <w:vAlign w:val="bottom"/>
          </w:tcPr>
          <w:p>
            <w:pPr>
              <w:spacing w:after="0"/>
              <w:rPr>
                <w:sz w:val="1"/>
                <w:szCs w:val="1"/>
                <w:color w:val="auto"/>
              </w:rPr>
            </w:pPr>
          </w:p>
        </w:tc>
      </w:tr>
      <w:tr>
        <w:trPr>
          <w:trHeight w:val="124"/>
        </w:trPr>
        <w:tc>
          <w:tcPr>
            <w:tcW w:w="2340" w:type="dxa"/>
            <w:vAlign w:val="bottom"/>
            <w:vMerge w:val="continue"/>
          </w:tcPr>
          <w:p>
            <w:pPr>
              <w:spacing w:after="0"/>
              <w:rPr>
                <w:sz w:val="10"/>
                <w:szCs w:val="10"/>
                <w:color w:val="auto"/>
              </w:rPr>
            </w:pP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286,115</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217,981</w:t>
            </w:r>
          </w:p>
        </w:tc>
        <w:tc>
          <w:tcPr>
            <w:tcW w:w="12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302,699</w:t>
            </w:r>
          </w:p>
        </w:tc>
        <w:tc>
          <w:tcPr>
            <w:tcW w:w="15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2,500</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809,295</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Former Chief Legal Officer</w:t>
            </w:r>
          </w:p>
        </w:tc>
        <w:tc>
          <w:tcPr>
            <w:tcW w:w="10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08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416,487</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321,300</w:t>
            </w:r>
          </w:p>
        </w:tc>
        <w:tc>
          <w:tcPr>
            <w:tcW w:w="1220" w:type="dxa"/>
            <w:vAlign w:val="bottom"/>
            <w:shd w:val="clear" w:color="auto" w:fill="CFF0FC"/>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467,460</w:t>
            </w:r>
          </w:p>
        </w:tc>
        <w:tc>
          <w:tcPr>
            <w:tcW w:w="158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156,870</w:t>
            </w:r>
          </w:p>
        </w:tc>
        <w:tc>
          <w:tcPr>
            <w:tcW w:w="1880" w:type="dxa"/>
            <w:vAlign w:val="bottom"/>
            <w:shd w:val="clear" w:color="auto" w:fill="CFF0FC"/>
          </w:tcPr>
          <w:p>
            <w:pPr>
              <w:jc w:val="right"/>
              <w:ind w:right="314"/>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283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74" w:lineRule="exact"/>
        <w:rPr>
          <w:sz w:val="20"/>
          <w:szCs w:val="20"/>
          <w:color w:val="auto"/>
        </w:rPr>
      </w:pPr>
    </w:p>
    <w:p>
      <w:pPr>
        <w:ind w:left="300" w:right="40" w:hanging="292"/>
        <w:spacing w:after="0" w:line="271" w:lineRule="auto"/>
        <w:tabs>
          <w:tab w:leader="none" w:pos="3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in this column represents the aggregate grant-date fair value of the award as computed as of the grant date of each restricted stock unit award and option awarded in fiscal 2024 in accordance with Financial Accounting Standard Board Accounting Standards Codification Topic 718, or ASC Topic 718, and the incremental fair value, computed as of the modification date, in accordance with ASC Topic 718, of stock options that were repriced during fiscal 2024. For additional details regarding such option repricing, see the discussion further below under “2024 Modification of Equity Grants”. The assumptions used in calculating the grant-date fair value of the awards reported in this column are set forth in the notes to our financial statements included in our Annual Report on Form 10-K filed with the SEC on March 3, 2025.</w:t>
      </w:r>
    </w:p>
    <w:p>
      <w:pPr>
        <w:spacing w:after="0" w:line="76"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“all other compensation” includes the following: (i) reimbursement of commuting costs of $93,569 and gross up allowance for Dr. Farokhzad of $77,123 and</w:t>
      </w:r>
    </w:p>
    <w:p>
      <w:pPr>
        <w:spacing w:after="0" w:line="26" w:lineRule="exact"/>
        <w:rPr>
          <w:rFonts w:ascii="Times New Roman" w:cs="Times New Roman" w:eastAsia="Times New Roman" w:hAnsi="Times New Roman"/>
          <w:sz w:val="16"/>
          <w:szCs w:val="16"/>
          <w:color w:val="auto"/>
        </w:rPr>
      </w:pPr>
    </w:p>
    <w:p>
      <w:pPr>
        <w:ind w:left="300" w:right="44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(ii) 401(k) plan matching contributions in the amount of $2,500 for each named executive officer. For 2023, “all other compensation” includes the following: (i) reimbursement of commuting costs of $88,532 and gross up allowance for Dr. Farokhzad of $70,657 and (ii) 401(k) plan matching contributions in the amount of $2,500 for each named executive officer.</w:t>
      </w:r>
    </w:p>
    <w:p>
      <w:pPr>
        <w:spacing w:after="0" w:line="72"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Kogan resigned effective July 26, 2024.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Year-End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our named executive officers as of December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2"/>
          </w:tcPr>
          <w:p>
            <w:pPr>
              <w:ind w:left="900"/>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00" w:type="dxa"/>
            <w:vAlign w:val="bottom"/>
            <w:gridSpan w:val="4"/>
          </w:tcPr>
          <w:p>
            <w:pPr>
              <w:ind w:left="10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4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2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 of Shares or</w:t>
            </w:r>
          </w:p>
        </w:tc>
        <w:tc>
          <w:tcPr>
            <w:tcW w:w="300" w:type="dxa"/>
            <w:vAlign w:val="bottom"/>
          </w:tcPr>
          <w:p>
            <w:pPr>
              <w:spacing w:after="0"/>
              <w:rPr>
                <w:sz w:val="11"/>
                <w:szCs w:val="11"/>
                <w:color w:val="auto"/>
              </w:rPr>
            </w:pPr>
          </w:p>
        </w:tc>
        <w:tc>
          <w:tcPr>
            <w:tcW w:w="14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 of</w:t>
            </w: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Grant Date</w:t>
            </w:r>
            <w:r>
              <w:rPr>
                <w:rFonts w:ascii="Times New Roman" w:cs="Times New Roman" w:eastAsia="Times New Roman" w:hAnsi="Times New Roman"/>
                <w:sz w:val="16"/>
                <w:szCs w:val="16"/>
                <w:b w:val="1"/>
                <w:bCs w:val="1"/>
                <w:color w:val="auto"/>
                <w:w w:val="92"/>
                <w:vertAlign w:val="superscript"/>
              </w:rPr>
              <w:t>(1)</w:t>
            </w:r>
          </w:p>
        </w:tc>
        <w:tc>
          <w:tcPr>
            <w:tcW w:w="100" w:type="dxa"/>
            <w:vAlign w:val="bottom"/>
          </w:tcPr>
          <w:p>
            <w:pPr>
              <w:spacing w:after="0"/>
              <w:rPr>
                <w:sz w:val="11"/>
                <w:szCs w:val="11"/>
                <w:color w:val="auto"/>
              </w:rPr>
            </w:pPr>
          </w:p>
        </w:tc>
        <w:tc>
          <w:tcPr>
            <w:tcW w:w="14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Underlying Unexercised</w:t>
            </w:r>
          </w:p>
        </w:tc>
        <w:tc>
          <w:tcPr>
            <w:tcW w:w="12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 Options</w:t>
            </w:r>
          </w:p>
        </w:tc>
        <w:tc>
          <w:tcPr>
            <w:tcW w:w="480" w:type="dxa"/>
            <w:vAlign w:val="bottom"/>
          </w:tcPr>
          <w:p>
            <w:pPr>
              <w:spacing w:after="0"/>
              <w:rPr>
                <w:sz w:val="11"/>
                <w:szCs w:val="11"/>
                <w:color w:val="auto"/>
              </w:rPr>
            </w:pPr>
          </w:p>
        </w:tc>
        <w:tc>
          <w:tcPr>
            <w:tcW w:w="1160" w:type="dxa"/>
            <w:vAlign w:val="bottom"/>
          </w:tcPr>
          <w:p>
            <w:pPr>
              <w:jc w:val="right"/>
              <w:ind w:right="197"/>
              <w:spacing w:after="0" w:line="128" w:lineRule="exact"/>
              <w:rPr>
                <w:sz w:val="20"/>
                <w:szCs w:val="20"/>
                <w:color w:val="auto"/>
              </w:rPr>
            </w:pPr>
            <w:r>
              <w:rPr>
                <w:rFonts w:ascii="Times New Roman" w:cs="Times New Roman" w:eastAsia="Times New Roman" w:hAnsi="Times New Roman"/>
                <w:sz w:val="13"/>
                <w:szCs w:val="13"/>
                <w:b w:val="1"/>
                <w:bCs w:val="1"/>
                <w:color w:val="auto"/>
                <w:w w:val="98"/>
              </w:rPr>
              <w:t>Option Exercise</w:t>
            </w:r>
          </w:p>
        </w:tc>
        <w:tc>
          <w:tcPr>
            <w:tcW w:w="1200" w:type="dxa"/>
            <w:vAlign w:val="bottom"/>
          </w:tcPr>
          <w:p>
            <w:pPr>
              <w:jc w:val="right"/>
              <w:ind w:right="17"/>
              <w:spacing w:after="0" w:line="128" w:lineRule="exact"/>
              <w:rPr>
                <w:sz w:val="20"/>
                <w:szCs w:val="20"/>
                <w:color w:val="auto"/>
              </w:rPr>
            </w:pPr>
            <w:r>
              <w:rPr>
                <w:rFonts w:ascii="Times New Roman" w:cs="Times New Roman" w:eastAsia="Times New Roman" w:hAnsi="Times New Roman"/>
                <w:sz w:val="13"/>
                <w:szCs w:val="13"/>
                <w:b w:val="1"/>
                <w:bCs w:val="1"/>
                <w:color w:val="auto"/>
              </w:rPr>
              <w:t>Option Expiration</w:t>
            </w:r>
          </w:p>
        </w:tc>
        <w:tc>
          <w:tcPr>
            <w:tcW w:w="220" w:type="dxa"/>
            <w:vAlign w:val="bottom"/>
          </w:tcPr>
          <w:p>
            <w:pPr>
              <w:spacing w:after="0"/>
              <w:rPr>
                <w:sz w:val="11"/>
                <w:szCs w:val="11"/>
                <w:color w:val="auto"/>
              </w:rPr>
            </w:pPr>
          </w:p>
        </w:tc>
        <w:tc>
          <w:tcPr>
            <w:tcW w:w="1200" w:type="dxa"/>
            <w:vAlign w:val="bottom"/>
          </w:tcPr>
          <w:p>
            <w:pPr>
              <w:jc w:val="center"/>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6"/>
              </w:rPr>
              <w:t>Units of Stock That</w:t>
            </w:r>
          </w:p>
        </w:tc>
        <w:tc>
          <w:tcPr>
            <w:tcW w:w="300" w:type="dxa"/>
            <w:vAlign w:val="bottom"/>
          </w:tcPr>
          <w:p>
            <w:pPr>
              <w:spacing w:after="0"/>
              <w:rPr>
                <w:sz w:val="11"/>
                <w:szCs w:val="11"/>
                <w:color w:val="auto"/>
              </w:rPr>
            </w:pPr>
          </w:p>
        </w:tc>
        <w:tc>
          <w:tcPr>
            <w:tcW w:w="140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Stock That Have Not</w:t>
            </w:r>
          </w:p>
        </w:tc>
        <w:tc>
          <w:tcPr>
            <w:tcW w:w="0" w:type="dxa"/>
            <w:vAlign w:val="bottom"/>
          </w:tcPr>
          <w:p>
            <w:pPr>
              <w:spacing w:after="0"/>
              <w:rPr>
                <w:sz w:val="1"/>
                <w:szCs w:val="1"/>
                <w:color w:val="auto"/>
              </w:rPr>
            </w:pPr>
          </w:p>
        </w:tc>
      </w:tr>
      <w:tr>
        <w:trPr>
          <w:trHeight w:val="162"/>
        </w:trPr>
        <w:tc>
          <w:tcPr>
            <w:tcW w:w="1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Options (#) Exercisable</w:t>
            </w:r>
          </w:p>
        </w:tc>
        <w:tc>
          <w:tcPr>
            <w:tcW w:w="126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 Unexercisable</w:t>
            </w:r>
          </w:p>
        </w:tc>
        <w:tc>
          <w:tcPr>
            <w:tcW w:w="480" w:type="dxa"/>
            <w:vAlign w:val="bottom"/>
          </w:tcPr>
          <w:p>
            <w:pPr>
              <w:spacing w:after="0"/>
              <w:rPr>
                <w:sz w:val="14"/>
                <w:szCs w:val="14"/>
                <w:color w:val="auto"/>
              </w:rPr>
            </w:pPr>
          </w:p>
        </w:tc>
        <w:tc>
          <w:tcPr>
            <w:tcW w:w="116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20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Date</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Have Not Vested (#)</w:t>
            </w:r>
          </w:p>
        </w:tc>
        <w:tc>
          <w:tcPr>
            <w:tcW w:w="300" w:type="dxa"/>
            <w:vAlign w:val="bottom"/>
          </w:tcPr>
          <w:p>
            <w:pPr>
              <w:spacing w:after="0"/>
              <w:rPr>
                <w:sz w:val="14"/>
                <w:szCs w:val="14"/>
                <w:color w:val="auto"/>
              </w:rPr>
            </w:pPr>
          </w:p>
        </w:tc>
        <w:tc>
          <w:tcPr>
            <w:tcW w:w="140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3"/>
                <w:szCs w:val="13"/>
                <w:b w:val="1"/>
                <w:bCs w:val="1"/>
                <w:color w:val="auto"/>
                <w:w w:val="93"/>
              </w:rPr>
              <w:t>Vested ($)</w:t>
            </w:r>
            <w:r>
              <w:rPr>
                <w:rFonts w:ascii="Times New Roman" w:cs="Times New Roman" w:eastAsia="Times New Roman" w:hAnsi="Times New Roman"/>
                <w:sz w:val="16"/>
                <w:szCs w:val="16"/>
                <w:b w:val="1"/>
                <w:bCs w:val="1"/>
                <w:color w:val="auto"/>
                <w:w w:val="93"/>
                <w:vertAlign w:val="superscript"/>
              </w:rPr>
              <w:t>(2)</w:t>
            </w:r>
          </w:p>
        </w:tc>
        <w:tc>
          <w:tcPr>
            <w:tcW w:w="0" w:type="dxa"/>
            <w:vAlign w:val="bottom"/>
          </w:tcPr>
          <w:p>
            <w:pPr>
              <w:spacing w:after="0"/>
              <w:rPr>
                <w:sz w:val="1"/>
                <w:szCs w:val="1"/>
                <w:color w:val="auto"/>
              </w:rPr>
            </w:pPr>
          </w:p>
        </w:tc>
      </w:tr>
      <w:tr>
        <w:trPr>
          <w:trHeight w:val="117"/>
        </w:trPr>
        <w:tc>
          <w:tcPr>
            <w:tcW w:w="15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Omid Farokhzad, M.D.</w:t>
            </w:r>
          </w:p>
        </w:tc>
        <w:tc>
          <w:tcPr>
            <w:tcW w:w="8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1/28/2020</w:t>
            </w:r>
          </w:p>
        </w:tc>
        <w:tc>
          <w:tcPr>
            <w:tcW w:w="12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915,524</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(3)</w:t>
            </w:r>
          </w:p>
        </w:tc>
        <w:tc>
          <w:tcPr>
            <w:tcW w:w="12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0"/>
                <w:szCs w:val="10"/>
                <w:color w:val="auto"/>
              </w:rPr>
            </w:pPr>
          </w:p>
        </w:tc>
        <w:tc>
          <w:tcPr>
            <w:tcW w:w="116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2.00</w:t>
            </w:r>
          </w:p>
        </w:tc>
        <w:tc>
          <w:tcPr>
            <w:tcW w:w="12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1/27/2030</w:t>
            </w:r>
          </w:p>
        </w:tc>
        <w:tc>
          <w:tcPr>
            <w:tcW w:w="22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0"/>
                <w:szCs w:val="10"/>
                <w:color w:val="auto"/>
              </w:rPr>
            </w:pPr>
          </w:p>
        </w:tc>
        <w:tc>
          <w:tcPr>
            <w:tcW w:w="1400" w:type="dxa"/>
            <w:vAlign w:val="bottom"/>
            <w:gridSpan w:val="2"/>
            <w:shd w:val="clear" w:color="auto" w:fill="CFF0FC"/>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7/28/2020</w:t>
            </w:r>
          </w:p>
        </w:tc>
        <w:tc>
          <w:tcPr>
            <w:tcW w:w="1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532,718</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(4)</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7/28/2030</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12/3/2020</w:t>
            </w:r>
          </w:p>
        </w:tc>
        <w:tc>
          <w:tcPr>
            <w:tcW w:w="1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584,265</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(5)</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12/3/2030</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2/1/2021</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83,375</w:t>
            </w: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3,625</w:t>
            </w:r>
          </w:p>
        </w:tc>
        <w:tc>
          <w:tcPr>
            <w:tcW w:w="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(6)</w:t>
            </w: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1/31/2031</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2/1/2021</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21,750</w:t>
            </w: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(7)</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50,243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52,010</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(8)</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21,415</w:t>
            </w:r>
          </w:p>
        </w:tc>
        <w:tc>
          <w:tcPr>
            <w:tcW w:w="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(9)</w:t>
            </w: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18.27</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2/8/2032</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52,010</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(8)</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21,415</w:t>
            </w:r>
          </w:p>
        </w:tc>
        <w:tc>
          <w:tcPr>
            <w:tcW w:w="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(9)</w:t>
            </w: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19.10</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2/8/2032</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52,010</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(8)</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21,415</w:t>
            </w:r>
          </w:p>
        </w:tc>
        <w:tc>
          <w:tcPr>
            <w:tcW w:w="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(9)</w:t>
            </w: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19.93</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2/8/2032</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52,010</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(8)</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21,415</w:t>
            </w:r>
          </w:p>
        </w:tc>
        <w:tc>
          <w:tcPr>
            <w:tcW w:w="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(9)</w:t>
            </w: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20.76</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2/8/2032</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77,500</w:t>
            </w: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(10)</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179,025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2/15/2023</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650,000</w:t>
            </w:r>
          </w:p>
        </w:tc>
        <w:tc>
          <w:tcPr>
            <w:tcW w:w="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(11)</w:t>
            </w: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2/15/2033</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2/15/2023</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301,500</w:t>
            </w: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(12)</w:t>
            </w:r>
          </w:p>
        </w:tc>
        <w:tc>
          <w:tcPr>
            <w:tcW w:w="1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696,465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2/6/2024</w:t>
            </w: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1,032,901</w:t>
            </w:r>
          </w:p>
        </w:tc>
        <w:tc>
          <w:tcPr>
            <w:tcW w:w="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(13)</w:t>
            </w: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2/6/2034</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2/6/2024</w:t>
            </w: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529,634</w:t>
            </w:r>
          </w:p>
        </w:tc>
        <w:tc>
          <w:tcPr>
            <w:tcW w:w="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(14)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1,223,455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David Horn</w:t>
            </w:r>
          </w:p>
        </w:tc>
        <w:tc>
          <w:tcPr>
            <w:tcW w:w="12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4/1/2020</w:t>
            </w:r>
          </w:p>
        </w:tc>
        <w:tc>
          <w:tcPr>
            <w:tcW w:w="100" w:type="dxa"/>
            <w:vAlign w:val="bottom"/>
          </w:tcPr>
          <w:p>
            <w:pPr>
              <w:spacing w:after="0"/>
              <w:rPr>
                <w:sz w:val="10"/>
                <w:szCs w:val="10"/>
                <w:color w:val="auto"/>
              </w:rPr>
            </w:pPr>
          </w:p>
        </w:tc>
        <w:tc>
          <w:tcPr>
            <w:tcW w:w="11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566,547</w:t>
            </w:r>
          </w:p>
        </w:tc>
        <w:tc>
          <w:tcPr>
            <w:tcW w:w="320" w:type="dxa"/>
            <w:vAlign w:val="bottom"/>
          </w:tcPr>
          <w:p>
            <w:pPr>
              <w:ind w:left="100"/>
              <w:spacing w:after="0"/>
              <w:rPr>
                <w:sz w:val="20"/>
                <w:szCs w:val="20"/>
                <w:color w:val="auto"/>
              </w:rPr>
            </w:pPr>
            <w:r>
              <w:rPr>
                <w:rFonts w:ascii="Times New Roman" w:cs="Times New Roman" w:eastAsia="Times New Roman" w:hAnsi="Times New Roman"/>
                <w:sz w:val="8"/>
                <w:szCs w:val="8"/>
                <w:color w:val="auto"/>
              </w:rPr>
              <w:t>(15)</w:t>
            </w:r>
          </w:p>
        </w:tc>
        <w:tc>
          <w:tcPr>
            <w:tcW w:w="12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0"/>
                <w:szCs w:val="10"/>
                <w:color w:val="auto"/>
              </w:rPr>
            </w:pPr>
          </w:p>
        </w:tc>
        <w:tc>
          <w:tcPr>
            <w:tcW w:w="116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2.00</w:t>
            </w:r>
          </w:p>
        </w:tc>
        <w:tc>
          <w:tcPr>
            <w:tcW w:w="12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4/1/2030</w:t>
            </w:r>
          </w:p>
        </w:tc>
        <w:tc>
          <w:tcPr>
            <w:tcW w:w="220" w:type="dxa"/>
            <w:vAlign w:val="bottom"/>
          </w:tcPr>
          <w:p>
            <w:pPr>
              <w:spacing w:after="0"/>
              <w:rPr>
                <w:sz w:val="10"/>
                <w:szCs w:val="10"/>
                <w:color w:val="auto"/>
              </w:rPr>
            </w:pPr>
          </w:p>
        </w:tc>
        <w:tc>
          <w:tcPr>
            <w:tcW w:w="12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140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7/28/2020</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140,682</w:t>
            </w:r>
          </w:p>
        </w:tc>
        <w:tc>
          <w:tcPr>
            <w:tcW w:w="320" w:type="dxa"/>
            <w:vAlign w:val="bottom"/>
          </w:tcPr>
          <w:p>
            <w:pPr>
              <w:ind w:left="100"/>
              <w:spacing w:after="0"/>
              <w:rPr>
                <w:sz w:val="20"/>
                <w:szCs w:val="20"/>
                <w:color w:val="auto"/>
              </w:rPr>
            </w:pPr>
            <w:r>
              <w:rPr>
                <w:rFonts w:ascii="Times New Roman" w:cs="Times New Roman" w:eastAsia="Times New Roman" w:hAnsi="Times New Roman"/>
                <w:sz w:val="8"/>
                <w:szCs w:val="8"/>
                <w:color w:val="auto"/>
              </w:rPr>
              <w:t>(4)</w:t>
            </w: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7/28/2030</w:t>
            </w:r>
          </w:p>
        </w:tc>
        <w:tc>
          <w:tcPr>
            <w:tcW w:w="2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4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12/3/2020</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135,100</w:t>
            </w:r>
          </w:p>
        </w:tc>
        <w:tc>
          <w:tcPr>
            <w:tcW w:w="320" w:type="dxa"/>
            <w:vAlign w:val="bottom"/>
          </w:tcPr>
          <w:p>
            <w:pPr>
              <w:ind w:left="100"/>
              <w:spacing w:after="0"/>
              <w:rPr>
                <w:sz w:val="20"/>
                <w:szCs w:val="20"/>
                <w:color w:val="auto"/>
              </w:rPr>
            </w:pPr>
            <w:r>
              <w:rPr>
                <w:rFonts w:ascii="Times New Roman" w:cs="Times New Roman" w:eastAsia="Times New Roman" w:hAnsi="Times New Roman"/>
                <w:sz w:val="8"/>
                <w:szCs w:val="8"/>
                <w:color w:val="auto"/>
              </w:rPr>
              <w:t>(5)</w:t>
            </w: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12/3/2030</w:t>
            </w:r>
          </w:p>
        </w:tc>
        <w:tc>
          <w:tcPr>
            <w:tcW w:w="2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4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2/1/2021</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32,703</w:t>
            </w:r>
          </w:p>
        </w:tc>
        <w:tc>
          <w:tcPr>
            <w:tcW w:w="3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1,422</w:t>
            </w:r>
          </w:p>
        </w:tc>
        <w:tc>
          <w:tcPr>
            <w:tcW w:w="480" w:type="dxa"/>
            <w:vAlign w:val="bottom"/>
          </w:tcPr>
          <w:p>
            <w:pPr>
              <w:ind w:left="100"/>
              <w:spacing w:after="0"/>
              <w:rPr>
                <w:sz w:val="20"/>
                <w:szCs w:val="20"/>
                <w:color w:val="auto"/>
              </w:rPr>
            </w:pPr>
            <w:r>
              <w:rPr>
                <w:rFonts w:ascii="Times New Roman" w:cs="Times New Roman" w:eastAsia="Times New Roman" w:hAnsi="Times New Roman"/>
                <w:sz w:val="8"/>
                <w:szCs w:val="8"/>
                <w:color w:val="auto"/>
              </w:rPr>
              <w:t>(6)</w:t>
            </w: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1/31/2031</w:t>
            </w:r>
          </w:p>
        </w:tc>
        <w:tc>
          <w:tcPr>
            <w:tcW w:w="2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4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2/1/2021</w:t>
            </w: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8,532</w:t>
            </w:r>
          </w:p>
        </w:tc>
        <w:tc>
          <w:tcPr>
            <w:tcW w:w="300" w:type="dxa"/>
            <w:vAlign w:val="bottom"/>
          </w:tcPr>
          <w:p>
            <w:pPr>
              <w:ind w:left="60"/>
              <w:spacing w:after="0"/>
              <w:rPr>
                <w:sz w:val="20"/>
                <w:szCs w:val="20"/>
                <w:color w:val="auto"/>
              </w:rPr>
            </w:pPr>
            <w:r>
              <w:rPr>
                <w:rFonts w:ascii="Times New Roman" w:cs="Times New Roman" w:eastAsia="Times New Roman" w:hAnsi="Times New Roman"/>
                <w:sz w:val="8"/>
                <w:szCs w:val="8"/>
                <w:color w:val="auto"/>
              </w:rPr>
              <w:t>(7)</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19,709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87,833</w:t>
            </w:r>
          </w:p>
        </w:tc>
        <w:tc>
          <w:tcPr>
            <w:tcW w:w="3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36,167</w:t>
            </w:r>
          </w:p>
        </w:tc>
        <w:tc>
          <w:tcPr>
            <w:tcW w:w="480" w:type="dxa"/>
            <w:vAlign w:val="bottom"/>
          </w:tcPr>
          <w:p>
            <w:pPr>
              <w:ind w:left="100"/>
              <w:spacing w:after="0"/>
              <w:rPr>
                <w:sz w:val="20"/>
                <w:szCs w:val="20"/>
                <w:color w:val="auto"/>
              </w:rPr>
            </w:pPr>
            <w:r>
              <w:rPr>
                <w:rFonts w:ascii="Times New Roman" w:cs="Times New Roman" w:eastAsia="Times New Roman" w:hAnsi="Times New Roman"/>
                <w:sz w:val="8"/>
                <w:szCs w:val="8"/>
                <w:color w:val="auto"/>
              </w:rPr>
              <w:t>(9)</w:t>
            </w: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2/8/2032</w:t>
            </w:r>
          </w:p>
        </w:tc>
        <w:tc>
          <w:tcPr>
            <w:tcW w:w="2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4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2/8/2022</w:t>
            </w: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31,000</w:t>
            </w:r>
          </w:p>
        </w:tc>
        <w:tc>
          <w:tcPr>
            <w:tcW w:w="300" w:type="dxa"/>
            <w:vAlign w:val="bottom"/>
          </w:tcPr>
          <w:p>
            <w:pPr>
              <w:ind w:left="60"/>
              <w:spacing w:after="0"/>
              <w:rPr>
                <w:sz w:val="20"/>
                <w:szCs w:val="20"/>
                <w:color w:val="auto"/>
              </w:rPr>
            </w:pPr>
            <w:r>
              <w:rPr>
                <w:rFonts w:ascii="Times New Roman" w:cs="Times New Roman" w:eastAsia="Times New Roman" w:hAnsi="Times New Roman"/>
                <w:sz w:val="8"/>
                <w:szCs w:val="8"/>
                <w:color w:val="auto"/>
              </w:rPr>
              <w:t>(10)</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71,610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2/15/2023</w:t>
            </w: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w:t>
            </w:r>
          </w:p>
        </w:tc>
        <w:tc>
          <w:tcPr>
            <w:tcW w:w="480" w:type="dxa"/>
            <w:vAlign w:val="bottom"/>
          </w:tcPr>
          <w:p>
            <w:pPr>
              <w:ind w:left="100"/>
              <w:spacing w:after="0"/>
              <w:rPr>
                <w:sz w:val="20"/>
                <w:szCs w:val="20"/>
                <w:color w:val="auto"/>
              </w:rPr>
            </w:pPr>
            <w:r>
              <w:rPr>
                <w:rFonts w:ascii="Times New Roman" w:cs="Times New Roman" w:eastAsia="Times New Roman" w:hAnsi="Times New Roman"/>
                <w:sz w:val="8"/>
                <w:szCs w:val="8"/>
                <w:color w:val="auto"/>
              </w:rPr>
              <w:t>(11)</w:t>
            </w: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2/15/2033</w:t>
            </w:r>
          </w:p>
        </w:tc>
        <w:tc>
          <w:tcPr>
            <w:tcW w:w="2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4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2/15/2023</w:t>
            </w: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52,500</w:t>
            </w:r>
          </w:p>
        </w:tc>
        <w:tc>
          <w:tcPr>
            <w:tcW w:w="300" w:type="dxa"/>
            <w:vAlign w:val="bottom"/>
          </w:tcPr>
          <w:p>
            <w:pPr>
              <w:ind w:left="60"/>
              <w:spacing w:after="0"/>
              <w:rPr>
                <w:sz w:val="20"/>
                <w:szCs w:val="20"/>
                <w:color w:val="auto"/>
              </w:rPr>
            </w:pPr>
            <w:r>
              <w:rPr>
                <w:rFonts w:ascii="Times New Roman" w:cs="Times New Roman" w:eastAsia="Times New Roman" w:hAnsi="Times New Roman"/>
                <w:sz w:val="8"/>
                <w:szCs w:val="8"/>
                <w:color w:val="auto"/>
              </w:rPr>
              <w:t>(12)</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2/6/2024</w:t>
            </w: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w:t>
            </w:r>
          </w:p>
        </w:tc>
        <w:tc>
          <w:tcPr>
            <w:tcW w:w="480" w:type="dxa"/>
            <w:vAlign w:val="bottom"/>
          </w:tcPr>
          <w:p>
            <w:pPr>
              <w:ind w:left="100"/>
              <w:spacing w:after="0"/>
              <w:rPr>
                <w:sz w:val="20"/>
                <w:szCs w:val="20"/>
                <w:color w:val="auto"/>
              </w:rPr>
            </w:pPr>
            <w:r>
              <w:rPr>
                <w:rFonts w:ascii="Times New Roman" w:cs="Times New Roman" w:eastAsia="Times New Roman" w:hAnsi="Times New Roman"/>
                <w:sz w:val="8"/>
                <w:szCs w:val="8"/>
                <w:color w:val="auto"/>
              </w:rPr>
              <w:t>(16)</w:t>
            </w: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2/6/2034</w:t>
            </w:r>
          </w:p>
        </w:tc>
        <w:tc>
          <w:tcPr>
            <w:tcW w:w="2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4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2/6/2024</w:t>
            </w: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142,557</w:t>
            </w:r>
          </w:p>
        </w:tc>
        <w:tc>
          <w:tcPr>
            <w:tcW w:w="480" w:type="dxa"/>
            <w:vAlign w:val="bottom"/>
          </w:tcPr>
          <w:p>
            <w:pPr>
              <w:ind w:left="100"/>
              <w:spacing w:after="0"/>
              <w:rPr>
                <w:sz w:val="20"/>
                <w:szCs w:val="20"/>
                <w:color w:val="auto"/>
              </w:rPr>
            </w:pPr>
            <w:r>
              <w:rPr>
                <w:rFonts w:ascii="Times New Roman" w:cs="Times New Roman" w:eastAsia="Times New Roman" w:hAnsi="Times New Roman"/>
                <w:sz w:val="8"/>
                <w:szCs w:val="8"/>
                <w:color w:val="auto"/>
              </w:rPr>
              <w:t>(17)</w:t>
            </w: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2/6/2034</w:t>
            </w:r>
          </w:p>
        </w:tc>
        <w:tc>
          <w:tcPr>
            <w:tcW w:w="22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4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5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2/6/2024</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11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165,038</w:t>
            </w:r>
          </w:p>
        </w:tc>
        <w:tc>
          <w:tcPr>
            <w:tcW w:w="300" w:type="dxa"/>
            <w:vAlign w:val="bottom"/>
          </w:tcPr>
          <w:p>
            <w:pPr>
              <w:ind w:left="60"/>
              <w:spacing w:after="0"/>
              <w:rPr>
                <w:sz w:val="20"/>
                <w:szCs w:val="20"/>
                <w:color w:val="auto"/>
              </w:rPr>
            </w:pPr>
            <w:r>
              <w:rPr>
                <w:rFonts w:ascii="Times New Roman" w:cs="Times New Roman" w:eastAsia="Times New Roman" w:hAnsi="Times New Roman"/>
                <w:sz w:val="8"/>
                <w:szCs w:val="8"/>
                <w:color w:val="auto"/>
              </w:rPr>
              <w:t>(14)</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381,238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520" w:right="260" w:hanging="512"/>
        <w:spacing w:after="0" w:line="298" w:lineRule="auto"/>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outstanding equity awards was granted pursuant to our 2017 Stock Incentive Plan, as amended and restated, 2020 Plan or 2020 RSU Equity Incentive Plan.</w:t>
      </w:r>
    </w:p>
    <w:p>
      <w:pPr>
        <w:spacing w:after="0" w:line="56" w:lineRule="exact"/>
        <w:rPr>
          <w:rFonts w:ascii="Times New Roman" w:cs="Times New Roman" w:eastAsia="Times New Roman" w:hAnsi="Times New Roman"/>
          <w:sz w:val="16"/>
          <w:szCs w:val="16"/>
          <w:color w:val="auto"/>
        </w:rPr>
      </w:pPr>
    </w:p>
    <w:p>
      <w:pPr>
        <w:ind w:left="520" w:right="100" w:hanging="512"/>
        <w:spacing w:after="0" w:line="298" w:lineRule="auto"/>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are based upon the last reported price of our Class A common stock on the Nasdaq Global Select Market on December 31, 2024, which was $2.31.</w:t>
      </w:r>
    </w:p>
    <w:p>
      <w:pPr>
        <w:spacing w:after="0" w:line="56" w:lineRule="exact"/>
        <w:rPr>
          <w:rFonts w:ascii="Times New Roman" w:cs="Times New Roman" w:eastAsia="Times New Roman" w:hAnsi="Times New Roman"/>
          <w:sz w:val="16"/>
          <w:szCs w:val="16"/>
          <w:color w:val="auto"/>
        </w:rPr>
      </w:pPr>
    </w:p>
    <w:p>
      <w:pPr>
        <w:ind w:left="520" w:right="180" w:hanging="512"/>
        <w:spacing w:after="0" w:line="298" w:lineRule="auto"/>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the option are subject to an early exercise provision and are immediately exercisable. One-fourth of the shares underlying the option vest on January 28, 2021, and the remaining shares vest in 36 equal monthly installments thereafter, subject to continued service to the Company.</w:t>
      </w:r>
    </w:p>
    <w:p>
      <w:pPr>
        <w:spacing w:after="0" w:line="56" w:lineRule="exact"/>
        <w:rPr>
          <w:rFonts w:ascii="Times New Roman" w:cs="Times New Roman" w:eastAsia="Times New Roman" w:hAnsi="Times New Roman"/>
          <w:sz w:val="16"/>
          <w:szCs w:val="16"/>
          <w:color w:val="auto"/>
        </w:rPr>
      </w:pPr>
    </w:p>
    <w:p>
      <w:pPr>
        <w:ind w:left="520" w:right="180" w:hanging="512"/>
        <w:spacing w:after="0" w:line="298" w:lineRule="auto"/>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the option are subject to an early exercise provision and are immediately exercisable. One-fourth of the shares underlying the option vest on July 28, 2021, and the remaining shares vest in 36 equal monthly installments thereafter, subject to continued service to the Company.</w:t>
      </w:r>
    </w:p>
    <w:p>
      <w:pPr>
        <w:spacing w:after="0" w:line="56" w:lineRule="exact"/>
        <w:rPr>
          <w:rFonts w:ascii="Times New Roman" w:cs="Times New Roman" w:eastAsia="Times New Roman" w:hAnsi="Times New Roman"/>
          <w:sz w:val="16"/>
          <w:szCs w:val="16"/>
          <w:color w:val="auto"/>
        </w:rPr>
      </w:pPr>
    </w:p>
    <w:p>
      <w:pPr>
        <w:ind w:left="520" w:right="440" w:hanging="512"/>
        <w:spacing w:after="0" w:line="298" w:lineRule="auto"/>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underlying the option vest on December 3, 2021, and the remaining shares vest in 36 equal monthly installments thereafter, subject to continued service to the Company.</w:t>
      </w:r>
    </w:p>
    <w:p>
      <w:pPr>
        <w:spacing w:after="0" w:line="56" w:lineRule="exact"/>
        <w:rPr>
          <w:rFonts w:ascii="Times New Roman" w:cs="Times New Roman" w:eastAsia="Times New Roman" w:hAnsi="Times New Roman"/>
          <w:sz w:val="16"/>
          <w:szCs w:val="16"/>
          <w:color w:val="auto"/>
        </w:rPr>
      </w:pPr>
    </w:p>
    <w:p>
      <w:pPr>
        <w:ind w:left="520" w:right="520" w:hanging="512"/>
        <w:spacing w:after="0" w:line="298" w:lineRule="auto"/>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underlying the option vest on February 1, 2022, and the remaining shares vest in 36 equal monthly installments thereafter, subject to continued service to the Company.</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underlying the RSU award vest in four equal annual installments beginning on February 1, 2022, subject to continued service to the Company.</w:t>
      </w:r>
    </w:p>
    <w:p>
      <w:pPr>
        <w:spacing w:after="0" w:line="126"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premium-priced performance options were granted to our Chief Executive Officer (CEO) in four equal tranches with strike prices equal to amounts that equated to 10%, 15%, 20% and 25% premiums on our stock price on the date of grant.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520" w:right="460" w:hanging="512"/>
        <w:spacing w:after="0" w:line="298" w:lineRule="auto"/>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underlying the option vest on February 8, 2023, and the remaining shares vest in 36 equal monthly installments thereafter, subject to continued service to the Company.</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underlying the RSU award vest in four equal annual installments beginning on February 15, 2023, subject to continued service to the Company.</w:t>
      </w:r>
    </w:p>
    <w:p>
      <w:pPr>
        <w:spacing w:after="0" w:line="126" w:lineRule="exact"/>
        <w:rPr>
          <w:rFonts w:ascii="Times New Roman" w:cs="Times New Roman" w:eastAsia="Times New Roman" w:hAnsi="Times New Roman"/>
          <w:sz w:val="16"/>
          <w:szCs w:val="16"/>
          <w:color w:val="auto"/>
        </w:rPr>
      </w:pPr>
    </w:p>
    <w:p>
      <w:pPr>
        <w:ind w:left="520" w:right="20" w:hanging="512"/>
        <w:spacing w:after="0" w:line="271" w:lineRule="auto"/>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is subject to vesting requirements based upon achievement of specified performance-based criteria (the "Stock Price Hurdle") which requires that the Company achieves a stock price equal to or greater than 150% of the option exercise price during the period beginning on the grant date and ending on February 15, 2030 (the "Performance Period"). As discussed further below under “2024 Modification of Equity Grants,” the option was modified during fiscal 2024 to have an exercise price per share of $2.00 and stock price hurdle of $3.00 per share. If the Stock Price Hurdle is achieved within the Performance Period, then one fourth of the shares subject to the option vest on the date that achievement of the Stock Price Hurdle is certified and the remaining shares vest annually thereafter in three equal installments, subject to continued service to the Company.</w:t>
      </w:r>
    </w:p>
    <w:p>
      <w:pPr>
        <w:spacing w:after="0" w:line="7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underlying the RSU award vest in four equal annual installments beginning on February 15, 2024, subject to continued service to the Company.</w:t>
      </w:r>
    </w:p>
    <w:p>
      <w:pPr>
        <w:spacing w:after="0" w:line="126" w:lineRule="exact"/>
        <w:rPr>
          <w:rFonts w:ascii="Times New Roman" w:cs="Times New Roman" w:eastAsia="Times New Roman" w:hAnsi="Times New Roman"/>
          <w:sz w:val="16"/>
          <w:szCs w:val="16"/>
          <w:color w:val="auto"/>
        </w:rPr>
      </w:pPr>
    </w:p>
    <w:p>
      <w:pPr>
        <w:ind w:left="520" w:hanging="512"/>
        <w:spacing w:after="0" w:line="272" w:lineRule="auto"/>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is subject to vesting requirements based upon achievement of specified performance-based criteria (the "Stock Price Hurdle") which requires that the Company achieves an average closing stock price over a consecutive 20-trading day period equal to or greater than 300% of the stock price on the grant date,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 subject to continued service to the Company.</w:t>
      </w:r>
    </w:p>
    <w:p>
      <w:pPr>
        <w:spacing w:after="0" w:line="77"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underlying the RSU award vest in four equal annual installments beginning on February 15, 2025, subject to continued service to the Company.</w:t>
      </w:r>
    </w:p>
    <w:p>
      <w:pPr>
        <w:spacing w:after="0" w:line="126" w:lineRule="exact"/>
        <w:rPr>
          <w:rFonts w:ascii="Times New Roman" w:cs="Times New Roman" w:eastAsia="Times New Roman" w:hAnsi="Times New Roman"/>
          <w:sz w:val="16"/>
          <w:szCs w:val="16"/>
          <w:color w:val="auto"/>
        </w:rPr>
      </w:pPr>
    </w:p>
    <w:p>
      <w:pPr>
        <w:ind w:left="520" w:right="120" w:hanging="512"/>
        <w:spacing w:after="0" w:line="298" w:lineRule="auto"/>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the option are subject to an early exercise provision and are immediately exercisable. One-fourth of the shares underlying the option vest on April 1, 2021, and the remaining shares vest in 36 equal monthly installments thereafter, subject to continued service to the Company.</w:t>
      </w:r>
    </w:p>
    <w:p>
      <w:pPr>
        <w:spacing w:after="0" w:line="56" w:lineRule="exact"/>
        <w:rPr>
          <w:rFonts w:ascii="Times New Roman" w:cs="Times New Roman" w:eastAsia="Times New Roman" w:hAnsi="Times New Roman"/>
          <w:sz w:val="16"/>
          <w:szCs w:val="16"/>
          <w:color w:val="auto"/>
        </w:rPr>
      </w:pPr>
    </w:p>
    <w:p>
      <w:pPr>
        <w:ind w:left="520" w:hanging="512"/>
        <w:spacing w:after="0" w:line="272" w:lineRule="auto"/>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is subject to vesting requirements based upon achievement of specified performance-based criteria (the "Stock Price Hurdle") which requires that the Company achieves an average closing stock price over a consecutive 20-trading day period equal to or greater than 200% of the stock price on the grant date,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 subject to continued service to the Company.</w:t>
      </w:r>
    </w:p>
    <w:p>
      <w:pPr>
        <w:spacing w:after="0" w:line="77" w:lineRule="exact"/>
        <w:rPr>
          <w:rFonts w:ascii="Times New Roman" w:cs="Times New Roman" w:eastAsia="Times New Roman" w:hAnsi="Times New Roman"/>
          <w:sz w:val="16"/>
          <w:szCs w:val="16"/>
          <w:color w:val="auto"/>
        </w:rPr>
      </w:pPr>
    </w:p>
    <w:p>
      <w:pPr>
        <w:ind w:left="520" w:right="640" w:hanging="512"/>
        <w:spacing w:after="0" w:line="298" w:lineRule="auto"/>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subject to the option vest on February 6, 2025 and 1/48th of the shares vest monthly thereafter, subject to continued service to the Company.</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Change in Control and Severance Agreement</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entered into a change in control and severance agreement (the Severance Agreement) with Dr. Farokhzad which provides for certain severance and change in control benefits as described below.</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his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126" w:lineRule="exact"/>
        <w:rPr>
          <w:sz w:val="20"/>
          <w:szCs w:val="20"/>
          <w:color w:val="auto"/>
        </w:rPr>
      </w:pPr>
    </w:p>
    <w:p>
      <w:pPr>
        <w:ind w:left="1140" w:right="100" w:hanging="383"/>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67" w:lineRule="exact"/>
        <w:rPr>
          <w:rFonts w:ascii="Times New Roman" w:cs="Times New Roman" w:eastAsia="Times New Roman" w:hAnsi="Times New Roman"/>
          <w:sz w:val="18"/>
          <w:szCs w:val="18"/>
          <w:color w:val="auto"/>
        </w:rPr>
      </w:pPr>
    </w:p>
    <w:p>
      <w:pPr>
        <w:ind w:left="1140" w:right="260" w:hanging="383"/>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67"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67" w:lineRule="exact"/>
        <w:rPr>
          <w:rFonts w:ascii="Times New Roman" w:cs="Times New Roman" w:eastAsia="Times New Roman" w:hAnsi="Times New Roman"/>
          <w:sz w:val="18"/>
          <w:szCs w:val="18"/>
          <w:color w:val="auto"/>
        </w:rPr>
      </w:pPr>
    </w:p>
    <w:p>
      <w:pPr>
        <w:ind w:left="1140" w:right="20" w:hanging="383"/>
        <w:spacing w:after="0" w:line="261"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With respect to this acceleration of vesting provision, the Change in Control Period is extended to end on the two-year anniversary of the change in control.</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during the Change in Control Period, Dr. Farokhzad’s employment with the Company is terminated either (1) by the Company without cause and not by reason of his death or disability or (2) by Dr. Farokhzad as a good reason termination, Dr. Farokhzad will receive the following benefits if he timely signs and does not revoke a separation agreement and release of claims in our favor:</w:t>
      </w:r>
    </w:p>
    <w:p>
      <w:pPr>
        <w:spacing w:after="0" w:line="122" w:lineRule="exact"/>
        <w:rPr>
          <w:sz w:val="20"/>
          <w:szCs w:val="20"/>
          <w:color w:val="auto"/>
        </w:rPr>
      </w:pPr>
    </w:p>
    <w:p>
      <w:pPr>
        <w:jc w:val="both"/>
        <w:ind w:left="1140" w:hanging="383"/>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spacing w:after="0" w:line="67" w:lineRule="exact"/>
        <w:rPr>
          <w:rFonts w:ascii="Times New Roman" w:cs="Times New Roman" w:eastAsia="Times New Roman" w:hAnsi="Times New Roman"/>
          <w:sz w:val="18"/>
          <w:szCs w:val="18"/>
          <w:color w:val="auto"/>
        </w:rPr>
      </w:pPr>
    </w:p>
    <w:p>
      <w:pPr>
        <w:ind w:left="1140" w:right="120" w:hanging="383"/>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150% of Dr. Farokhzad’s annualized target bonus as in effect for the performance period in which such termination occurs, or, if greater and Dr. Farokhzad’s termination from employment occurs after the change in control, as in effect for the performance period in which the change in control occurs;</w:t>
      </w:r>
    </w:p>
    <w:p>
      <w:pPr>
        <w:spacing w:after="0" w:line="67" w:lineRule="exact"/>
        <w:rPr>
          <w:rFonts w:ascii="Times New Roman" w:cs="Times New Roman" w:eastAsia="Times New Roman" w:hAnsi="Times New Roman"/>
          <w:sz w:val="18"/>
          <w:szCs w:val="18"/>
          <w:color w:val="auto"/>
        </w:rPr>
      </w:pPr>
    </w:p>
    <w:p>
      <w:pPr>
        <w:ind w:left="1140" w:right="160" w:hanging="383"/>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140" w:right="300" w:hanging="383"/>
        <w:spacing w:after="0" w:line="316"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vesting acceleration of 100% of the shares subject to Dr. Farokhzad’s outstanding time-based equity awards. With respect to this acceleration of vesting provision, the Change in Control Period is extended to end on the two-year anniversary of the change in control</w:t>
      </w:r>
      <w:r>
        <w:rPr>
          <w:rFonts w:ascii="Arial" w:cs="Arial" w:eastAsia="Arial" w:hAnsi="Arial"/>
          <w:sz w:val="17"/>
          <w:szCs w:val="17"/>
          <w:color w:val="auto"/>
        </w:rPr>
        <w:t>.</w:t>
      </w:r>
    </w:p>
    <w:p>
      <w:pPr>
        <w:spacing w:after="0" w:line="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 Under Dr. Farokhzad’s confidentiality, information and inventions agreement with the Company, Dr. Farokhzad has nondisclosure obligations with respect to the Company’s confidential information for so long as such information otherwise is confidential, subject to certain exceptions under applicable law.</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Dr. Farokhzad begins employment or enters into a consultant relationship with a new employer during the period he is receiving severance benefits from us under the Severance Agreement, then any cash compensation paid to him by the new employer will reduce, but not below $1,000, our cash severance benefit obligations under the Severance Agreement, and we will have no obligation to provide COBRA benefits for medical, vision and dental coverage if the new employer provides such benefits to Dr. Farokhzad.</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when Dr. Farokhzad knows or should have known of the initial existence of the good reason condition, and such event or action must not have been reversed, remedied or cured within 30 days following our receipt of such written notice.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Severance Agreement, “change in control” generally has the same meaning as such term is defined in our 2020 Plan (as discussed further below).</w:t>
      </w:r>
    </w:p>
    <w:p>
      <w:pPr>
        <w:spacing w:after="0" w:line="17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Under the terms of the Severance Agreement, a transition by Dr. Farokhzad to a role as the Company’s Executive Chair will not be considered a termination without cause or grounds for his resignation for good reason.</w:t>
      </w:r>
    </w:p>
    <w:p>
      <w:pPr>
        <w:spacing w:after="0" w:line="108"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The following table describes the potential payments that would have been provided to Dr. Farokhzad pursuant to the Severance Agreement in the event that he was terminated outside of the Change in Control Period, assuming such termination occurred on December 31, 2024 (except as otherwise noted).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Salary Severance</w:t>
            </w:r>
          </w:p>
        </w:tc>
        <w:tc>
          <w:tcPr>
            <w:tcW w:w="15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Bonus Severance</w:t>
            </w:r>
          </w:p>
        </w:tc>
        <w:tc>
          <w:tcPr>
            <w:tcW w:w="1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3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0"/>
                <w:szCs w:val="10"/>
                <w:b w:val="1"/>
                <w:bCs w:val="1"/>
                <w:color w:val="auto"/>
              </w:rPr>
              <w:t>(2)</w:t>
            </w:r>
          </w:p>
        </w:tc>
        <w:tc>
          <w:tcPr>
            <w:tcW w:w="138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55"/>
        </w:trPr>
        <w:tc>
          <w:tcPr>
            <w:tcW w:w="2360" w:type="dxa"/>
            <w:vAlign w:val="bottom"/>
            <w:vMerge w:val="continue"/>
          </w:tcPr>
          <w:p>
            <w:pPr>
              <w:spacing w:after="0"/>
              <w:rPr>
                <w:sz w:val="13"/>
                <w:szCs w:val="13"/>
                <w:color w:val="auto"/>
              </w:rPr>
            </w:pPr>
          </w:p>
        </w:tc>
        <w:tc>
          <w:tcPr>
            <w:tcW w:w="2120" w:type="dxa"/>
            <w:vAlign w:val="bottom"/>
          </w:tcPr>
          <w:p>
            <w:pPr>
              <w:jc w:val="center"/>
              <w:ind w:left="282"/>
              <w:spacing w:after="0" w:line="155"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58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42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Reimbursements ($)</w:t>
            </w:r>
          </w:p>
        </w:tc>
        <w:tc>
          <w:tcPr>
            <w:tcW w:w="360" w:type="dxa"/>
            <w:vAlign w:val="bottom"/>
          </w:tcPr>
          <w:p>
            <w:pPr>
              <w:spacing w:after="0"/>
              <w:rPr>
                <w:sz w:val="13"/>
                <w:szCs w:val="13"/>
                <w:color w:val="auto"/>
              </w:rPr>
            </w:pPr>
          </w:p>
        </w:tc>
        <w:tc>
          <w:tcPr>
            <w:tcW w:w="2020" w:type="dxa"/>
            <w:vAlign w:val="bottom"/>
          </w:tcPr>
          <w:p>
            <w:pPr>
              <w:jc w:val="right"/>
              <w:ind w:right="390"/>
              <w:spacing w:after="0" w:line="155" w:lineRule="exact"/>
              <w:rPr>
                <w:sz w:val="20"/>
                <w:szCs w:val="20"/>
                <w:color w:val="auto"/>
              </w:rPr>
            </w:pPr>
            <w:r>
              <w:rPr>
                <w:rFonts w:ascii="Times New Roman" w:cs="Times New Roman" w:eastAsia="Times New Roman" w:hAnsi="Times New Roman"/>
                <w:sz w:val="14"/>
                <w:szCs w:val="14"/>
                <w:b w:val="1"/>
                <w:bCs w:val="1"/>
                <w:color w:val="auto"/>
              </w:rPr>
              <w:t>Equity Acceleration ($)</w:t>
            </w: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212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623,019</w:t>
            </w:r>
          </w:p>
        </w:tc>
        <w:tc>
          <w:tcPr>
            <w:tcW w:w="15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423,653</w:t>
            </w:r>
          </w:p>
        </w:tc>
        <w:tc>
          <w:tcPr>
            <w:tcW w:w="178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23,469</w:t>
            </w:r>
          </w:p>
        </w:tc>
        <w:tc>
          <w:tcPr>
            <w:tcW w:w="20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1,777,010</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2,847,151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00" w:right="300" w:hanging="292"/>
        <w:spacing w:after="0" w:line="281" w:lineRule="auto"/>
        <w:tabs>
          <w:tab w:leader="none" w:pos="3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estimates of the premiums to maintain group health insurance continuation benefits pursuant to COBRA for Dr. Farokhzad and the respective eligible dependents for 12 months. The amounts presented are based on estimates for maintaining group health insurance continuation benefits under our applicable 2024 group health plans.</w:t>
      </w:r>
    </w:p>
    <w:p>
      <w:pPr>
        <w:spacing w:after="0" w:line="69" w:lineRule="exact"/>
        <w:rPr>
          <w:rFonts w:ascii="Times New Roman" w:cs="Times New Roman" w:eastAsia="Times New Roman" w:hAnsi="Times New Roman"/>
          <w:sz w:val="16"/>
          <w:szCs w:val="16"/>
          <w:color w:val="auto"/>
        </w:rPr>
      </w:pPr>
    </w:p>
    <w:p>
      <w:pPr>
        <w:jc w:val="both"/>
        <w:ind w:left="300" w:right="80" w:hanging="292"/>
        <w:spacing w:after="0" w:line="281" w:lineRule="auto"/>
        <w:tabs>
          <w:tab w:leader="none" w:pos="3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of the accelerated RSUs in this table are calculated by multiplying the number of shares subject to acceleration by the closing price of our common stock on December 31, 2024, which was $2.31 per share. The value of the accelerated stock options is calculated by multiplying (x) the number of shares subject to acceleration for each stock option by (y) the closing price per share minus the applicable exercise price per share.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describes the potential payments that would have been provided to Dr. Farokhzad pursuant to the Severance Agreement if, during the Change in Control Period, he was terminated either (1) by the Company without cause and not by reason of his death or disability or (2) by Dr. Farokhzad as a good reason termination, assuming such termination occurred on December 31, 2024 (except as otherwise noted).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8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Salary Severance</w:t>
            </w:r>
          </w:p>
        </w:tc>
        <w:tc>
          <w:tcPr>
            <w:tcW w:w="16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Bonus Severance</w:t>
            </w:r>
          </w:p>
        </w:tc>
        <w:tc>
          <w:tcPr>
            <w:tcW w:w="174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190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Equity Acceleration ($)</w:t>
            </w:r>
          </w:p>
        </w:tc>
        <w:tc>
          <w:tcPr>
            <w:tcW w:w="140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35"/>
        </w:trPr>
        <w:tc>
          <w:tcPr>
            <w:tcW w:w="2420" w:type="dxa"/>
            <w:vAlign w:val="bottom"/>
            <w:vMerge w:val="continue"/>
          </w:tcPr>
          <w:p>
            <w:pPr>
              <w:spacing w:after="0"/>
              <w:rPr>
                <w:sz w:val="11"/>
                <w:szCs w:val="11"/>
                <w:color w:val="auto"/>
              </w:rPr>
            </w:pPr>
          </w:p>
        </w:tc>
        <w:tc>
          <w:tcPr>
            <w:tcW w:w="2180" w:type="dxa"/>
            <w:vAlign w:val="bottom"/>
          </w:tcPr>
          <w:p>
            <w:pPr>
              <w:jc w:val="center"/>
              <w:ind w:left="262"/>
              <w:spacing w:after="0" w:line="135"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60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Reimbursements ($)</w:t>
            </w:r>
            <w:r>
              <w:rPr>
                <w:rFonts w:ascii="Times New Roman" w:cs="Times New Roman" w:eastAsia="Times New Roman" w:hAnsi="Times New Roman"/>
                <w:sz w:val="15"/>
                <w:szCs w:val="15"/>
                <w:b w:val="1"/>
                <w:bCs w:val="1"/>
                <w:color w:val="auto"/>
                <w:vertAlign w:val="superscript"/>
              </w:rPr>
              <w:t>(1)</w:t>
            </w:r>
          </w:p>
        </w:tc>
        <w:tc>
          <w:tcPr>
            <w:tcW w:w="1900" w:type="dxa"/>
            <w:vAlign w:val="bottom"/>
          </w:tcPr>
          <w:p>
            <w:pPr>
              <w:jc w:val="right"/>
              <w:ind w:right="930"/>
              <w:spacing w:after="0"/>
              <w:rPr>
                <w:sz w:val="20"/>
                <w:szCs w:val="20"/>
                <w:color w:val="auto"/>
              </w:rPr>
            </w:pPr>
            <w:r>
              <w:rPr>
                <w:rFonts w:ascii="Times New Roman" w:cs="Times New Roman" w:eastAsia="Times New Roman" w:hAnsi="Times New Roman"/>
                <w:sz w:val="10"/>
                <w:szCs w:val="10"/>
                <w:b w:val="1"/>
                <w:bCs w:val="1"/>
                <w:color w:val="auto"/>
              </w:rPr>
              <w:t>(2)</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21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8"/>
                <w:szCs w:val="18"/>
                <w:color w:val="auto"/>
              </w:rPr>
              <w:t>934,528</w:t>
            </w:r>
          </w:p>
        </w:tc>
        <w:tc>
          <w:tcPr>
            <w:tcW w:w="16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635,479</w:t>
            </w:r>
          </w:p>
        </w:tc>
        <w:tc>
          <w:tcPr>
            <w:tcW w:w="17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rPr>
              <w:t>60,348</w:t>
            </w:r>
          </w:p>
        </w:tc>
        <w:tc>
          <w:tcPr>
            <w:tcW w:w="19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3,554,019</w:t>
            </w: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5,184,374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00" w:right="300" w:hanging="292"/>
        <w:spacing w:after="0" w:line="281" w:lineRule="auto"/>
        <w:tabs>
          <w:tab w:leader="none" w:pos="3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estimates of the premiums to maintain group health insurance continuation benefits pursuant to COBRA for Dr. Farokhzad and the respective eligible dependents for 18 months. The amounts presented are based on estimates for maintaining group health insurance continuation benefits under our applicable 2024 group health plans.</w:t>
      </w:r>
    </w:p>
    <w:p>
      <w:pPr>
        <w:spacing w:after="0" w:line="69" w:lineRule="exact"/>
        <w:rPr>
          <w:rFonts w:ascii="Times New Roman" w:cs="Times New Roman" w:eastAsia="Times New Roman" w:hAnsi="Times New Roman"/>
          <w:sz w:val="16"/>
          <w:szCs w:val="16"/>
          <w:color w:val="auto"/>
        </w:rPr>
      </w:pPr>
    </w:p>
    <w:p>
      <w:pPr>
        <w:jc w:val="both"/>
        <w:ind w:left="300" w:right="80" w:hanging="292"/>
        <w:spacing w:after="0" w:line="281" w:lineRule="auto"/>
        <w:tabs>
          <w:tab w:leader="none" w:pos="3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of the accelerated RSUs in this table are calculated by multiplying the number of shares subject to acceleration by the closing price of our common stock on December 31, 2024, which was $2.31 per share. The value of the accelerated stock options is calculated by multiplying (x) the number of shares subject to acceleration for each stock option by (y) the closing price per share minus the applicable exercise price per share.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Executive Change in Control and Severance Plan</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maintain a Key Executive Change in Control and Severance Plan (the Severance Plan), which we adopted in December 2020, in order to provide specified severance and change in control pay and benefits, to key executives selected by us. We have entered into participation agreements with each of Mr. Horn and Ms. Kogan (each, a Participation Agreement) under our Severance Plan. Ms. Kogan’s participation in the Severance Plan terminated in connection with her resignation in July 2024.</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Severance Plan and related Participation Agreements provide that if Mr. Horn’s or Ms. Kogan’s employment is terminated outside the period beginning on the date of a change in control and ending on the one-year anniversary date of such change in control (the Key Executive Change in Control Period) either (1) by the Company without “cause” and not by reason of his or her death or disability or (2) by the named executive officer as a “good reason termination” (as such terms are defined in his or her Participation Agreement), the named executive officer will receive the following benefits if he or she timely signs and does not revoke a separation agreement and release of claims in our favor:</w:t>
      </w:r>
    </w:p>
    <w:p>
      <w:pPr>
        <w:spacing w:after="0" w:line="129" w:lineRule="exact"/>
        <w:rPr>
          <w:sz w:val="20"/>
          <w:szCs w:val="20"/>
          <w:color w:val="auto"/>
        </w:rPr>
      </w:pPr>
    </w:p>
    <w:p>
      <w:pPr>
        <w:jc w:val="both"/>
        <w:ind w:left="1140" w:right="120" w:hanging="383"/>
        <w:spacing w:after="0" w:line="266"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spacing w:after="0" w:line="67" w:lineRule="exact"/>
        <w:rPr>
          <w:rFonts w:ascii="Times New Roman" w:cs="Times New Roman" w:eastAsia="Times New Roman" w:hAnsi="Times New Roman"/>
          <w:sz w:val="18"/>
          <w:szCs w:val="18"/>
          <w:color w:val="auto"/>
        </w:rPr>
      </w:pPr>
    </w:p>
    <w:p>
      <w:pPr>
        <w:ind w:left="1140" w:right="520" w:hanging="383"/>
        <w:spacing w:after="0" w:line="266"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named executive officer and his or her eligible dependents have qualifying health care at the time of such termination, then either reimbursements for or direct payments of premiums for coverage under COBRA, for the named executive officer and his eligible dependents, if any, for up to nine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during the Key Executive Change in Control Period, Mr. Horn or Ms. Kogan’s employment with the Company is terminated either (1) by the Company without cause and not by reason of his or her death or disability or (2) by the named executive officer as a good reason termination, the named executive officer will receive the following benefits if he or she timely signs and does not revoke a separation agreement and release of claims in our favor:</w:t>
      </w:r>
    </w:p>
    <w:p>
      <w:pPr>
        <w:spacing w:after="0" w:line="122" w:lineRule="exact"/>
        <w:rPr>
          <w:sz w:val="20"/>
          <w:szCs w:val="20"/>
          <w:color w:val="auto"/>
        </w:rPr>
      </w:pPr>
    </w:p>
    <w:p>
      <w:pPr>
        <w:ind w:left="1140" w:hanging="383"/>
        <w:spacing w:after="0" w:line="266"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spacing w:after="0" w:line="67"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spacing w:after="0" w:line="53" w:lineRule="exact"/>
        <w:rPr>
          <w:rFonts w:ascii="Times New Roman" w:cs="Times New Roman" w:eastAsia="Times New Roman" w:hAnsi="Times New Roman"/>
          <w:sz w:val="18"/>
          <w:szCs w:val="18"/>
          <w:color w:val="auto"/>
        </w:rPr>
      </w:pPr>
    </w:p>
    <w:p>
      <w:pPr>
        <w:ind w:left="1140" w:right="200" w:hanging="383"/>
        <w:spacing w:after="0" w:line="266"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named executive officer and his or her eligible dependents have qualifying health care at the time of such termination, then either reimbursements for or direct payments of payment of premiums for coverage under COBRA, for a named executive officer and his or her eligible dependents, if any, for up to twelve months; and</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100% of the shares subject to a named executive officer’s outstanding time-based equity awards.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signing and not revoking a separation agreement and release of claims in our favor, the named executive officer's receipt and retention of any severance benefits under the Participation Agreement is subject to his or her compliance with the terms of any confidentiality, information and inventions agreement or other written agreement with us under which he or she has a material duty or obligation to us. Under the confidentiality, information and inventions agreement that the named executive officer entered into with the Company, the named executive officer has nondisclosure obligations with respect to the Company’s confidential information for so long as such information otherwise is confidential, subject to certain exceptions under applicable law.</w:t>
      </w:r>
    </w:p>
    <w:p>
      <w:pPr>
        <w:spacing w:after="0" w:line="133"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If Mr. Horn or Ms. Kogan begins employment or enters into a consultant relationship with a new employer during the period he or she is receiving severance benefits from us under the Severance Plan and a related Participation Agreement, then any cash compensation paid to the named executive officer by the new employer will reduce, but not below $1,000, our cash severance benefit obligations under the Severance Plan, and we will have no obligation to provide for (or provide any payments in lieu of) medical, vision and dental coverage if the new employer provides such benefits to such named executive officer.</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if, (a) during the time period beginning upon the consummation of a change in control and ending on the date immediately prior to the two year anniversary of the change in control (such two-year anniversary, the Retention Date), the employment of Mr. Horn or Ms. Kogan with the Company (or any parent or subsidiary of the Company) is terminated either (1) by the Company without cause and not by reason of his or her death or disability, or (2) by the named executive officer as a good reason termination, or (b) such named executive officer remains employed by the Company (or any parent or subsidiary of the Company) through the Retention Date, and if the named executive officer timely signs and does not revoke a release of claims in our favor, the named executive officer will receive 100% accelerated vesting of all of his or her then-unvested and outstanding Company equity awards that were granted prior to our initial public offering.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each of Mr. Horn or Ms. Kogan’s Participation Agreements, “cause” generally means the named executive officer’s: failure to significantly perform his or her assigned duties or responsibilities as an employee (other than a failure 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 reputation of the Company, and failure to cure such misconduct within ten days after receiving written notice from the Company.</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each of Mr. Horn or Ms. Kogan’s Participation Agreements, “good reason termination” generally means that such named executive officer resigns from the Company within 60 days following the end of our cure period discussed below as a result of any of the following that occurs without the named executive officer's written consent: a material reduction in the named executive officer's base salary as compared to his or her base salary in effect immediately prior to such reduction; a material change in the geographic location of his or her primary work facility or location, provided, that a relocation that increases the named executive officer's commute by 50 miles or less or to his home as the executive’s primary work location will not be considered a material change in geographic location; or a material reduction of his authority, duties or responsibilities, unless the named executive officer is provided with a comparable position. For a resignation to qualify as a “good reason termination,” a named executive officer also must provide written notice within 60 days following the initial existence of the good reason condition, and such event or action must not have been reversed, remedied or cured within 30 days following our receipt of such written notice.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Severance Plan, “change in control” generally has the same meaning as such term is defined in our 2020 Plan (as discussed further below).</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describes the potential payments under the Severance Plan that would have been provided to the named executive officer participating in the Severance Plan as of the end of fiscal 2024, in the event that they were terminated outside of the Key Executive Change in Control Period, assuming such termination occurred on December 31, 2024 (except as otherwise noted). Ms. Kogan’s participation in the Severance Plan terminated in connection with her resignation in July 2024. She did not receive any severance benefits in connection with such departure.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88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Salary Severance Payments ($)</w:t>
            </w:r>
          </w:p>
        </w:tc>
        <w:tc>
          <w:tcPr>
            <w:tcW w:w="15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(1)</w:t>
            </w:r>
          </w:p>
        </w:tc>
        <w:tc>
          <w:tcPr>
            <w:tcW w:w="1740" w:type="dxa"/>
            <w:vAlign w:val="bottom"/>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55"/>
        </w:trPr>
        <w:tc>
          <w:tcPr>
            <w:tcW w:w="3080" w:type="dxa"/>
            <w:vAlign w:val="bottom"/>
            <w:vMerge w:val="continue"/>
          </w:tcPr>
          <w:p>
            <w:pPr>
              <w:spacing w:after="0"/>
              <w:rPr>
                <w:sz w:val="13"/>
                <w:szCs w:val="13"/>
                <w:color w:val="auto"/>
              </w:rPr>
            </w:pPr>
          </w:p>
        </w:tc>
        <w:tc>
          <w:tcPr>
            <w:tcW w:w="3880" w:type="dxa"/>
            <w:vAlign w:val="bottom"/>
            <w:vMerge w:val="continue"/>
          </w:tcPr>
          <w:p>
            <w:pPr>
              <w:spacing w:after="0"/>
              <w:rPr>
                <w:sz w:val="13"/>
                <w:szCs w:val="13"/>
                <w:color w:val="auto"/>
              </w:rPr>
            </w:pPr>
          </w:p>
        </w:tc>
        <w:tc>
          <w:tcPr>
            <w:tcW w:w="1580" w:type="dxa"/>
            <w:vAlign w:val="bottom"/>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Reimbursements ($)</w:t>
            </w:r>
          </w:p>
        </w:tc>
        <w:tc>
          <w:tcPr>
            <w:tcW w:w="96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Horn</w:t>
            </w:r>
          </w:p>
        </w:tc>
        <w:tc>
          <w:tcPr>
            <w:tcW w:w="388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rPr>
              <w:t>396,844</w:t>
            </w:r>
          </w:p>
        </w:tc>
        <w:tc>
          <w:tcPr>
            <w:tcW w:w="1580" w:type="dxa"/>
            <w:vAlign w:val="bottom"/>
            <w:shd w:val="clear" w:color="auto" w:fill="CFF0FC"/>
          </w:tcPr>
          <w:p>
            <w:pPr>
              <w:spacing w:after="0"/>
              <w:rPr>
                <w:sz w:val="18"/>
                <w:szCs w:val="18"/>
                <w:color w:val="auto"/>
              </w:rPr>
            </w:pP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23,469</w:t>
            </w: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420,313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00" w:right="40" w:hanging="292"/>
        <w:spacing w:after="0" w:line="281" w:lineRule="auto"/>
        <w:tabs>
          <w:tab w:leader="none" w:pos="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reported in this column represent estimates of the premiums to maintain group health insurance continuation benefits pursuant to COBRA for the executive and the executive’s respective eligible dependents for nine months. The amount presented is based on estimates for maintaining group health insurance continuation benefits under our applicable 2024 group health plans.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describes the potential payments under the Severance Plan that would have been provided to the named executive officer participating in the Severance Plan as of the end of fiscal 2024, in the event that they were terminated during the Key Executive Change in Control Period, assuming such termination occurred on December 31, 2024 (except as otherwise noted).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30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Salary Severance</w:t>
            </w:r>
          </w:p>
        </w:tc>
        <w:tc>
          <w:tcPr>
            <w:tcW w:w="16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Bonus Severance</w:t>
            </w:r>
          </w:p>
        </w:tc>
        <w:tc>
          <w:tcPr>
            <w:tcW w:w="16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COBRA Premium</w:t>
            </w:r>
          </w:p>
        </w:tc>
        <w:tc>
          <w:tcPr>
            <w:tcW w:w="182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Equity Acceleration</w:t>
            </w:r>
          </w:p>
        </w:tc>
        <w:tc>
          <w:tcPr>
            <w:tcW w:w="146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2380" w:type="dxa"/>
            <w:vAlign w:val="bottom"/>
            <w:vMerge w:val="continue"/>
          </w:tcPr>
          <w:p>
            <w:pPr>
              <w:spacing w:after="0"/>
              <w:rPr>
                <w:sz w:val="15"/>
                <w:szCs w:val="15"/>
                <w:color w:val="auto"/>
              </w:rPr>
            </w:pPr>
          </w:p>
        </w:tc>
        <w:tc>
          <w:tcPr>
            <w:tcW w:w="230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16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168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Reimbursements ($)</w:t>
            </w:r>
            <w:r>
              <w:rPr>
                <w:rFonts w:ascii="Times New Roman" w:cs="Times New Roman" w:eastAsia="Times New Roman" w:hAnsi="Times New Roman"/>
                <w:sz w:val="19"/>
                <w:szCs w:val="19"/>
                <w:b w:val="1"/>
                <w:bCs w:val="1"/>
                <w:color w:val="auto"/>
                <w:w w:val="98"/>
                <w:vertAlign w:val="superscript"/>
              </w:rPr>
              <w:t>(1)</w:t>
            </w:r>
          </w:p>
        </w:tc>
        <w:tc>
          <w:tcPr>
            <w:tcW w:w="1820" w:type="dxa"/>
            <w:vAlign w:val="bottom"/>
          </w:tcPr>
          <w:p>
            <w:pPr>
              <w:jc w:val="center"/>
              <w:ind w:right="802"/>
              <w:spacing w:after="0" w:line="17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(2)</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Horn</w:t>
            </w:r>
          </w:p>
        </w:tc>
        <w:tc>
          <w:tcPr>
            <w:tcW w:w="2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8"/>
                <w:szCs w:val="18"/>
                <w:color w:val="auto"/>
              </w:rPr>
              <w:t>529,125</w:t>
            </w:r>
          </w:p>
        </w:tc>
        <w:tc>
          <w:tcPr>
            <w:tcW w:w="1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197,886</w:t>
            </w:r>
          </w:p>
        </w:tc>
        <w:tc>
          <w:tcPr>
            <w:tcW w:w="16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40,232</w:t>
            </w:r>
          </w:p>
        </w:tc>
        <w:tc>
          <w:tcPr>
            <w:tcW w:w="1820" w:type="dxa"/>
            <w:vAlign w:val="bottom"/>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1,099,953</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1,867,196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00" w:right="40" w:hanging="292"/>
        <w:spacing w:after="0" w:line="281" w:lineRule="auto"/>
        <w:tabs>
          <w:tab w:leader="none" w:pos="3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reported in this column represent estimates of the premiums to maintain group health insurance continuation benefits pursuant to COBRA for the executive and the executive’s respective eligible dependents for 12 months. The amount presented is based on estimates for maintaining group health insurance continuation benefits under our applicable 2024 group health plans.</w:t>
      </w:r>
    </w:p>
    <w:p>
      <w:pPr>
        <w:spacing w:after="0" w:line="69" w:lineRule="exact"/>
        <w:rPr>
          <w:rFonts w:ascii="Times New Roman" w:cs="Times New Roman" w:eastAsia="Times New Roman" w:hAnsi="Times New Roman"/>
          <w:sz w:val="16"/>
          <w:szCs w:val="16"/>
          <w:color w:val="auto"/>
        </w:rPr>
      </w:pPr>
    </w:p>
    <w:p>
      <w:pPr>
        <w:jc w:val="both"/>
        <w:ind w:left="300" w:right="220" w:hanging="292"/>
        <w:spacing w:after="0" w:line="269" w:lineRule="auto"/>
        <w:tabs>
          <w:tab w:leader="none" w:pos="3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the accelerated RSUs in this table is calculated by multiplying the number of shares subject to acceleration by the closing price of our Class A common stock on the Nasdaq Global Select Market on December 31, 2024, which was $2.31 per share. The value of the accelerated stock options is calculated by multiplying</w:t>
      </w: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the number of shares subject to acceleration for each stock option by (y) such closing price per share of $2.31 minus the applicable exercise price per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 and Performance-Based Stock Option Acceleration Features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of our 2017 Stock Incentive Plan, as amended and restated (the 2017 Plan), 2020 RSU Equity Incentive Plan (the RSU Plan) and 2020 Plan provides that in the event of a merger or “change in control” (or, with respect to the 2017 Plan, a “change in control transaction”) as defined thereunder, if a successor corporation or its parent or subsidiary does not assume or substitute an equivalent award for any outstanding award, then such award generally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and, if not exercised during the specified period, will terminate upon the expiration of such period.</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2024, each of our named executive officers was granted a performance-based stock option under which our stock price is required to grow to 200% of the fair market value on the date of grant, with achievement of the stock price goal measured based on the average closing price for a consecutive 20-trading day period (that is, the stock price is required to achieve an average closing price of $3.54 over a consecutive 20-trading day period from the exercise price of $1.77 per share) before the option shares become eligible to vest under a time-based schedule. Once the option has met the stock price target, it is considered a time-based equity award for purposes of Dr. Farokhzad’s Severance Agreement and Mr. Horn and Ms. Kogan’s participation in the Severance Plan. In the event of a change in control, the achievement of this stock price goal is determined based on the change in control price and, if the stock price goal is achieved, any additional time-based vesting requirements are waived, and the options vest in full, as long as the named executive remains in service to us as of immediately prior to the completion of the change in control. However, for Dr. Farokhzad only, if, during the period that is three months prior to a change in control, his employment with us terminates either (1) by the Company without “cause” and not by reason of his death or disability or (2) by Dr. Farokhzad as a “good reason termination” (as such terms are defined in the Severance Agreement), then his performance-based stock option will remain outstanding and eligible to achieve the stock price goal based on the change in control price and, if it is achieved, the option will be considered to be a time-based award for purposes of his Severance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2020 Plan and RSU Plan, “change in control” generally means a change in our stock ownership upon a person or persons acting together acquiring our stock that results in their ownership of more than fifty percent (50%) of the total voting power of our stock; a change in our effective control that results in a majority of our Board members being replaced over twelve (12) months by directors not endorsed by a majority of the Board members prior to such appointment or election; or a change in ownership of fifty percent (50%) or more of our assets (based on total gross fair market value), in each case, subject to certain exceptions.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our 2017 Plan, “change in control transaction” generally means our merging or consolidating with another corporation whereby our stockholders no longer own at least fifty percent (50%) of the voting power of the Company or the surviving or resulting corporation, as applicable; stock with fifty percent (50%) or more of the voting power of the Company is transferred to an unrelated third party; or if we are liquidated, or sell or otherwise dispose of all or substantially all our assets.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our other named executive officers (our Non-PEO NEOs) and Company performance for the fiscal years listed below. The talent and compensation committee did not consider the pay versus performance disclosure below in making its pay decisions for any of the years shown.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4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6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2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840" w:type="dxa"/>
            <w:vAlign w:val="bottom"/>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720" w:type="dxa"/>
            <w:vAlign w:val="bottom"/>
            <w:vMerge w:val="restart"/>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40" w:type="dxa"/>
            <w:vAlign w:val="bottom"/>
            <w:vMerge w:val="continue"/>
          </w:tcPr>
          <w:p>
            <w:pPr>
              <w:spacing w:after="0"/>
              <w:rPr>
                <w:sz w:val="12"/>
                <w:szCs w:val="12"/>
                <w:color w:val="auto"/>
              </w:rPr>
            </w:pPr>
          </w:p>
        </w:tc>
        <w:tc>
          <w:tcPr>
            <w:tcW w:w="166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72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6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6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72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5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40" w:type="dxa"/>
            <w:vAlign w:val="bottom"/>
          </w:tcPr>
          <w:p>
            <w:pPr>
              <w:jc w:val="center"/>
              <w:ind w:left="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PEO</w:t>
            </w:r>
          </w:p>
        </w:tc>
        <w:tc>
          <w:tcPr>
            <w:tcW w:w="16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6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Non-PEO NEOs ($)</w:t>
            </w:r>
          </w:p>
        </w:tc>
        <w:tc>
          <w:tcPr>
            <w:tcW w:w="17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 on</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vMerge w:val="continue"/>
          </w:tcPr>
          <w:p>
            <w:pPr>
              <w:spacing w:after="0"/>
              <w:rPr>
                <w:sz w:val="11"/>
                <w:szCs w:val="11"/>
                <w:color w:val="auto"/>
              </w:rPr>
            </w:pPr>
          </w:p>
        </w:tc>
        <w:tc>
          <w:tcPr>
            <w:tcW w:w="1840" w:type="dxa"/>
            <w:vAlign w:val="bottom"/>
          </w:tcPr>
          <w:p>
            <w:pPr>
              <w:jc w:val="center"/>
              <w:ind w:left="41"/>
              <w:spacing w:after="0" w:line="135" w:lineRule="exact"/>
              <w:rPr>
                <w:sz w:val="20"/>
                <w:szCs w:val="20"/>
                <w:color w:val="auto"/>
              </w:rPr>
            </w:pPr>
            <w:r>
              <w:rPr>
                <w:rFonts w:ascii="Times New Roman" w:cs="Times New Roman" w:eastAsia="Times New Roman" w:hAnsi="Times New Roman"/>
                <w:sz w:val="12"/>
                <w:szCs w:val="12"/>
                <w:b w:val="1"/>
                <w:bCs w:val="1"/>
                <w:color w:val="auto"/>
              </w:rPr>
              <w:t>Total for PEO ($)</w:t>
            </w:r>
            <w:r>
              <w:rPr>
                <w:rFonts w:ascii="Times New Roman" w:cs="Times New Roman" w:eastAsia="Times New Roman" w:hAnsi="Times New Roman"/>
                <w:sz w:val="15"/>
                <w:szCs w:val="15"/>
                <w:b w:val="1"/>
                <w:bCs w:val="1"/>
                <w:color w:val="auto"/>
                <w:vertAlign w:val="superscript"/>
              </w:rPr>
              <w:t>(1)</w:t>
            </w:r>
          </w:p>
        </w:tc>
        <w:tc>
          <w:tcPr>
            <w:tcW w:w="172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(1)(2)(3)</w:t>
            </w: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NEOs ($)</w:t>
            </w:r>
            <w:r>
              <w:rPr>
                <w:rFonts w:ascii="Times New Roman" w:cs="Times New Roman" w:eastAsia="Times New Roman" w:hAnsi="Times New Roman"/>
                <w:sz w:val="15"/>
                <w:szCs w:val="15"/>
                <w:b w:val="1"/>
                <w:bCs w:val="1"/>
                <w:color w:val="auto"/>
                <w:vertAlign w:val="superscript"/>
              </w:rPr>
              <w:t>(1)</w:t>
            </w:r>
          </w:p>
        </w:tc>
        <w:tc>
          <w:tcPr>
            <w:tcW w:w="1660" w:type="dxa"/>
            <w:vAlign w:val="bottom"/>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7"/>
              </w:rPr>
              <w:t>(1)(2)(3)</w:t>
            </w:r>
          </w:p>
        </w:tc>
        <w:tc>
          <w:tcPr>
            <w:tcW w:w="1720" w:type="dxa"/>
            <w:vAlign w:val="bottom"/>
          </w:tcPr>
          <w:p>
            <w:pPr>
              <w:jc w:val="center"/>
              <w:ind w:right="122"/>
              <w:spacing w:after="0" w:line="135" w:lineRule="exact"/>
              <w:rPr>
                <w:sz w:val="20"/>
                <w:szCs w:val="20"/>
                <w:color w:val="auto"/>
              </w:rPr>
            </w:pPr>
            <w:r>
              <w:rPr>
                <w:rFonts w:ascii="Times New Roman" w:cs="Times New Roman" w:eastAsia="Times New Roman" w:hAnsi="Times New Roman"/>
                <w:sz w:val="12"/>
                <w:szCs w:val="12"/>
                <w:b w:val="1"/>
                <w:bCs w:val="1"/>
                <w:color w:val="auto"/>
              </w:rPr>
              <w:t>TSR ($)</w:t>
            </w:r>
            <w:r>
              <w:rPr>
                <w:rFonts w:ascii="Times New Roman" w:cs="Times New Roman" w:eastAsia="Times New Roman" w:hAnsi="Times New Roman"/>
                <w:sz w:val="15"/>
                <w:szCs w:val="15"/>
                <w:b w:val="1"/>
                <w:bCs w:val="1"/>
                <w:color w:val="auto"/>
                <w:vertAlign w:val="superscript"/>
              </w:rPr>
              <w:t>(4)</w:t>
            </w:r>
          </w:p>
        </w:tc>
        <w:tc>
          <w:tcPr>
            <w:tcW w:w="1580" w:type="dxa"/>
            <w:vAlign w:val="bottom"/>
          </w:tcPr>
          <w:p>
            <w:pPr>
              <w:jc w:val="right"/>
              <w:ind w:right="317"/>
              <w:spacing w:after="0" w:line="135" w:lineRule="exact"/>
              <w:rPr>
                <w:sz w:val="20"/>
                <w:szCs w:val="20"/>
                <w:color w:val="auto"/>
              </w:rPr>
            </w:pPr>
            <w:r>
              <w:rPr>
                <w:rFonts w:ascii="Times New Roman" w:cs="Times New Roman" w:eastAsia="Times New Roman" w:hAnsi="Times New Roman"/>
                <w:sz w:val="14"/>
                <w:szCs w:val="14"/>
                <w:b w:val="1"/>
                <w:bCs w:val="1"/>
                <w:color w:val="auto"/>
              </w:rPr>
              <w:t>($ Thousands)</w:t>
            </w:r>
          </w:p>
        </w:tc>
        <w:tc>
          <w:tcPr>
            <w:tcW w:w="0" w:type="dxa"/>
            <w:vAlign w:val="bottom"/>
          </w:tcPr>
          <w:p>
            <w:pPr>
              <w:spacing w:after="0"/>
              <w:rPr>
                <w:sz w:val="1"/>
                <w:szCs w:val="1"/>
                <w:color w:val="auto"/>
              </w:rPr>
            </w:pPr>
          </w:p>
        </w:tc>
      </w:tr>
      <w:tr>
        <w:trPr>
          <w:trHeight w:val="216"/>
        </w:trPr>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84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3,549,950</w:t>
            </w:r>
          </w:p>
        </w:tc>
        <w:tc>
          <w:tcPr>
            <w:tcW w:w="172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8"/>
                <w:szCs w:val="18"/>
                <w:color w:val="auto"/>
              </w:rPr>
              <w:t>4,581,646</w:t>
            </w:r>
          </w:p>
        </w:tc>
        <w:tc>
          <w:tcPr>
            <w:tcW w:w="16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1,118,658</w:t>
            </w:r>
          </w:p>
        </w:tc>
        <w:tc>
          <w:tcPr>
            <w:tcW w:w="16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8"/>
                <w:szCs w:val="18"/>
                <w:color w:val="auto"/>
              </w:rPr>
              <w:t>790,704</w:t>
            </w:r>
          </w:p>
        </w:tc>
        <w:tc>
          <w:tcPr>
            <w:tcW w:w="172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10.13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(86,599)</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4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5,197,331</w:t>
            </w:r>
          </w:p>
        </w:tc>
        <w:tc>
          <w:tcPr>
            <w:tcW w:w="172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rPr>
              <w:t>(136,662)</w:t>
            </w:r>
          </w:p>
        </w:tc>
        <w:tc>
          <w:tcPr>
            <w:tcW w:w="164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1,407,506</w:t>
            </w:r>
          </w:p>
        </w:tc>
        <w:tc>
          <w:tcPr>
            <w:tcW w:w="166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auto"/>
              </w:rPr>
              <w:t>(320,892)</w:t>
            </w:r>
          </w:p>
        </w:tc>
        <w:tc>
          <w:tcPr>
            <w:tcW w:w="1720" w:type="dxa"/>
            <w:vAlign w:val="bottom"/>
          </w:tcPr>
          <w:p>
            <w:pPr>
              <w:jc w:val="right"/>
              <w:ind w:right="222"/>
              <w:spacing w:after="0"/>
              <w:rPr>
                <w:sz w:val="20"/>
                <w:szCs w:val="20"/>
                <w:color w:val="auto"/>
              </w:rPr>
            </w:pPr>
            <w:r>
              <w:rPr>
                <w:rFonts w:ascii="Times New Roman" w:cs="Times New Roman" w:eastAsia="Times New Roman" w:hAnsi="Times New Roman"/>
                <w:sz w:val="18"/>
                <w:szCs w:val="18"/>
                <w:color w:val="auto"/>
              </w:rPr>
              <w:t>8.51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(86,277)</w:t>
            </w:r>
          </w:p>
        </w:tc>
        <w:tc>
          <w:tcPr>
            <w:tcW w:w="0" w:type="dxa"/>
            <w:vAlign w:val="bottom"/>
          </w:tcPr>
          <w:p>
            <w:pPr>
              <w:spacing w:after="0"/>
              <w:rPr>
                <w:sz w:val="1"/>
                <w:szCs w:val="1"/>
                <w:color w:val="auto"/>
              </w:rPr>
            </w:pPr>
          </w:p>
        </w:tc>
      </w:tr>
      <w:tr>
        <w:trPr>
          <w:trHeight w:val="216"/>
        </w:trPr>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84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6,736,092</w:t>
            </w:r>
          </w:p>
        </w:tc>
        <w:tc>
          <w:tcPr>
            <w:tcW w:w="17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8"/>
                <w:szCs w:val="18"/>
                <w:color w:val="auto"/>
              </w:rPr>
              <w:t>(15,544,219)</w:t>
            </w:r>
          </w:p>
        </w:tc>
        <w:tc>
          <w:tcPr>
            <w:tcW w:w="16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3,870,647</w:t>
            </w:r>
          </w:p>
        </w:tc>
        <w:tc>
          <w:tcPr>
            <w:tcW w:w="16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(11,582,853)</w:t>
            </w:r>
          </w:p>
        </w:tc>
        <w:tc>
          <w:tcPr>
            <w:tcW w:w="172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25.43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Omid Farokhzad, M.D. was our PEO for each year presented. The individuals comprising the Non-PEO NEOs for each year presented are listed below:</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215"/>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2023 - 2024</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313"/>
        </w:trPr>
        <w:tc>
          <w:tcPr>
            <w:tcW w:w="3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David Horn</w:t>
            </w:r>
          </w:p>
        </w:tc>
        <w:tc>
          <w:tcPr>
            <w:tcW w:w="4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Omead Ostadan</w:t>
            </w:r>
          </w:p>
        </w:tc>
      </w:tr>
      <w:tr>
        <w:trPr>
          <w:trHeight w:val="308"/>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Elona Kogan</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David Horn</w:t>
            </w:r>
          </w:p>
        </w:tc>
      </w:tr>
      <w:tr>
        <w:trPr>
          <w:trHeight w:val="313"/>
        </w:trPr>
        <w:tc>
          <w:tcPr>
            <w:tcW w:w="3760" w:type="dxa"/>
            <w:vAlign w:val="bottom"/>
            <w:shd w:val="clear" w:color="auto" w:fill="CFF0FC"/>
          </w:tcPr>
          <w:p>
            <w:pPr>
              <w:spacing w:after="0"/>
              <w:rPr>
                <w:sz w:val="24"/>
                <w:szCs w:val="24"/>
                <w:color w:val="auto"/>
              </w:rPr>
            </w:pPr>
          </w:p>
        </w:tc>
        <w:tc>
          <w:tcPr>
            <w:tcW w:w="4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Elona Kogan</w:t>
            </w:r>
          </w:p>
        </w:tc>
      </w:tr>
    </w:tbl>
    <w:p>
      <w:pPr>
        <w:spacing w:after="0" w:line="297" w:lineRule="exact"/>
        <w:rPr>
          <w:sz w:val="20"/>
          <w:szCs w:val="20"/>
          <w:color w:val="auto"/>
        </w:rPr>
      </w:pPr>
    </w:p>
    <w:p>
      <w:pPr>
        <w:ind w:left="300" w:right="40" w:hanging="292"/>
        <w:spacing w:after="0" w:line="281" w:lineRule="auto"/>
        <w:tabs>
          <w:tab w:leader="none" w:pos="3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69" w:lineRule="exact"/>
        <w:rPr>
          <w:rFonts w:ascii="Times New Roman" w:cs="Times New Roman" w:eastAsia="Times New Roman" w:hAnsi="Times New Roman"/>
          <w:sz w:val="16"/>
          <w:szCs w:val="16"/>
          <w:color w:val="auto"/>
        </w:rPr>
      </w:pPr>
    </w:p>
    <w:p>
      <w:pPr>
        <w:ind w:left="300" w:right="80" w:hanging="292"/>
        <w:spacing w:after="0" w:line="281" w:lineRule="auto"/>
        <w:tabs>
          <w:tab w:leader="none" w:pos="3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vMerge w:val="restart"/>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40" w:type="dxa"/>
            <w:vAlign w:val="bottom"/>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24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Exclusion of Stock Awards and</w:t>
            </w:r>
          </w:p>
        </w:tc>
        <w:tc>
          <w:tcPr>
            <w:tcW w:w="23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Inclusion of Equity Values for</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 Paid to</w:t>
            </w:r>
          </w:p>
        </w:tc>
        <w:tc>
          <w:tcPr>
            <w:tcW w:w="0" w:type="dxa"/>
            <w:vAlign w:val="bottom"/>
          </w:tcPr>
          <w:p>
            <w:pPr>
              <w:spacing w:after="0"/>
              <w:rPr>
                <w:sz w:val="1"/>
                <w:szCs w:val="1"/>
                <w:color w:val="auto"/>
              </w:rPr>
            </w:pPr>
          </w:p>
        </w:tc>
      </w:tr>
      <w:tr>
        <w:trPr>
          <w:trHeight w:val="173"/>
        </w:trPr>
        <w:tc>
          <w:tcPr>
            <w:tcW w:w="1520" w:type="dxa"/>
            <w:vAlign w:val="bottom"/>
            <w:vMerge w:val="continue"/>
          </w:tcPr>
          <w:p>
            <w:pPr>
              <w:spacing w:after="0"/>
              <w:rPr>
                <w:sz w:val="15"/>
                <w:szCs w:val="15"/>
                <w:color w:val="auto"/>
              </w:rPr>
            </w:pPr>
          </w:p>
        </w:tc>
        <w:tc>
          <w:tcPr>
            <w:tcW w:w="2640" w:type="dxa"/>
            <w:vAlign w:val="bottom"/>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Total for PEO ($)</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 for PEO ($)</w:t>
            </w:r>
          </w:p>
        </w:tc>
        <w:tc>
          <w:tcPr>
            <w:tcW w:w="23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PEO ($)</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w:t>
            </w: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2024</w:t>
            </w:r>
          </w:p>
        </w:tc>
        <w:tc>
          <w:tcPr>
            <w:tcW w:w="26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3,549,950</w:t>
            </w:r>
          </w:p>
        </w:tc>
        <w:tc>
          <w:tcPr>
            <w:tcW w:w="24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(2,360,377)</w:t>
            </w:r>
          </w:p>
        </w:tc>
        <w:tc>
          <w:tcPr>
            <w:tcW w:w="234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3,392,073</w:t>
            </w:r>
          </w:p>
        </w:tc>
        <w:tc>
          <w:tcPr>
            <w:tcW w:w="2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4,581,646</w:t>
            </w:r>
          </w:p>
        </w:tc>
        <w:tc>
          <w:tcPr>
            <w:tcW w:w="0" w:type="dxa"/>
            <w:vAlign w:val="bottom"/>
          </w:tcPr>
          <w:p>
            <w:pPr>
              <w:spacing w:after="0"/>
              <w:rPr>
                <w:sz w:val="1"/>
                <w:szCs w:val="1"/>
                <w:color w:val="auto"/>
              </w:rPr>
            </w:pPr>
          </w:p>
        </w:tc>
      </w:tr>
      <w:tr>
        <w:trPr>
          <w:trHeight w:val="216"/>
        </w:trPr>
        <w:tc>
          <w:tcPr>
            <w:tcW w:w="152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2023</w:t>
            </w:r>
          </w:p>
        </w:tc>
        <w:tc>
          <w:tcPr>
            <w:tcW w:w="26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5,197,331</w:t>
            </w:r>
          </w:p>
        </w:tc>
        <w:tc>
          <w:tcPr>
            <w:tcW w:w="24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(4,015,530)</w:t>
            </w:r>
          </w:p>
        </w:tc>
        <w:tc>
          <w:tcPr>
            <w:tcW w:w="23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(1,318,463)</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(136,662)</w:t>
            </w: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2022</w:t>
            </w:r>
          </w:p>
        </w:tc>
        <w:tc>
          <w:tcPr>
            <w:tcW w:w="26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6,736,092</w:t>
            </w:r>
          </w:p>
        </w:tc>
        <w:tc>
          <w:tcPr>
            <w:tcW w:w="24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(5,507,299)</w:t>
            </w:r>
          </w:p>
        </w:tc>
        <w:tc>
          <w:tcPr>
            <w:tcW w:w="23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(16,773,012)</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(15,544,219)</w:t>
            </w:r>
          </w:p>
        </w:tc>
        <w:tc>
          <w:tcPr>
            <w:tcW w:w="0" w:type="dxa"/>
            <w:vAlign w:val="bottom"/>
          </w:tcPr>
          <w:p>
            <w:pPr>
              <w:spacing w:after="0"/>
              <w:rPr>
                <w:sz w:val="1"/>
                <w:szCs w:val="1"/>
                <w:color w:val="auto"/>
              </w:rPr>
            </w:pPr>
          </w:p>
        </w:tc>
      </w:tr>
      <w:tr>
        <w:trPr>
          <w:trHeight w:val="434"/>
        </w:trPr>
        <w:tc>
          <w:tcPr>
            <w:tcW w:w="1520" w:type="dxa"/>
            <w:vAlign w:val="bottom"/>
          </w:tcPr>
          <w:p>
            <w:pPr>
              <w:spacing w:after="0"/>
              <w:rPr>
                <w:sz w:val="24"/>
                <w:szCs w:val="24"/>
                <w:color w:val="auto"/>
              </w:rPr>
            </w:pPr>
          </w:p>
        </w:tc>
        <w:tc>
          <w:tcPr>
            <w:tcW w:w="2640" w:type="dxa"/>
            <w:vAlign w:val="bottom"/>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4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Average Exclusion of Stock</w:t>
            </w:r>
          </w:p>
        </w:tc>
        <w:tc>
          <w:tcPr>
            <w:tcW w:w="234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Inclusion of Equity</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 Actually</w:t>
            </w:r>
          </w:p>
        </w:tc>
        <w:tc>
          <w:tcPr>
            <w:tcW w:w="0" w:type="dxa"/>
            <w:vAlign w:val="bottom"/>
          </w:tcPr>
          <w:p>
            <w:pPr>
              <w:spacing w:after="0"/>
              <w:rPr>
                <w:sz w:val="1"/>
                <w:szCs w:val="1"/>
                <w:color w:val="auto"/>
              </w:rPr>
            </w:pPr>
          </w:p>
        </w:tc>
      </w:tr>
      <w:tr>
        <w:trPr>
          <w:trHeight w:val="148"/>
        </w:trPr>
        <w:tc>
          <w:tcPr>
            <w:tcW w:w="1520" w:type="dxa"/>
            <w:vAlign w:val="bottom"/>
            <w:vMerge w:val="restart"/>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40" w:type="dxa"/>
            <w:vAlign w:val="bottom"/>
          </w:tcPr>
          <w:p>
            <w:pPr>
              <w:jc w:val="center"/>
              <w:ind w:left="13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 Total for</w:t>
            </w:r>
          </w:p>
        </w:tc>
        <w:tc>
          <w:tcPr>
            <w:tcW w:w="24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Awards and Option Awards for</w:t>
            </w:r>
          </w:p>
        </w:tc>
        <w:tc>
          <w:tcPr>
            <w:tcW w:w="2340" w:type="dxa"/>
            <w:vAlign w:val="bottom"/>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20" w:type="dxa"/>
            <w:vAlign w:val="bottom"/>
            <w:vMerge w:val="continue"/>
          </w:tcPr>
          <w:p>
            <w:pPr>
              <w:spacing w:after="0"/>
              <w:rPr>
                <w:sz w:val="15"/>
                <w:szCs w:val="15"/>
                <w:color w:val="auto"/>
              </w:rPr>
            </w:pPr>
          </w:p>
        </w:tc>
        <w:tc>
          <w:tcPr>
            <w:tcW w:w="2640" w:type="dxa"/>
            <w:vAlign w:val="bottom"/>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23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Values for Non-PEO NEOs ($)</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to Non-PEO NEOs ($)</w:t>
            </w: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2024</w:t>
            </w:r>
          </w:p>
        </w:tc>
        <w:tc>
          <w:tcPr>
            <w:tcW w:w="26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1,118,658</w:t>
            </w:r>
          </w:p>
        </w:tc>
        <w:tc>
          <w:tcPr>
            <w:tcW w:w="24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(601,024)</w:t>
            </w:r>
          </w:p>
        </w:tc>
        <w:tc>
          <w:tcPr>
            <w:tcW w:w="234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273,070</w:t>
            </w:r>
          </w:p>
        </w:tc>
        <w:tc>
          <w:tcPr>
            <w:tcW w:w="23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790,704</w:t>
            </w:r>
          </w:p>
        </w:tc>
        <w:tc>
          <w:tcPr>
            <w:tcW w:w="0" w:type="dxa"/>
            <w:vAlign w:val="bottom"/>
          </w:tcPr>
          <w:p>
            <w:pPr>
              <w:spacing w:after="0"/>
              <w:rPr>
                <w:sz w:val="1"/>
                <w:szCs w:val="1"/>
                <w:color w:val="auto"/>
              </w:rPr>
            </w:pPr>
          </w:p>
        </w:tc>
      </w:tr>
      <w:tr>
        <w:trPr>
          <w:trHeight w:val="216"/>
        </w:trPr>
        <w:tc>
          <w:tcPr>
            <w:tcW w:w="152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2023</w:t>
            </w:r>
          </w:p>
        </w:tc>
        <w:tc>
          <w:tcPr>
            <w:tcW w:w="26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1,407,506</w:t>
            </w:r>
          </w:p>
        </w:tc>
        <w:tc>
          <w:tcPr>
            <w:tcW w:w="24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(788,760)</w:t>
            </w:r>
          </w:p>
        </w:tc>
        <w:tc>
          <w:tcPr>
            <w:tcW w:w="23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(939,638)</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(320,892)</w:t>
            </w: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2022</w:t>
            </w:r>
          </w:p>
        </w:tc>
        <w:tc>
          <w:tcPr>
            <w:tcW w:w="264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3,870,647</w:t>
            </w:r>
          </w:p>
        </w:tc>
        <w:tc>
          <w:tcPr>
            <w:tcW w:w="24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(2,631,870)</w:t>
            </w:r>
          </w:p>
        </w:tc>
        <w:tc>
          <w:tcPr>
            <w:tcW w:w="23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(12,821,630)</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(11,582,853)</w:t>
            </w:r>
          </w:p>
        </w:tc>
        <w:tc>
          <w:tcPr>
            <w:tcW w:w="0" w:type="dxa"/>
            <w:vAlign w:val="bottom"/>
          </w:tcPr>
          <w:p>
            <w:pPr>
              <w:spacing w:after="0"/>
              <w:rPr>
                <w:sz w:val="1"/>
                <w:szCs w:val="1"/>
                <w:color w:val="auto"/>
              </w:rPr>
            </w:pPr>
          </w:p>
        </w:tc>
      </w:tr>
      <w:tr>
        <w:trPr>
          <w:trHeight w:val="864"/>
        </w:trPr>
        <w:tc>
          <w:tcPr>
            <w:tcW w:w="1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rPr>
              <w:t>32</w:t>
            </w:r>
          </w:p>
        </w:tc>
        <w:tc>
          <w:tcPr>
            <w:tcW w:w="2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 (the Company has not paid dividends historically as a public company and does not sponsor any pension arrangements; thus no adjustments are made for these items):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880" w:type="dxa"/>
            <w:vAlign w:val="bottom"/>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rPr>
              <w:t>Year-End Fair Value</w:t>
            </w:r>
          </w:p>
        </w:tc>
        <w:tc>
          <w:tcPr>
            <w:tcW w:w="1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6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880" w:type="dxa"/>
            <w:vAlign w:val="bottom"/>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Vesting-Date Fair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 Prior</w:t>
            </w:r>
          </w:p>
        </w:tc>
        <w:tc>
          <w:tcPr>
            <w:tcW w:w="1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at Last Day</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880" w:type="dxa"/>
            <w:vAlign w:val="bottom"/>
          </w:tcPr>
          <w:p>
            <w:pPr>
              <w:jc w:val="center"/>
              <w:ind w:left="63"/>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Year</w:t>
            </w:r>
          </w:p>
        </w:tc>
        <w:tc>
          <w:tcPr>
            <w:tcW w:w="170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to Vesting Date</w:t>
            </w:r>
          </w:p>
        </w:tc>
        <w:tc>
          <w:tcPr>
            <w:tcW w:w="168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880" w:type="dxa"/>
            <w:vAlign w:val="bottom"/>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That Remained</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 Prior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Unvested Equity</w:t>
            </w:r>
          </w:p>
        </w:tc>
        <w:tc>
          <w:tcPr>
            <w:tcW w:w="1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of Prior Year of Equity</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880" w:type="dxa"/>
            <w:vAlign w:val="bottom"/>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to Last Day of</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Inclusion of</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880" w:type="dxa"/>
            <w:vAlign w:val="bottom"/>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 Last</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of Outstanding</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that Vested</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Forfeited</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80" w:type="dxa"/>
            <w:vAlign w:val="bottom"/>
          </w:tcPr>
          <w:p>
            <w:pPr>
              <w:jc w:val="center"/>
              <w:ind w:left="63"/>
              <w:spacing w:after="0" w:line="149" w:lineRule="exact"/>
              <w:rPr>
                <w:sz w:val="20"/>
                <w:szCs w:val="20"/>
                <w:color w:val="auto"/>
              </w:rPr>
            </w:pPr>
            <w:r>
              <w:rPr>
                <w:rFonts w:ascii="Times New Roman" w:cs="Times New Roman" w:eastAsia="Times New Roman" w:hAnsi="Times New Roman"/>
                <w:sz w:val="14"/>
                <w:szCs w:val="14"/>
                <w:b w:val="1"/>
                <w:bCs w:val="1"/>
                <w:color w:val="auto"/>
              </w:rPr>
              <w:t>Day of Year for PEO</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 Equity</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PEO</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PEO</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 PEO</w:t>
            </w:r>
          </w:p>
        </w:tc>
        <w:tc>
          <w:tcPr>
            <w:tcW w:w="0" w:type="dxa"/>
            <w:vAlign w:val="bottom"/>
          </w:tcPr>
          <w:p>
            <w:pPr>
              <w:spacing w:after="0"/>
              <w:rPr>
                <w:sz w:val="1"/>
                <w:szCs w:val="1"/>
                <w:color w:val="auto"/>
              </w:rPr>
            </w:pPr>
          </w:p>
        </w:tc>
      </w:tr>
      <w:tr>
        <w:trPr>
          <w:trHeight w:val="173"/>
        </w:trPr>
        <w:tc>
          <w:tcPr>
            <w:tcW w:w="1020" w:type="dxa"/>
            <w:vAlign w:val="bottom"/>
            <w:vMerge w:val="continue"/>
          </w:tcPr>
          <w:p>
            <w:pPr>
              <w:spacing w:after="0"/>
              <w:rPr>
                <w:sz w:val="15"/>
                <w:szCs w:val="15"/>
                <w:color w:val="auto"/>
              </w:rPr>
            </w:pPr>
          </w:p>
        </w:tc>
        <w:tc>
          <w:tcPr>
            <w:tcW w:w="188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for PEO ($)</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 ($)</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8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2,996,803</w:t>
            </w:r>
          </w:p>
        </w:tc>
        <w:tc>
          <w:tcPr>
            <w:tcW w:w="17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451,882</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8"/>
                <w:szCs w:val="18"/>
                <w:color w:val="auto"/>
              </w:rPr>
              <w:t>(56,612)</w:t>
            </w:r>
          </w:p>
        </w:tc>
        <w:tc>
          <w:tcPr>
            <w:tcW w:w="16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3,392,073</w:t>
            </w: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8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1,542,178</w:t>
            </w:r>
          </w:p>
        </w:tc>
        <w:tc>
          <w:tcPr>
            <w:tcW w:w="170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(1,645,982)</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(1,214,659)</w:t>
            </w:r>
          </w:p>
        </w:tc>
        <w:tc>
          <w:tcPr>
            <w:tcW w:w="16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(1,318,463)</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8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1,772,140</w:t>
            </w:r>
          </w:p>
        </w:tc>
        <w:tc>
          <w:tcPr>
            <w:tcW w:w="17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(11,783,695)</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8"/>
                <w:szCs w:val="18"/>
                <w:color w:val="auto"/>
              </w:rPr>
              <w:t>(6,761,457)</w:t>
            </w:r>
          </w:p>
        </w:tc>
        <w:tc>
          <w:tcPr>
            <w:tcW w:w="16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(16,773,012)</w:t>
            </w:r>
          </w:p>
        </w:tc>
        <w:tc>
          <w:tcPr>
            <w:tcW w:w="0" w:type="dxa"/>
            <w:vAlign w:val="bottom"/>
          </w:tcPr>
          <w:p>
            <w:pPr>
              <w:spacing w:after="0"/>
              <w:rPr>
                <w:sz w:val="1"/>
                <w:szCs w:val="1"/>
                <w:color w:val="auto"/>
              </w:rPr>
            </w:pPr>
          </w:p>
        </w:tc>
      </w:tr>
      <w:tr>
        <w:trPr>
          <w:trHeight w:val="448"/>
        </w:trPr>
        <w:tc>
          <w:tcPr>
            <w:tcW w:w="1020" w:type="dxa"/>
            <w:vAlign w:val="bottom"/>
          </w:tcPr>
          <w:p>
            <w:pPr>
              <w:spacing w:after="0"/>
              <w:rPr>
                <w:sz w:val="24"/>
                <w:szCs w:val="24"/>
                <w:color w:val="auto"/>
              </w:rPr>
            </w:pPr>
          </w:p>
        </w:tc>
        <w:tc>
          <w:tcPr>
            <w:tcW w:w="1880" w:type="dxa"/>
            <w:vAlign w:val="bottom"/>
            <w:vMerge w:val="restart"/>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Average Year-End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6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from Last</w:t>
            </w:r>
          </w:p>
        </w:tc>
        <w:tc>
          <w:tcPr>
            <w:tcW w:w="1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880" w:type="dxa"/>
            <w:vAlign w:val="bottom"/>
          </w:tcPr>
          <w:p>
            <w:pPr>
              <w:jc w:val="center"/>
              <w:ind w:left="63"/>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Equity</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from Last</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Vesting-Date</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Fair Value at</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880" w:type="dxa"/>
            <w:vAlign w:val="bottom"/>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66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68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880" w:type="dxa"/>
            <w:vAlign w:val="bottom"/>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of</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Equity</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Average</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880" w:type="dxa"/>
            <w:vAlign w:val="bottom"/>
          </w:tcPr>
          <w:p>
            <w:pPr>
              <w:jc w:val="center"/>
              <w:ind w:left="103"/>
              <w:spacing w:after="0" w:line="149" w:lineRule="exact"/>
              <w:rPr>
                <w:sz w:val="20"/>
                <w:szCs w:val="20"/>
                <w:color w:val="auto"/>
              </w:rPr>
            </w:pPr>
            <w:r>
              <w:rPr>
                <w:rFonts w:ascii="Times New Roman" w:cs="Times New Roman" w:eastAsia="Times New Roman" w:hAnsi="Times New Roman"/>
                <w:sz w:val="14"/>
                <w:szCs w:val="14"/>
                <w:b w:val="1"/>
                <w:bCs w:val="1"/>
                <w:color w:val="auto"/>
              </w:rPr>
              <w:t>Remained Outstanding</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880" w:type="dxa"/>
            <w:vAlign w:val="bottom"/>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 as of</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that Vested</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 Year</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 Equity</w:t>
            </w:r>
          </w:p>
        </w:tc>
        <w:tc>
          <w:tcPr>
            <w:tcW w:w="0" w:type="dxa"/>
            <w:vAlign w:val="bottom"/>
          </w:tcPr>
          <w:p>
            <w:pPr>
              <w:spacing w:after="0"/>
              <w:rPr>
                <w:sz w:val="1"/>
                <w:szCs w:val="1"/>
                <w:color w:val="auto"/>
              </w:rPr>
            </w:pPr>
          </w:p>
        </w:tc>
      </w:tr>
      <w:tr>
        <w:trPr>
          <w:trHeight w:val="14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80" w:type="dxa"/>
            <w:vAlign w:val="bottom"/>
          </w:tcPr>
          <w:p>
            <w:pPr>
              <w:jc w:val="center"/>
              <w:ind w:left="83"/>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for</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Non-PEO</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Non-</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 Year</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Values for Non-PEO</w:t>
            </w:r>
          </w:p>
        </w:tc>
        <w:tc>
          <w:tcPr>
            <w:tcW w:w="0" w:type="dxa"/>
            <w:vAlign w:val="bottom"/>
          </w:tcPr>
          <w:p>
            <w:pPr>
              <w:spacing w:after="0"/>
              <w:rPr>
                <w:sz w:val="1"/>
                <w:szCs w:val="1"/>
                <w:color w:val="auto"/>
              </w:rPr>
            </w:pPr>
          </w:p>
        </w:tc>
      </w:tr>
      <w:tr>
        <w:trPr>
          <w:trHeight w:val="173"/>
        </w:trPr>
        <w:tc>
          <w:tcPr>
            <w:tcW w:w="1020" w:type="dxa"/>
            <w:vAlign w:val="bottom"/>
            <w:vMerge w:val="continue"/>
          </w:tcPr>
          <w:p>
            <w:pPr>
              <w:spacing w:after="0"/>
              <w:rPr>
                <w:sz w:val="15"/>
                <w:szCs w:val="15"/>
                <w:color w:val="auto"/>
              </w:rPr>
            </w:pPr>
          </w:p>
        </w:tc>
        <w:tc>
          <w:tcPr>
            <w:tcW w:w="188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 NEOs ($)</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 NEOs ($)</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 ($)</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8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427,600</w:t>
            </w:r>
          </w:p>
        </w:tc>
        <w:tc>
          <w:tcPr>
            <w:tcW w:w="17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64,266</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8"/>
                <w:szCs w:val="18"/>
                <w:color w:val="auto"/>
              </w:rPr>
              <w:t>(18,866)</w:t>
            </w:r>
          </w:p>
        </w:tc>
        <w:tc>
          <w:tcPr>
            <w:tcW w:w="16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(199,930)</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273,070</w:t>
            </w: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8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299,987</w:t>
            </w:r>
          </w:p>
        </w:tc>
        <w:tc>
          <w:tcPr>
            <w:tcW w:w="170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(733,276)</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(506,349)</w:t>
            </w:r>
          </w:p>
        </w:tc>
        <w:tc>
          <w:tcPr>
            <w:tcW w:w="16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(939,638)</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8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579,646</w:t>
            </w:r>
          </w:p>
        </w:tc>
        <w:tc>
          <w:tcPr>
            <w:tcW w:w="17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(4,930,648)</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8"/>
                <w:szCs w:val="18"/>
                <w:color w:val="auto"/>
              </w:rPr>
              <w:t>(2,790,307)</w:t>
            </w:r>
          </w:p>
        </w:tc>
        <w:tc>
          <w:tcPr>
            <w:tcW w:w="16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(5,680,321)</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(12,821,630)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00" w:right="700" w:hanging="292"/>
        <w:spacing w:after="0" w:line="298" w:lineRule="auto"/>
        <w:tabs>
          <w:tab w:leader="none" w:pos="3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$100 was invested in the Company for the period starting December 31, 2021, through the end of the listed year. Historical stock performance is not necessarily indicative of future stock performance.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Company Total Shareholder Return (TSR)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80010</wp:posOffset>
            </wp:positionV>
            <wp:extent cx="5040630" cy="2802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4063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Net Income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80010</wp:posOffset>
            </wp:positionV>
            <wp:extent cx="5186045" cy="28460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860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 Compensation Overview</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June 30, 2024, we qualify as a smaller reporting company and therefore this section includes disclosures on a voluntary basis given our status as a smaller reporting company.</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Named Executive Officer Compensation Overview (“NEOCO”) describes the philosophy, objectives, and structure of our 2024 executive compensation program and includes discussion and background information regarding the compensation of the current executive officers identified below. We refer to these executives collectively as our “named executive officers”. This NEOCO is intended to be read in conjunction with the information set forth elsewhere in this proxy, including the executive compensation tables further above.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the fiscal year ended December 31, 2024 were as follows:</w:t>
      </w:r>
    </w:p>
    <w:p>
      <w:pPr>
        <w:spacing w:after="0" w:line="171"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Omid Farokhzad, M.D., our Chief Executive Officer and Chair of the Board of Directors (our CEO);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Horn, our President and Chief Financial Officer;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Elona Kogan, our former Chief Legal Officer.</w:t>
      </w:r>
    </w:p>
    <w:p>
      <w:pPr>
        <w:spacing w:after="0" w:line="17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During our fiscal 2024, Ms. Kogan served as our Chief Legal Officer until her resignation effective July 26, 2024. As a smaller reporting company, our named executive officers for fiscal 2024 consist of our CEO, our President and Chief Financial Officer constituting our one other officer (other than our principal executive officer) serving as an executive officer as of the end of the year, and our former Chief Legal Officer constituting one additional individual who would have been among the two most highly compensated officers (other than our principal executive officer) but for the fact that the individual was not serving as an executive officer as of the end of the year.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7060" w:type="dxa"/>
            <w:vAlign w:val="bottom"/>
          </w:tcPr>
          <w:p>
            <w:pPr>
              <w:jc w:val="right"/>
              <w:ind w:right="4733"/>
              <w:spacing w:after="0"/>
              <w:rPr>
                <w:sz w:val="20"/>
                <w:szCs w:val="20"/>
                <w:color w:val="auto"/>
              </w:rPr>
            </w:pPr>
            <w:r>
              <w:rPr>
                <w:rFonts w:ascii="Times New Roman" w:cs="Times New Roman" w:eastAsia="Times New Roman" w:hAnsi="Times New Roman"/>
                <w:sz w:val="14"/>
                <w:szCs w:val="14"/>
                <w:b w:val="1"/>
                <w:bCs w:val="1"/>
                <w:color w:val="auto"/>
              </w:rPr>
              <w:t>NEOCO Reference Guide</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Summary</w:t>
            </w:r>
          </w:p>
        </w:tc>
        <w:tc>
          <w:tcPr>
            <w:tcW w:w="7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Philosophy and Objectives</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II</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Determination Process</w:t>
            </w:r>
          </w:p>
        </w:tc>
        <w:tc>
          <w:tcPr>
            <w:tcW w:w="7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III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Key Components of Our Compensation Program</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IV</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Compensation Policies and Practices</w:t>
            </w:r>
          </w:p>
        </w:tc>
        <w:tc>
          <w:tcPr>
            <w:tcW w:w="7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V</w:t>
            </w:r>
          </w:p>
        </w:tc>
      </w:tr>
      <w:tr>
        <w:trPr>
          <w:trHeight w:val="378"/>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 Executive Summary</w:t>
            </w:r>
          </w:p>
        </w:tc>
        <w:tc>
          <w:tcPr>
            <w:tcW w:w="7060" w:type="dxa"/>
            <w:vAlign w:val="bottom"/>
          </w:tcPr>
          <w:p>
            <w:pPr>
              <w:spacing w:after="0"/>
              <w:rPr>
                <w:sz w:val="24"/>
                <w:szCs w:val="24"/>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Business and Financial Highlights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highlights for 2024 include:</w:t>
      </w:r>
    </w:p>
    <w:p>
      <w:pPr>
        <w:spacing w:after="0" w:line="171"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revenue (measured on a GAAP basis) of $14.2 million for the full year 2024;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Shipped 10 instruments during 2024, bringing cumulative instruments shipped to 72 as of December 31, 2024;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the Seer Technology Access Center (STAC) in Europe, providing researchers with end-to-end services from sample to data;</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cumulative peer-reviewed publications, preprints and reviews to 32 in 2024 from 8 in 2023;</w:t>
      </w:r>
    </w:p>
    <w:p>
      <w:pPr>
        <w:spacing w:after="0" w:line="11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co-marketing and sales agreement with Thermo Fisher Scientific to further enhance access and expand global reach to deep, unbiased proteomics at scale; and</w:t>
      </w:r>
    </w:p>
    <w:p>
      <w:pPr>
        <w:spacing w:after="0" w:line="53"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6.5 million shares of Seer Class A common stock at an average cost of $1.82 per share during the full year 2024, reducing shares outstanding by approximately 10%.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2024 Pay Decisions and Outcomes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seek to reward our named executive officers with competitive compensation packages that directly align pay with performance. The caliber of our performance in the areas of key milestones drives our compensation structure, specifically the degree to which named executive officers are granted equity and earn bonuses. Our talent and compensation committee regularly examines our compensation program both from a design and pay outcome perspective. In line with our growth in 2024, the talent and compensation committee considered how our incentives provided appropriate levels of compensation considering our performance and growth stage.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decisions include:</w:t>
      </w:r>
    </w:p>
    <w:p>
      <w:pPr>
        <w:spacing w:after="0" w:line="167"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Annual Performance-based Bonuses </w:t>
      </w:r>
      <w:r>
        <w:rPr>
          <w:rFonts w:ascii="Times New Roman" w:cs="Times New Roman" w:eastAsia="Times New Roman" w:hAnsi="Times New Roman"/>
          <w:sz w:val="18"/>
          <w:szCs w:val="18"/>
          <w:color w:val="auto"/>
        </w:rPr>
        <w:t>– An annual bonus was paid to our named executive officers based on the achievement of corporate goals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important pre-established financial, commercial, product development, research and organizational milestones goals, most of which were successfully met and other considerations that our talent and compensation committee determined to be relevant to the achievement of our goals.</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 In 2024, we granted stock options with a market performance condition to our CEO and other named executive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requiring our stock price to grow 300% for our CEO and 200% for our other named executive officers from the stock price on the date of grant before the options begin to vest. These stock options highlight our commitment to closely tie our named executive officers' compensation directly to company performance and the creation of significant stockholder value. These stock options account for approximately 59% of the named executive officers' equity grants (by value) in 2024, with the remainder awarded in the form of restricted stock units (“RSUs”).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annual equity awards of stock options and RSUs to our named executive officers, including our CEO, reflected considerations related to strong achievements of corporate goals for the then most recently completed year, current and anticipated levels of the Company equity holdings by these officers resulting in equity awards designed to more closely align the interests of our named executive officers with those of our stockholders, reward and drive the creation of stockholder value, as well as provide for the retention of our key talent.</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2024, in addition to granting annual equity awards, we also granted retention options and RSUs to our named executive officers. See “Retention Grants” below for a description of these grants.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 Pay Mix</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use compensation elements that meaningfully align our named executive officers’ interests with those of our stockholders to incentivize long-term value creation. The talent and compensation committee uses its discretion in determining the appropriate mix of fixed and variable compensation for each named executive officer. As such, a significant portion of our executives’ compensation is at-risk, performance-based compensation, in the form of long-term equity awards, and annual cash incentives that are only earned to the extent we achieve the various applicable corporate goals. The balance between these components may change based on company performance, market forces and company objectives, among other considerations. In 2024, our CEO and other named executive officers had the following target pay mix:</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851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394335</wp:posOffset>
            </wp:positionV>
            <wp:extent cx="5349240" cy="14833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780" w:hanging="112"/>
        <w:spacing w:after="0"/>
        <w:tabs>
          <w:tab w:leader="none" w:pos="1780" w:val="left"/>
        </w:tabs>
        <w:numPr>
          <w:ilvl w:val="1"/>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percentages represent the average of the target pay mix for all of our named executive officers, other than our CEO.</w:t>
      </w:r>
    </w:p>
    <w:p>
      <w:pPr>
        <w:spacing w:after="0" w:line="172"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II. Compensation Philosophy and Objectives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believes that executive compensation should be linked to our overall performance and strategic success. To create value for our stockholders, it is critical to attract, motivate and retain key executive officer talent by providing competitive compensation packages. The market for talented individuals in the life sciences industry is highly competitive and challenging for employers. The objectives of our executive compensation policies are to:</w:t>
      </w:r>
    </w:p>
    <w:p>
      <w:pPr>
        <w:spacing w:after="0" w:line="72" w:lineRule="exact"/>
        <w:rPr>
          <w:sz w:val="20"/>
          <w:szCs w:val="20"/>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executives;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performance that supports achievement of our corporate goals;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 incentives with stockholder interests through the grant of long-term incentives;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performance and contributions towards achievement of measurable targets and a shared set of critical strategic priorities.</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believe our executive compensation program as developed and implemented achieves these objectives and is appropriate for a company in our industry and at our stage of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Compensation Determination Process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talent and compensation committee</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talent and compensation committee is responsible for the executive compensation programs for our executive officers and regularly reports to our board of directors on its discussions, decisions and other actions. Our talent and compensation committee also has direct responsibility for reviewing and approving the compensation of each of our executive officers, including any performance objectives on which such compensation may be based, evaluating the performance of our executive officers, and evaluating the competitiveness of our executive compensation program, which may include reviewing and approving any peer group for comparison purposes.</w:t>
      </w:r>
    </w:p>
    <w:p>
      <w:pPr>
        <w:spacing w:after="0" w:line="12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typically reviews and considers the recommendations of our CEO regarding the compensation of our named executive officers other than himself, any recommendations provided by other members of management, the talent and compensation committee’s independent compensation consultant, and any other data or factors that the talent and compensation committee deems relevant to its assessment and determinations.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December 31, 2024, Mr. McGuire served as the chair of the talent and compensation committee and Mr. Hallal and Drs.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Haurwitz and Roelofs served as members of the talent and compensation committee. Dr. Haurwitz left the Seer Board of Directors on July 8, 2024 and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Roelofs joined on August 13,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of Say-on-Pay Results</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our 2022 Annual Meeting of Stockholders, our stockholders approved, on a non-binding advisory vote basis, submission of the compensation of our named executive officers to a non-binding advisory vote of our stockholders (commonly referred to as a “say-on-pay” vote) every three years. Our first say-on-pay vote was conducted at our 2023 Annual Meeting of Stockholders and our stockholders approved, on a non-binding advisory basis, the compensation of our named executive officers, as disclosed in our 2023 proxy statement. The proposal was supported by approximately 83% of the total votes cast. Many of the decisions relating to designing and setting the executive compensation for 2023 occurred prior to the vote at such annual meeting. Notwithstanding, our talent and compensation committee took the say-on-pay voting results into account and we continue to emphasize our performance-based pay philosophy in our executive officer compensation program and our overall compensation philosophy. The next say-on-pay vote is scheduled to occur at the 2026 Annual Meeting of Stockholders.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Chief Executive Officer and Management</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CEO provides the talent and compensation committee with input and recommendations related to the compensation of our other named executive officers. Our CEO attends committee meetings and is involved in the determination of compensation for the respective named executive officers who report to him, except that the CEO does not make recommendations as to his own compensation. Our CEO makes recommendations to our talent and compensation committee regarding short-term and long-term compensation for all executive officers (other than himself) based on our results and such other factors as he deems relevant. The CEO does not participate in, and is not present during, any deliberations or determinations of the talent and compensation committee or the board of directors regarding his compensation. From time to time, various other members of management and other employees as well as outside advisors or consultants may be invited by the talent and compensation committee to make presentations, to provide financial or other background information or advice or to otherwise participate in talent and compensation committee meetings.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Compensation Consultant</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talent and compensation committee is authorized to retain the services of one or more executive compensation advisors, as it sees fit, in connection with the establishment of our compensation programs and related policies. In 2024, our talent and compensation committee continued to retain Aon, to provide it with information, recommendations and other advice relating to executive compensation on an ongoing basis. Aon serves at the discretion of our talent and compensation committee. As part of its engagement, Aon assists our talent and compensation committee in developing a group of peer companies to help the talent and compensation committee determine the appropriate level of overall compensation for our executive officers, as well as assess each separate element of compensation, with a goal of ensuring that the compensation we offer to our executive officers is competitive, fair, and consistent with our compensation philosophy and objectives.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talent and compensation committee periodically considers and assesses Aon’s independence, including whether Aon has any potential conflicts of interest with our company or members of our talent and compensation committee. In connection with Aon’s engagement, our talent and compensation committee conducted such a review and concluded that it was not aware of any conflict of interest that had been raised by work performed by Aon or the individual consultants employed by Aon that perform services for our talent and compensation committee, and that Aon was independent.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a peer group to provide a broad perspective on competitive pay levels and practices.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our 2024 peer group, the talent and compensation committee, with assistance from Aon, reviewed companies with respect to sector, stage of development and market capitalization. In guiding the talent and compensation committee in identifying the companies that comprised the 2024 peer group, the talent and compensation committee considered the following key factors and parameters:</w:t>
      </w:r>
    </w:p>
    <w:p>
      <w:pPr>
        <w:spacing w:after="0" w:line="122" w:lineRule="exact"/>
        <w:rPr>
          <w:sz w:val="20"/>
          <w:szCs w:val="20"/>
          <w:color w:val="auto"/>
        </w:rPr>
      </w:pPr>
    </w:p>
    <w:p>
      <w:pPr>
        <w:ind w:left="760" w:right="28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Sector – pharmaceutical, biotechnology and life science companies, as well as healthcare equipment and services companies, generally with a primary focus on medical device/technology and a secondary focus on early commercial biotechnology companies.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 generally, less than $200 million in revenue.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 $50 million to $650 million market capitalization range.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 generally, companies with between 50 and 500 employees.</w:t>
      </w:r>
    </w:p>
    <w:p>
      <w:pPr>
        <w:spacing w:after="0" w:line="17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Based on the above market data, the talent and compensation committee in November 2023 selected the following peer group of 20 companies that informed pay decisions for 2024:</w:t>
      </w:r>
    </w:p>
    <w:p>
      <w:pPr>
        <w:spacing w:after="0" w:line="340"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Adaptive Biotechnologies Corp (ADPT)</w:t>
            </w:r>
          </w:p>
        </w:tc>
        <w:tc>
          <w:tcPr>
            <w:tcW w:w="3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Quanterix Corp (QTRX)</w:t>
            </w:r>
          </w:p>
        </w:tc>
      </w:tr>
      <w:tr>
        <w:trPr>
          <w:trHeight w:val="23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Akoya Biosciences, Inc. (AKYA)</w:t>
            </w:r>
          </w:p>
        </w:tc>
        <w:tc>
          <w:tcPr>
            <w:tcW w:w="3580" w:type="dxa"/>
            <w:vAlign w:val="bottom"/>
          </w:tcPr>
          <w:p>
            <w:pPr>
              <w:ind w:left="840"/>
              <w:spacing w:after="0" w:line="236" w:lineRule="exact"/>
              <w:rPr>
                <w:sz w:val="20"/>
                <w:szCs w:val="20"/>
                <w:color w:val="auto"/>
              </w:rPr>
            </w:pPr>
            <w:r>
              <w:rPr>
                <w:rFonts w:ascii="Times New Roman" w:cs="Times New Roman" w:eastAsia="Times New Roman" w:hAnsi="Times New Roman"/>
                <w:sz w:val="18"/>
                <w:szCs w:val="18"/>
                <w:color w:val="auto"/>
              </w:rPr>
              <w:t>Quantum-Si Inc (QSI)</w:t>
            </w:r>
            <w:r>
              <w:rPr>
                <w:rFonts w:ascii="Times New Roman" w:cs="Times New Roman" w:eastAsia="Times New Roman" w:hAnsi="Times New Roman"/>
                <w:sz w:val="24"/>
                <w:szCs w:val="24"/>
                <w:color w:val="auto"/>
                <w:vertAlign w:val="superscript"/>
              </w:rPr>
              <w:t>(1)</w:t>
            </w:r>
          </w:p>
        </w:tc>
      </w:tr>
      <w:tr>
        <w:trPr>
          <w:trHeight w:val="196"/>
        </w:trPr>
        <w:tc>
          <w:tcPr>
            <w:tcW w:w="3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Alector, Inc. (ALEC)</w:t>
            </w:r>
          </w:p>
        </w:tc>
        <w:tc>
          <w:tcPr>
            <w:tcW w:w="3580" w:type="dxa"/>
            <w:vAlign w:val="bottom"/>
          </w:tcPr>
          <w:p>
            <w:pPr>
              <w:ind w:left="840"/>
              <w:spacing w:after="0" w:line="196" w:lineRule="exact"/>
              <w:rPr>
                <w:sz w:val="20"/>
                <w:szCs w:val="20"/>
                <w:color w:val="auto"/>
              </w:rPr>
            </w:pPr>
            <w:r>
              <w:rPr>
                <w:rFonts w:ascii="Times New Roman" w:cs="Times New Roman" w:eastAsia="Times New Roman" w:hAnsi="Times New Roman"/>
                <w:sz w:val="18"/>
                <w:szCs w:val="18"/>
                <w:color w:val="auto"/>
                <w:w w:val="99"/>
              </w:rPr>
              <w:t>Rapid Micro Biosystems, Inc. (RPID)</w:t>
            </w:r>
          </w:p>
        </w:tc>
      </w:tr>
      <w:tr>
        <w:trPr>
          <w:trHeight w:val="236"/>
        </w:trPr>
        <w:tc>
          <w:tcPr>
            <w:tcW w:w="376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 xml:space="preserve">Bionano Genomics, Inc. (BNGO) </w:t>
            </w:r>
            <w:r>
              <w:rPr>
                <w:rFonts w:ascii="Times New Roman" w:cs="Times New Roman" w:eastAsia="Times New Roman" w:hAnsi="Times New Roman"/>
                <w:sz w:val="24"/>
                <w:szCs w:val="24"/>
                <w:color w:val="auto"/>
                <w:vertAlign w:val="superscript"/>
              </w:rPr>
              <w:t>(1)</w:t>
            </w:r>
          </w:p>
        </w:tc>
        <w:tc>
          <w:tcPr>
            <w:tcW w:w="3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RAPT Therapeutics, Inc. (RAPT)</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Butterfly Network, Inc. (BFLY)</w:t>
            </w:r>
          </w:p>
        </w:tc>
        <w:tc>
          <w:tcPr>
            <w:tcW w:w="3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SI-BONE, Inc. (SIBN)</w:t>
            </w:r>
          </w:p>
        </w:tc>
      </w:tr>
      <w:tr>
        <w:trPr>
          <w:trHeight w:val="196"/>
        </w:trPr>
        <w:tc>
          <w:tcPr>
            <w:tcW w:w="3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Castle Biosciences Inc. (CSTL)</w:t>
            </w:r>
          </w:p>
        </w:tc>
        <w:tc>
          <w:tcPr>
            <w:tcW w:w="3580" w:type="dxa"/>
            <w:vAlign w:val="bottom"/>
          </w:tcPr>
          <w:p>
            <w:pPr>
              <w:ind w:left="840"/>
              <w:spacing w:after="0" w:line="196" w:lineRule="exact"/>
              <w:rPr>
                <w:sz w:val="20"/>
                <w:szCs w:val="20"/>
                <w:color w:val="auto"/>
              </w:rPr>
            </w:pPr>
            <w:r>
              <w:rPr>
                <w:rFonts w:ascii="Times New Roman" w:cs="Times New Roman" w:eastAsia="Times New Roman" w:hAnsi="Times New Roman"/>
                <w:sz w:val="18"/>
                <w:szCs w:val="18"/>
                <w:color w:val="auto"/>
              </w:rPr>
              <w:t>Silk Road Medical Inc (SILK)</w:t>
            </w:r>
          </w:p>
        </w:tc>
      </w:tr>
      <w:tr>
        <w:trPr>
          <w:trHeight w:val="216"/>
        </w:trPr>
        <w:tc>
          <w:tcPr>
            <w:tcW w:w="3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Codexis, Inc. (CDXS)</w:t>
            </w:r>
            <w:r>
              <w:rPr>
                <w:rFonts w:ascii="Times New Roman" w:cs="Times New Roman" w:eastAsia="Times New Roman" w:hAnsi="Times New Roman"/>
                <w:sz w:val="24"/>
                <w:szCs w:val="24"/>
                <w:color w:val="auto"/>
                <w:vertAlign w:val="superscript"/>
              </w:rPr>
              <w:t>(1)</w:t>
            </w:r>
          </w:p>
        </w:tc>
        <w:tc>
          <w:tcPr>
            <w:tcW w:w="3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SomaLogic, Inc. (SLGC)</w:t>
            </w:r>
          </w:p>
        </w:tc>
      </w:tr>
      <w:tr>
        <w:trPr>
          <w:trHeight w:val="23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Kodiak Sciences Inc. (KOD)</w:t>
            </w:r>
          </w:p>
        </w:tc>
        <w:tc>
          <w:tcPr>
            <w:tcW w:w="3580" w:type="dxa"/>
            <w:vAlign w:val="bottom"/>
          </w:tcPr>
          <w:p>
            <w:pPr>
              <w:ind w:left="840"/>
              <w:spacing w:after="0" w:line="236" w:lineRule="exact"/>
              <w:rPr>
                <w:sz w:val="20"/>
                <w:szCs w:val="20"/>
                <w:color w:val="auto"/>
              </w:rPr>
            </w:pPr>
            <w:r>
              <w:rPr>
                <w:rFonts w:ascii="Times New Roman" w:cs="Times New Roman" w:eastAsia="Times New Roman" w:hAnsi="Times New Roman"/>
                <w:sz w:val="18"/>
                <w:szCs w:val="18"/>
                <w:color w:val="auto"/>
              </w:rPr>
              <w:t>Standard BioTools Inc. (LAB)</w:t>
            </w:r>
            <w:r>
              <w:rPr>
                <w:rFonts w:ascii="Times New Roman" w:cs="Times New Roman" w:eastAsia="Times New Roman" w:hAnsi="Times New Roman"/>
                <w:sz w:val="24"/>
                <w:szCs w:val="24"/>
                <w:color w:val="auto"/>
                <w:vertAlign w:val="superscript"/>
              </w:rPr>
              <w:t>(1)</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NanoString Technologies (NSTG)</w:t>
            </w:r>
          </w:p>
        </w:tc>
        <w:tc>
          <w:tcPr>
            <w:tcW w:w="3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Twist Bioscience Corp (TWST)</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Personalis, Inc. (PSNL)</w:t>
            </w:r>
          </w:p>
        </w:tc>
        <w:tc>
          <w:tcPr>
            <w:tcW w:w="3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Veracyte, Inc. (VCYT)</w:t>
            </w:r>
          </w:p>
        </w:tc>
      </w:tr>
    </w:tbl>
    <w:p>
      <w:pPr>
        <w:spacing w:after="0" w:line="169" w:lineRule="exact"/>
        <w:rPr>
          <w:sz w:val="20"/>
          <w:szCs w:val="20"/>
          <w:color w:val="auto"/>
        </w:rPr>
      </w:pPr>
    </w:p>
    <w:p>
      <w:pPr>
        <w:ind w:left="1400" w:hanging="161"/>
        <w:spacing w:after="0"/>
        <w:tabs>
          <w:tab w:leader="none" w:pos="1400" w:val="left"/>
        </w:tabs>
        <w:numPr>
          <w:ilvl w:val="0"/>
          <w:numId w:val="3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Addition to our peer group for 2024.</w:t>
      </w:r>
    </w:p>
    <w:p>
      <w:pPr>
        <w:spacing w:after="0" w:line="15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Each of the companies comprising the peer group satisfied certain of the parameters considered. Where a company did not fit within all of the parameters, the talent and compensation committee nonetheless considered other factors that it deemed relevant, including for example the overall composition or consistency of the peer group or companies against which we compete for talent.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talent and compensation committee conducts an annual review of the peer group to ensure that the underlying criteria for peer selection remain appropriate, ensuring that we consider companies that have profiles similar to us, identifying new companies that may be appropriate for inclusion (as indicated above) and removing companies that have been acquired in the interim or that no longer satisfy the key metrics and parameters (for the peer group used for fiscal 2024, the following companies were removed for these reasons: Berkely Lights, Pacific Biosciences of California, PROCEPT BioRobotics, and Rhythm Pharmaceuticals).</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October 2024, the talent and compensation committee approved, with assistance from Aon, an updated peer group to inform 2025 compensation decisions. This updated peer group was comprised of the same companies as the 2024 peer group noted above, except that, in order to align with our then current company profile and parameters for our peer group, Aadi Bioscience, Absci, Hyperfine, MacroGenics, Seneonics and X4 Pharaceuticals were added, while Castle Biosciences, Nanostring Technologies, Silk Road Medical, Somalogic, Twist Bioscience and Veracyte were removed.</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guidelines for our executives, the talent and compensation committee set target cash compensation, when considering salary and bonus potential, after reviewing varying percentiles of compensation paid to executives within our compensation peer group, with generally greater focus on the median. For 2024, the talent and compensation committee balanced equity compensation for our executives between the dollar value of the equity compensation granted (closer to the 25th percentile) and the equity compensation as a percent of ownership of the company (closer to the 75th percentile) provided to executives in our compensation peer group, and also considered company performance and other factors it deemed appropriate to inform its decisions. The talent and compensation committee believes that our emphasis on equity compensation serves to retain our executives and more closely align their interests with those of our stockholders. The talent and compensation committee also believes that generally referencing the median peer group data in setting salary and bonus compensation and higher percentile peer group data in setting equity compensation for our executives, appropriately structures our executive compensation program to emphasize achievement of our long-term success and long-term value creation for our stockholders. We may deviate from setting actual compensation levels at levels comparable to our peer group companies given that our talent and compensation committee considers other factors that it deems appropriate, including for example our executives’ experience, performance levels, responsibilities, tenure, and existing vested and unvested equity holdings.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121285</wp:posOffset>
            </wp:positionV>
            <wp:extent cx="5246370" cy="2203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4637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talent and compensation committee regularly reviews best practices in executive compensation and uses the following guidelines to design our compensation programs:</w:t>
      </w:r>
    </w:p>
    <w:p>
      <w:pPr>
        <w:spacing w:after="0" w:line="104" w:lineRule="exact"/>
        <w:rPr>
          <w:sz w:val="20"/>
          <w:szCs w:val="20"/>
          <w:color w:val="auto"/>
        </w:rPr>
      </w:pPr>
    </w:p>
    <w:p>
      <w:pPr>
        <w:ind w:left="680" w:right="20" w:hanging="298"/>
        <w:spacing w:after="0" w:line="25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Maintain independent compensation committee and engage an independent compensation consultant: </w:t>
      </w:r>
      <w:r>
        <w:rPr>
          <w:rFonts w:ascii="Times New Roman" w:cs="Times New Roman" w:eastAsia="Times New Roman" w:hAnsi="Times New Roman"/>
          <w:sz w:val="18"/>
          <w:szCs w:val="18"/>
          <w:color w:val="auto"/>
        </w:rPr>
        <w:t>It is important for our stockholders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confidence that individuals serving on our talent and compensation committee are independent directors and that independent directors do not have a relationship with the listed Company that would impair their independence. The independence of each member of our talent and compensation committee is reviewed annually. Each member of our talent and compensation committee has been deemed to be independent in accordance with Nasdaq listing standards. Additionally, our talent and compensation committee engages its own independent compensation consultant, which provides the talent and compensation committee with valuable data regarding market compensation trends and provides guidance to the talent and compensation committee about executive compensation programs.</w:t>
      </w:r>
    </w:p>
    <w:p>
      <w:pPr>
        <w:spacing w:after="0" w:line="128" w:lineRule="exact"/>
        <w:rPr>
          <w:rFonts w:ascii="Times New Roman" w:cs="Times New Roman" w:eastAsia="Times New Roman" w:hAnsi="Times New Roman"/>
          <w:sz w:val="18"/>
          <w:szCs w:val="18"/>
          <w:color w:val="auto"/>
        </w:rPr>
      </w:pPr>
    </w:p>
    <w:p>
      <w:pPr>
        <w:ind w:left="680" w:right="400" w:hanging="298"/>
        <w:spacing w:after="0" w:line="28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 assessment</w:t>
      </w:r>
      <w:r>
        <w:rPr>
          <w:rFonts w:ascii="Times New Roman" w:cs="Times New Roman" w:eastAsia="Times New Roman" w:hAnsi="Times New Roman"/>
          <w:sz w:val="18"/>
          <w:szCs w:val="18"/>
          <w:color w:val="auto"/>
        </w:rPr>
        <w:t>: We believe the structure of our executive compensation program motivates our executives to make thoughtful,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decisions with measured risks balanced by appropriate rewards for the Company.</w:t>
      </w:r>
    </w:p>
    <w:p>
      <w:pPr>
        <w:spacing w:after="0" w:line="100" w:lineRule="exact"/>
        <w:rPr>
          <w:rFonts w:ascii="Times New Roman" w:cs="Times New Roman" w:eastAsia="Times New Roman" w:hAnsi="Times New Roman"/>
          <w:sz w:val="18"/>
          <w:szCs w:val="18"/>
          <w:color w:val="auto"/>
        </w:rPr>
      </w:pPr>
    </w:p>
    <w:p>
      <w:pPr>
        <w:jc w:val="both"/>
        <w:ind w:left="680" w:right="60" w:hanging="298"/>
        <w:spacing w:after="0" w:line="26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Policy against hedging and pledging</w:t>
      </w:r>
      <w:r>
        <w:rPr>
          <w:rFonts w:ascii="Times New Roman" w:cs="Times New Roman" w:eastAsia="Times New Roman" w:hAnsi="Times New Roman"/>
          <w:sz w:val="18"/>
          <w:szCs w:val="18"/>
          <w:color w:val="auto"/>
        </w:rPr>
        <w:t>: Our insider trading policy prohibits our executives from engaging in “hedging” or “pledging”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our common stock. The Company annually distributes our insider trading policy for review and acknowledgment by our executive officers and other personnel.</w:t>
      </w:r>
    </w:p>
    <w:p>
      <w:pPr>
        <w:spacing w:after="0" w:line="116" w:lineRule="exact"/>
        <w:rPr>
          <w:rFonts w:ascii="Times New Roman" w:cs="Times New Roman" w:eastAsia="Times New Roman" w:hAnsi="Times New Roman"/>
          <w:sz w:val="18"/>
          <w:szCs w:val="18"/>
          <w:color w:val="auto"/>
        </w:rPr>
      </w:pPr>
    </w:p>
    <w:p>
      <w:pPr>
        <w:jc w:val="both"/>
        <w:ind w:left="680" w:right="620" w:hanging="298"/>
        <w:spacing w:after="0" w:line="26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Clawback policy: </w:t>
      </w:r>
      <w:r>
        <w:rPr>
          <w:rFonts w:ascii="Times New Roman" w:cs="Times New Roman" w:eastAsia="Times New Roman" w:hAnsi="Times New Roman"/>
          <w:sz w:val="18"/>
          <w:szCs w:val="18"/>
          <w:color w:val="auto"/>
        </w:rPr>
        <w:t>We maintain a Compensation Recovery Policy, to which each of our named executive officers is subject. The Policy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further the Company’s pay-for-performance philosophy and to comply with applicable laws by providing rules relating to the reasonably prompt recovery of certain compensation received by covered executives in the event of an accounting restatement.</w:t>
      </w:r>
    </w:p>
    <w:p>
      <w:pPr>
        <w:spacing w:after="0" w:line="116" w:lineRule="exact"/>
        <w:rPr>
          <w:rFonts w:ascii="Times New Roman" w:cs="Times New Roman" w:eastAsia="Times New Roman" w:hAnsi="Times New Roman"/>
          <w:sz w:val="18"/>
          <w:szCs w:val="18"/>
          <w:color w:val="auto"/>
        </w:rPr>
      </w:pPr>
    </w:p>
    <w:p>
      <w:pPr>
        <w:ind w:left="680" w:right="20" w:hanging="298"/>
        <w:spacing w:after="0" w:line="26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guaranteed compensation: </w:t>
      </w:r>
      <w:r>
        <w:rPr>
          <w:rFonts w:ascii="Times New Roman" w:cs="Times New Roman" w:eastAsia="Times New Roman" w:hAnsi="Times New Roman"/>
          <w:sz w:val="18"/>
          <w:szCs w:val="18"/>
          <w:color w:val="auto"/>
        </w:rPr>
        <w:t>Although we have signed employment agreements with each of our named executive officers, all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provide for “at will” employment, and none of these agreements provides any guarantees relating to salary increases or the amounts of incentive pay or equity awards.</w:t>
      </w:r>
    </w:p>
    <w:p>
      <w:pPr>
        <w:spacing w:after="0" w:line="116" w:lineRule="exact"/>
        <w:rPr>
          <w:rFonts w:ascii="Times New Roman" w:cs="Times New Roman" w:eastAsia="Times New Roman" w:hAnsi="Times New Roman"/>
          <w:sz w:val="18"/>
          <w:szCs w:val="18"/>
          <w:color w:val="auto"/>
        </w:rPr>
      </w:pPr>
    </w:p>
    <w:p>
      <w:pPr>
        <w:ind w:left="680" w:hanging="298"/>
        <w:spacing w:after="0" w:line="253"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Reasonable severance and change in control benefits</w:t>
      </w:r>
      <w:r>
        <w:rPr>
          <w:rFonts w:ascii="Times New Roman" w:cs="Times New Roman" w:eastAsia="Times New Roman" w:hAnsi="Times New Roman"/>
          <w:sz w:val="18"/>
          <w:szCs w:val="18"/>
          <w:color w:val="auto"/>
        </w:rPr>
        <w:t>: The change in control and severance agreement with Dr. Farokhzad and the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change in control and severance plan in which our other named executive officers participate do not provide for “single trigger” benefits upon a change in control absent a termination of employment. Instead, this plan requires that the named executive officer’s employment be terminated by us without “cause”, or the named executive officer resign for “good reason” in order for the named executive officer to receive severance benefits, whether in connection with a change in control or otherwise. These arrangements generally provide for “double trigger” provisions under the change in control and severance plan in order for the vesting of time-based equity awards held by these named executive officers to accelerate in connection with a change in control, while Dr. Farokhzad’s agreement also provides for partial acceleration of time-based equity awards in connection with certain without “cause” or “good reason” terminations outside of the change in control context. These arrangements also provide that the vesting of equity awards granted prior to our initial public offering will accelerate if the named executive officer remains employed with us (or our successor) through the two-year anniversary of the change in control. In addition, the performance-based stock options granted to our named executive officers in 2024 do not waive performance-based requirements upon a change in control, and instead performance against the stock price goal is measured against the change in control price and the options vest if the applicable goal is met.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80" w:right="40" w:hanging="298"/>
        <w:spacing w:after="0" w:line="26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options granted below fair market value: </w:t>
      </w:r>
      <w:r>
        <w:rPr>
          <w:rFonts w:ascii="Times New Roman" w:cs="Times New Roman" w:eastAsia="Times New Roman" w:hAnsi="Times New Roman"/>
          <w:sz w:val="18"/>
          <w:szCs w:val="18"/>
          <w:color w:val="auto"/>
        </w:rPr>
        <w:t>Our board and talent and compensation committee are responsible for reviewing, approving,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the Company’s incentive compensation plans and equity compensation plans. In its administration of the plans, the board and talent and compensation committee approve grants of stock options with per-share exercise prices that are at least 100% of the fair market value of the underlying shares on the date of grant.</w:t>
      </w:r>
    </w:p>
    <w:p>
      <w:pPr>
        <w:spacing w:after="0" w:line="122" w:lineRule="exact"/>
        <w:rPr>
          <w:rFonts w:ascii="Times New Roman" w:cs="Times New Roman" w:eastAsia="Times New Roman" w:hAnsi="Times New Roman"/>
          <w:sz w:val="18"/>
          <w:szCs w:val="18"/>
          <w:color w:val="auto"/>
        </w:rPr>
      </w:pPr>
    </w:p>
    <w:p>
      <w:pPr>
        <w:ind w:left="680" w:right="40" w:hanging="298"/>
        <w:spacing w:after="0" w:line="26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excessive perquisites</w:t>
      </w:r>
      <w:r>
        <w:rPr>
          <w:rFonts w:ascii="Times New Roman" w:cs="Times New Roman" w:eastAsia="Times New Roman" w:hAnsi="Times New Roman"/>
          <w:sz w:val="18"/>
          <w:szCs w:val="18"/>
          <w:color w:val="auto"/>
        </w:rPr>
        <w:t>: Personal benefits currently are not a significant component of our executive compensation program. We do not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Key Components of our Compensation Program</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talent and compensation committee has developed an executive compensation program that consists of three main components. The relative mix of these components is weighted more on incentives, particularly long-term incentives, rather than fixed compensation. The focus on incentive compensation ensures that the interests of our executives are aligned with those of our stockholders. Our compensation program is made up of the following three key compensation components: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612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Objective</w:t>
            </w:r>
          </w:p>
        </w:tc>
      </w:tr>
      <w:tr>
        <w:trPr>
          <w:trHeight w:val="203"/>
        </w:trPr>
        <w:tc>
          <w:tcPr>
            <w:tcW w:w="344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Base Salary</w:t>
            </w:r>
          </w:p>
        </w:tc>
        <w:tc>
          <w:tcPr>
            <w:tcW w:w="1680" w:type="dxa"/>
            <w:vAlign w:val="bottom"/>
            <w:shd w:val="clear" w:color="auto" w:fill="CFF0FC"/>
          </w:tcPr>
          <w:p>
            <w:pPr>
              <w:jc w:val="center"/>
              <w:ind w:left="15"/>
              <w:spacing w:after="0" w:line="202" w:lineRule="exact"/>
              <w:rPr>
                <w:sz w:val="20"/>
                <w:szCs w:val="20"/>
                <w:color w:val="auto"/>
              </w:rPr>
            </w:pPr>
            <w:r>
              <w:rPr>
                <w:rFonts w:ascii="Times New Roman" w:cs="Times New Roman" w:eastAsia="Times New Roman" w:hAnsi="Times New Roman"/>
                <w:sz w:val="18"/>
                <w:szCs w:val="18"/>
                <w:color w:val="auto"/>
              </w:rPr>
              <w:t>Annual</w:t>
            </w:r>
          </w:p>
        </w:tc>
        <w:tc>
          <w:tcPr>
            <w:tcW w:w="612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Attract, retain, and reward top talent; reflects a named executive officer’s</w:t>
            </w:r>
          </w:p>
        </w:tc>
      </w:tr>
      <w:tr>
        <w:trPr>
          <w:trHeight w:val="234"/>
        </w:trPr>
        <w:tc>
          <w:tcPr>
            <w:tcW w:w="344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responsibilities, performance, and relevant market data.</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Annual Cash Incentives</w:t>
            </w:r>
          </w:p>
        </w:tc>
        <w:tc>
          <w:tcPr>
            <w:tcW w:w="168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Annual</w:t>
            </w: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Incentivize achievement of annual Company goals.</w:t>
            </w:r>
          </w:p>
        </w:tc>
      </w:tr>
      <w:tr>
        <w:trPr>
          <w:trHeight w:val="198"/>
        </w:trPr>
        <w:tc>
          <w:tcPr>
            <w:tcW w:w="3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Long-Term Equity Awards (Consisting of a</w:t>
            </w:r>
          </w:p>
        </w:tc>
        <w:tc>
          <w:tcPr>
            <w:tcW w:w="1680" w:type="dxa"/>
            <w:vAlign w:val="bottom"/>
            <w:shd w:val="clear" w:color="auto" w:fill="CFF0FC"/>
          </w:tcPr>
          <w:p>
            <w:pPr>
              <w:jc w:val="center"/>
              <w:ind w:left="15"/>
              <w:spacing w:after="0" w:line="198" w:lineRule="exact"/>
              <w:rPr>
                <w:sz w:val="20"/>
                <w:szCs w:val="20"/>
                <w:color w:val="auto"/>
              </w:rPr>
            </w:pPr>
            <w:r>
              <w:rPr>
                <w:rFonts w:ascii="Times New Roman" w:cs="Times New Roman" w:eastAsia="Times New Roman" w:hAnsi="Times New Roman"/>
                <w:sz w:val="18"/>
                <w:szCs w:val="18"/>
                <w:color w:val="auto"/>
                <w:w w:val="98"/>
              </w:rPr>
              <w:t>Long-Term</w:t>
            </w:r>
          </w:p>
        </w:tc>
        <w:tc>
          <w:tcPr>
            <w:tcW w:w="612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Options incentivize the achievement of share price growth.</w:t>
            </w: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Mix of Options and RSUs)</w:t>
            </w:r>
          </w:p>
        </w:tc>
        <w:tc>
          <w:tcPr>
            <w:tcW w:w="1680" w:type="dxa"/>
            <w:vAlign w:val="bottom"/>
            <w:shd w:val="clear" w:color="auto" w:fill="CFF0FC"/>
          </w:tcPr>
          <w:p>
            <w:pPr>
              <w:spacing w:after="0"/>
              <w:rPr>
                <w:sz w:val="18"/>
                <w:szCs w:val="18"/>
                <w:color w:val="auto"/>
              </w:rPr>
            </w:pPr>
          </w:p>
        </w:tc>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RSUs closely align the interests of management and stockholders and serve as an</w:t>
            </w:r>
          </w:p>
        </w:tc>
      </w:tr>
      <w:tr>
        <w:trPr>
          <w:trHeight w:val="234"/>
        </w:trPr>
        <w:tc>
          <w:tcPr>
            <w:tcW w:w="344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important retention vehicle.</w:t>
            </w:r>
          </w:p>
        </w:tc>
      </w:tr>
    </w:tbl>
    <w:p>
      <w:pPr>
        <w:spacing w:after="0" w:line="14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design and implement an executive compensation program that combines both base salary, and short-term and long-term incentive elements based on annual performance objectives and long-term equity interests. The annual cash incentives and long-term equity awards elements of our executive compensation program are intended to align the interests of our executives and our shareholders. The talent and compensation committee has not, however, adopted any formal or informal policies or guidelines for allocating compensation between short-term and long-term compensation, between base salary and non-cash compensation, or among different forms of non-cash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Base salary represents the fixed portion of our executives’ compensation, which we view as an important element to attract, retain and motivate highly talented executives. Each named executive officer’s base salary is typically annually reviewed by our talent and compensation committee based on competitive market considerations and level of responsibilities, experience, and skill set. These considerations are supplemented by market data provided by the talent and compensation committee’s independent compensation consultant. In February 2024, our talent and compensation committee reviewed these annual base salary amounts and provided merit increases to our named executive officers, effective March 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these considerations, our named executive officer’s annual base salaries for 2024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 Annual Base Salary</w:t>
            </w:r>
          </w:p>
        </w:tc>
        <w:tc>
          <w:tcPr>
            <w:tcW w:w="17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 Merit Increase</w:t>
            </w:r>
          </w:p>
        </w:tc>
        <w:tc>
          <w:tcPr>
            <w:tcW w:w="28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 Annual Base Salary</w:t>
            </w:r>
          </w:p>
        </w:tc>
        <w:tc>
          <w:tcPr>
            <w:tcW w:w="0" w:type="dxa"/>
            <w:vAlign w:val="bottom"/>
          </w:tcPr>
          <w:p>
            <w:pPr>
              <w:spacing w:after="0"/>
              <w:rPr>
                <w:sz w:val="1"/>
                <w:szCs w:val="1"/>
                <w:color w:val="auto"/>
              </w:rPr>
            </w:pPr>
          </w:p>
        </w:tc>
      </w:tr>
      <w:tr>
        <w:trPr>
          <w:trHeight w:val="173"/>
        </w:trPr>
        <w:tc>
          <w:tcPr>
            <w:tcW w:w="3260" w:type="dxa"/>
            <w:vAlign w:val="bottom"/>
            <w:vMerge w:val="continue"/>
          </w:tcPr>
          <w:p>
            <w:pPr>
              <w:spacing w:after="0"/>
              <w:rPr>
                <w:sz w:val="15"/>
                <w:szCs w:val="15"/>
                <w:color w:val="auto"/>
              </w:rPr>
            </w:pPr>
          </w:p>
        </w:tc>
        <w:tc>
          <w:tcPr>
            <w:tcW w:w="3400" w:type="dxa"/>
            <w:vAlign w:val="bottom"/>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vMerge w:val="continue"/>
          </w:tcPr>
          <w:p>
            <w:pPr>
              <w:spacing w:after="0"/>
              <w:rPr>
                <w:sz w:val="15"/>
                <w:szCs w:val="15"/>
                <w:color w:val="auto"/>
              </w:rPr>
            </w:pPr>
          </w:p>
        </w:tc>
        <w:tc>
          <w:tcPr>
            <w:tcW w:w="28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(following March 2024 Merit Increases) ($)</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34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600,500</w:t>
            </w:r>
          </w:p>
        </w:tc>
        <w:tc>
          <w:tcPr>
            <w:tcW w:w="1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3.75%</w:t>
            </w:r>
          </w:p>
        </w:tc>
        <w:tc>
          <w:tcPr>
            <w:tcW w:w="28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623,019</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34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510,000</w:t>
            </w: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3.75%</w:t>
            </w:r>
          </w:p>
        </w:tc>
        <w:tc>
          <w:tcPr>
            <w:tcW w:w="2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529,125</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Elona Kogan</w:t>
            </w:r>
          </w:p>
        </w:tc>
        <w:tc>
          <w:tcPr>
            <w:tcW w:w="34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420,000</w:t>
            </w:r>
          </w:p>
        </w:tc>
        <w:tc>
          <w:tcPr>
            <w:tcW w:w="1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4.00%</w:t>
            </w:r>
          </w:p>
        </w:tc>
        <w:tc>
          <w:tcPr>
            <w:tcW w:w="28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436,800</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Incentives</w:t>
      </w:r>
    </w:p>
    <w:p>
      <w:pPr>
        <w:spacing w:after="0" w:line="17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annual performance-based cash bonuses under our Executive Incentive Compensation Plan, which bonuses are designed to provide appropriate incentives to our executives to achieve defined annual corporate goals and to reward our executives and other employees who significantly impact our corporate results.</w:t>
      </w:r>
    </w:p>
    <w:p>
      <w:pPr>
        <w:spacing w:after="0" w:line="12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Annual corporate goals are developed and recommended by management to the Board of Directors. The Board of Directors approves the annual corporate goals. Annual corporate goals are reviewed by the talent and compensation committee on a quarterly basis to track the Company’s progress toward achievement of the annual corporate goals and the continued appropriateness of such goals throughout the year. For each named executive officer, our talent and compensation committee sets the target bonus as a percentage of base salary, each of which is set forth below for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 Target Bonus (As a Percentage of Base</w:t>
            </w:r>
          </w:p>
        </w:tc>
        <w:tc>
          <w:tcPr>
            <w:tcW w:w="0" w:type="dxa"/>
            <w:vAlign w:val="bottom"/>
          </w:tcPr>
          <w:p>
            <w:pPr>
              <w:spacing w:after="0"/>
              <w:rPr>
                <w:sz w:val="1"/>
                <w:szCs w:val="1"/>
                <w:color w:val="auto"/>
              </w:rPr>
            </w:pPr>
          </w:p>
        </w:tc>
      </w:tr>
      <w:tr>
        <w:trPr>
          <w:trHeight w:val="173"/>
        </w:trPr>
        <w:tc>
          <w:tcPr>
            <w:tcW w:w="5020" w:type="dxa"/>
            <w:vAlign w:val="bottom"/>
            <w:vMerge w:val="continue"/>
          </w:tcPr>
          <w:p>
            <w:pPr>
              <w:spacing w:after="0"/>
              <w:rPr>
                <w:sz w:val="15"/>
                <w:szCs w:val="15"/>
                <w:color w:val="auto"/>
              </w:rPr>
            </w:pPr>
          </w:p>
        </w:tc>
        <w:tc>
          <w:tcPr>
            <w:tcW w:w="6220" w:type="dxa"/>
            <w:vAlign w:val="bottom"/>
          </w:tcPr>
          <w:p>
            <w:pPr>
              <w:jc w:val="right"/>
              <w:ind w:right="1237"/>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6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Elona Kogan</w:t>
            </w:r>
          </w:p>
        </w:tc>
        <w:tc>
          <w:tcPr>
            <w:tcW w:w="6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year, our talent and compensation committee sets the goals that will apply to that year’s executive bonuses, and the weightings attributable to such goals. The actual performance-based bonus paid, if any, is calculated by multiplying the executive’s annual base salary and target bonus percentage times percentage achievement of the applicable goals. For 2024, named executive officer bonuses were 100% based on corporate objectives, in order to focus our named executive officers on our most critical and strategic goals for the year, and the corporate objectives were divided into four categories as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Objectives</w:t>
            </w:r>
          </w:p>
        </w:tc>
        <w:tc>
          <w:tcPr>
            <w:tcW w:w="4860" w:type="dxa"/>
            <w:vAlign w:val="bottom"/>
          </w:tcPr>
          <w:p>
            <w:pPr>
              <w:jc w:val="right"/>
              <w:ind w:right="1234"/>
              <w:spacing w:after="0"/>
              <w:rPr>
                <w:sz w:val="20"/>
                <w:szCs w:val="20"/>
                <w:color w:val="auto"/>
              </w:rPr>
            </w:pPr>
            <w:r>
              <w:rPr>
                <w:rFonts w:ascii="Times New Roman" w:cs="Times New Roman" w:eastAsia="Times New Roman" w:hAnsi="Times New Roman"/>
                <w:sz w:val="14"/>
                <w:szCs w:val="14"/>
                <w:b w:val="1"/>
                <w:bCs w:val="1"/>
                <w:color w:val="auto"/>
              </w:rPr>
              <w:t>Weight</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Objectives</w:t>
            </w:r>
          </w:p>
        </w:tc>
        <w:tc>
          <w:tcPr>
            <w:tcW w:w="4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Commercial Objectives</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&amp; Product Development Objectives</w:t>
            </w:r>
          </w:p>
        </w:tc>
        <w:tc>
          <w:tcPr>
            <w:tcW w:w="4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Objectives</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general, corporate objectives are set at levels that were considered difficult to achieve, but achievable with significant effort, and if achieved at 100% would have exceeded the Company’s operational expectations for the measurement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At the close of the applicable fiscal year, the talent and compensation committee comes to a general, subjective conclusion as to whether the corporate goals overall were met, and whether there were any other factors that should be considered in determining the amount of bonus earned for the year. The talent and compensation committee may decide to pay bonuses to the named executive officers even if the specified performance goals are not met, in recognition of the Company’s performance throughout the year in meeting other objectives not contemplated at the beginning of the performance period, or alternatively may determine to decrease or eliminate bonuses even if goals are achieved after weighing factors such as those not specifically set at the beginning of the year. In making the final decision on the corporate goal achievement, the talent and compensation committee also considers the review of the year-end financial results. In sum, the amount of bonus compensation that is actually earned by our named executive officers may be influenced by subjective determinations by our talent and compensation committee. The talent and compensation committee believes that maintaining discretion to evaluate corporate performance at the close of the year based on the totality of the circumstances, and to award or fail to award bonus compensation without reliance on rote calculations under set formulas, is appropriate in responsibly discharging its duties, particularly for a Company at our growth stage. Our talent and compensation committee may award a bonus in an amount above or below the amount resulting from the calculation described above, based on other factors that our talent and compensation committee determines, in its sole discretion, are important to our corporate performance and provide appropriate incentives to our executives, for example based on events or circumstances that arise after the original goals are set. Payouts of earned bonuses, if any, are generally made in the year following the year of performance, and subject to the recipient’s continued employment with us through the payment date.</w:t>
      </w:r>
    </w:p>
    <w:p>
      <w:pPr>
        <w:spacing w:after="0" w:line="14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February 5, 2025, the talent and compensation committee evaluated our achievement of the 2024 corporate objectives. The talent and compensation committee considered whether we had achieved specific goals in each category of our corporate objectives, including any over achievement in each category, the weighting established for each category, and our overall corporate performance in 2024. After taking into consideration performance against corporate objectives as well as successes on other key Company’s projects, the talent and compensation committee approved a 75% achievement level for our named executive officers for our 2024 corporate objectives.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payments made for 2024 performance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 Target Bonus ($)</w:t>
            </w:r>
          </w:p>
        </w:tc>
        <w:tc>
          <w:tcPr>
            <w:tcW w:w="20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 Bonus Payout ($)</w:t>
            </w:r>
          </w:p>
        </w:tc>
        <w:tc>
          <w:tcPr>
            <w:tcW w:w="21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 Bonus Payout (% of</w:t>
            </w:r>
          </w:p>
        </w:tc>
        <w:tc>
          <w:tcPr>
            <w:tcW w:w="0" w:type="dxa"/>
            <w:vAlign w:val="bottom"/>
          </w:tcPr>
          <w:p>
            <w:pPr>
              <w:spacing w:after="0"/>
              <w:rPr>
                <w:sz w:val="1"/>
                <w:szCs w:val="1"/>
                <w:color w:val="auto"/>
              </w:rPr>
            </w:pPr>
          </w:p>
        </w:tc>
      </w:tr>
      <w:tr>
        <w:trPr>
          <w:trHeight w:val="173"/>
        </w:trPr>
        <w:tc>
          <w:tcPr>
            <w:tcW w:w="3520" w:type="dxa"/>
            <w:vAlign w:val="bottom"/>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212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360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529,566</w:t>
            </w:r>
          </w:p>
        </w:tc>
        <w:tc>
          <w:tcPr>
            <w:tcW w:w="20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397,174</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David Horn</w:t>
            </w:r>
          </w:p>
        </w:tc>
        <w:tc>
          <w:tcPr>
            <w:tcW w:w="36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291,019</w:t>
            </w:r>
          </w:p>
        </w:tc>
        <w:tc>
          <w:tcPr>
            <w:tcW w:w="2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218,264</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Elona Kogan </w:t>
            </w:r>
            <w:r>
              <w:rPr>
                <w:rFonts w:ascii="Times New Roman" w:cs="Times New Roman" w:eastAsia="Times New Roman" w:hAnsi="Times New Roman"/>
                <w:sz w:val="9"/>
                <w:szCs w:val="9"/>
                <w:color w:val="auto"/>
              </w:rPr>
              <w:t>(1)</w:t>
            </w:r>
          </w:p>
        </w:tc>
        <w:tc>
          <w:tcPr>
            <w:tcW w:w="360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196,560</w:t>
            </w:r>
          </w:p>
        </w:tc>
        <w:tc>
          <w:tcPr>
            <w:tcW w:w="20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Ms. Kogan left the Company on July 26, 2024 and therefore she was not eligible for a bonus payment for the 2024 performance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17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focus on long-term value creation results in our executive compensation program having a strong weighting toward equity compensation. We rely heavily on equity compensation that vests over a multi-year period to ensure that a significant portion of a named executive officer’s compensation opportunity is related to factors that directly and indirectly influence stockholder value. Our talent and compensation committee believes this serves as a reward for appreciation in our stock price, and long-term value creation and enables us to achieve our retention objectives. Further, equity participation establishes a sense of ownership and more closely aligns executives’ interests with those of our other stockholders.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Annual Equity Grants</w:t>
      </w:r>
    </w:p>
    <w:p>
      <w:pPr>
        <w:spacing w:after="0" w:line="17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2024, our annual equity awards to our executives were in the form of stock options with market performance conditions and restricted stock units with time-based vesting. Stock options with a market performance condition become eligible to vest only if the average of our closing price for each trading day over a consecutive 20-trading day period increases above the stock price on the date of grant by 200% for named executive officers other than our CEO and by 300% for our CEO, thereby further aligning company performance with stockholder interests. Furthermore, we believe that RSU awards provide tangible value to our executive officers and serve as an important incentive and retention tool during a difficult operating or volatile business environment, while still being tied to stockholder value. Additionally, RSU awards enable our executive officers to accumulate stock ownership in the Company.</w:t>
      </w:r>
    </w:p>
    <w:p>
      <w:pPr>
        <w:spacing w:after="0" w:line="13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grant equity awards to our named executive officers as part of the talent and compensation committee’s annual review of executive compensation. The talent and compensation committee has not applied a rigid formula in determining the size of these equity awards or mix between options and RSUs. In February 2024, the talent and compensation committee reviewed and approved the option and RSU grants for the named executive officers, making its decision with input and assistance from Aon on a market assessment of peer companies, as well as by utilizing a blend of factors that included value of equity compensation and Company ownership. The talent and compensation committee determined that the annual equity grants would be split between stock options with a market performance condition and RSUs, with slightly greater emphasis on the market performance-based stock options based on value,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2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760" w:type="dxa"/>
            <w:vAlign w:val="bottom"/>
            <w:gridSpan w:val="3"/>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right"/>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6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477"/>
              <w:spacing w:after="0" w:line="175"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11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(2</w:t>
            </w:r>
          </w:p>
        </w:tc>
        <w:tc>
          <w:tcPr>
            <w:tcW w:w="1360" w:type="dxa"/>
            <w:vAlign w:val="bottom"/>
          </w:tcPr>
          <w:p>
            <w:pPr>
              <w:jc w:val="right"/>
              <w:ind w:right="277"/>
              <w:spacing w:after="0" w:line="176"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161"/>
        </w:trPr>
        <w:tc>
          <w:tcPr>
            <w:tcW w:w="390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Omid Farokhzad, M.D.</w:t>
            </w:r>
          </w:p>
        </w:tc>
        <w:tc>
          <w:tcPr>
            <w:tcW w:w="3160" w:type="dxa"/>
            <w:vAlign w:val="bottom"/>
          </w:tcPr>
          <w:p>
            <w:pPr>
              <w:jc w:val="right"/>
              <w:ind w:right="277"/>
              <w:spacing w:after="0" w:line="161" w:lineRule="exact"/>
              <w:rPr>
                <w:sz w:val="20"/>
                <w:szCs w:val="20"/>
                <w:color w:val="auto"/>
              </w:rPr>
            </w:pPr>
            <w:r>
              <w:rPr>
                <w:rFonts w:ascii="Times New Roman" w:cs="Times New Roman" w:eastAsia="Times New Roman" w:hAnsi="Times New Roman"/>
                <w:sz w:val="18"/>
                <w:szCs w:val="18"/>
                <w:color w:val="auto"/>
              </w:rPr>
              <w:t>402,000</w:t>
            </w:r>
          </w:p>
        </w:tc>
        <w:tc>
          <w:tcPr>
            <w:tcW w:w="1420" w:type="dxa"/>
            <w:vAlign w:val="bottom"/>
          </w:tcPr>
          <w:p>
            <w:pPr>
              <w:jc w:val="right"/>
              <w:ind w:right="317"/>
              <w:spacing w:after="0" w:line="161" w:lineRule="exact"/>
              <w:rPr>
                <w:sz w:val="20"/>
                <w:szCs w:val="20"/>
                <w:color w:val="auto"/>
              </w:rPr>
            </w:pPr>
            <w:r>
              <w:rPr>
                <w:rFonts w:ascii="Times New Roman" w:cs="Times New Roman" w:eastAsia="Times New Roman" w:hAnsi="Times New Roman"/>
                <w:sz w:val="18"/>
                <w:szCs w:val="18"/>
                <w:color w:val="auto"/>
              </w:rPr>
              <w:t>711,540</w:t>
            </w:r>
          </w:p>
        </w:tc>
        <w:tc>
          <w:tcPr>
            <w:tcW w:w="1100" w:type="dxa"/>
            <w:vAlign w:val="bottom"/>
          </w:tcPr>
          <w:p>
            <w:pPr>
              <w:jc w:val="right"/>
              <w:spacing w:after="0" w:line="161" w:lineRule="exact"/>
              <w:rPr>
                <w:sz w:val="20"/>
                <w:szCs w:val="20"/>
                <w:color w:val="auto"/>
              </w:rPr>
            </w:pPr>
            <w:r>
              <w:rPr>
                <w:rFonts w:ascii="Times New Roman" w:cs="Times New Roman" w:eastAsia="Times New Roman" w:hAnsi="Times New Roman"/>
                <w:sz w:val="18"/>
                <w:szCs w:val="18"/>
                <w:color w:val="auto"/>
              </w:rPr>
              <w:t>650,000</w:t>
            </w:r>
          </w:p>
        </w:tc>
        <w:tc>
          <w:tcPr>
            <w:tcW w:w="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tcPr>
          <w:p>
            <w:pPr>
              <w:jc w:val="right"/>
              <w:ind w:right="37"/>
              <w:spacing w:after="0" w:line="161" w:lineRule="exact"/>
              <w:rPr>
                <w:sz w:val="20"/>
                <w:szCs w:val="20"/>
                <w:color w:val="auto"/>
              </w:rPr>
            </w:pPr>
            <w:r>
              <w:rPr>
                <w:rFonts w:ascii="Times New Roman" w:cs="Times New Roman" w:eastAsia="Times New Roman" w:hAnsi="Times New Roman"/>
                <w:sz w:val="18"/>
                <w:szCs w:val="18"/>
                <w:color w:val="auto"/>
              </w:rPr>
              <w:t>895,440</w:t>
            </w:r>
          </w:p>
        </w:tc>
        <w:tc>
          <w:tcPr>
            <w:tcW w:w="0" w:type="dxa"/>
            <w:vAlign w:val="bottom"/>
          </w:tcPr>
          <w:p>
            <w:pPr>
              <w:spacing w:after="0"/>
              <w:rPr>
                <w:sz w:val="1"/>
                <w:szCs w:val="1"/>
                <w:color w:val="auto"/>
              </w:rPr>
            </w:pPr>
          </w:p>
        </w:tc>
      </w:tr>
      <w:tr>
        <w:trPr>
          <w:trHeight w:val="8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David Horn</w:t>
            </w:r>
          </w:p>
        </w:tc>
        <w:tc>
          <w:tcPr>
            <w:tcW w:w="3160" w:type="dxa"/>
            <w:vAlign w:val="bottom"/>
            <w:vMerge w:val="restart"/>
          </w:tcPr>
          <w:p>
            <w:pPr>
              <w:jc w:val="right"/>
              <w:ind w:right="277"/>
              <w:spacing w:after="0"/>
              <w:rPr>
                <w:sz w:val="20"/>
                <w:szCs w:val="20"/>
                <w:color w:val="auto"/>
              </w:rPr>
            </w:pPr>
            <w:r>
              <w:rPr>
                <w:rFonts w:ascii="Times New Roman" w:cs="Times New Roman" w:eastAsia="Times New Roman" w:hAnsi="Times New Roman"/>
                <w:sz w:val="18"/>
                <w:szCs w:val="18"/>
                <w:color w:val="auto"/>
              </w:rPr>
              <w:t>70,000</w:t>
            </w:r>
          </w:p>
        </w:tc>
        <w:tc>
          <w:tcPr>
            <w:tcW w:w="1420" w:type="dxa"/>
            <w:vAlign w:val="bottom"/>
            <w:vMerge w:val="restart"/>
          </w:tcPr>
          <w:p>
            <w:pPr>
              <w:jc w:val="right"/>
              <w:ind w:right="317"/>
              <w:spacing w:after="0"/>
              <w:rPr>
                <w:sz w:val="20"/>
                <w:szCs w:val="20"/>
                <w:color w:val="auto"/>
              </w:rPr>
            </w:pPr>
            <w:r>
              <w:rPr>
                <w:rFonts w:ascii="Times New Roman" w:cs="Times New Roman" w:eastAsia="Times New Roman" w:hAnsi="Times New Roman"/>
                <w:sz w:val="18"/>
                <w:szCs w:val="18"/>
                <w:color w:val="auto"/>
              </w:rPr>
              <w:t>123,900</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300" w:type="dxa"/>
            <w:vAlign w:val="bottom"/>
          </w:tcPr>
          <w:p>
            <w:pPr>
              <w:ind w:left="60"/>
              <w:spacing w:after="0" w:line="80" w:lineRule="exact"/>
              <w:rPr>
                <w:sz w:val="20"/>
                <w:szCs w:val="20"/>
                <w:color w:val="auto"/>
              </w:rPr>
            </w:pPr>
            <w:r>
              <w:rPr>
                <w:rFonts w:ascii="Times New Roman" w:cs="Times New Roman" w:eastAsia="Times New Roman" w:hAnsi="Times New Roman"/>
                <w:sz w:val="8"/>
                <w:szCs w:val="8"/>
                <w:color w:val="auto"/>
              </w:rPr>
              <w:t>(3</w:t>
            </w:r>
          </w:p>
        </w:tc>
        <w:tc>
          <w:tcPr>
            <w:tcW w:w="136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192,864</w:t>
            </w:r>
          </w:p>
        </w:tc>
        <w:tc>
          <w:tcPr>
            <w:tcW w:w="0" w:type="dxa"/>
            <w:vAlign w:val="bottom"/>
          </w:tcPr>
          <w:p>
            <w:pPr>
              <w:spacing w:after="0"/>
              <w:rPr>
                <w:sz w:val="1"/>
                <w:szCs w:val="1"/>
                <w:color w:val="auto"/>
              </w:rPr>
            </w:pPr>
          </w:p>
        </w:tc>
      </w:tr>
      <w:tr>
        <w:trPr>
          <w:trHeight w:val="136"/>
        </w:trPr>
        <w:tc>
          <w:tcPr>
            <w:tcW w:w="3900" w:type="dxa"/>
            <w:vAlign w:val="bottom"/>
            <w:vMerge w:val="continue"/>
          </w:tcPr>
          <w:p>
            <w:pPr>
              <w:spacing w:after="0"/>
              <w:rPr>
                <w:sz w:val="11"/>
                <w:szCs w:val="11"/>
                <w:color w:val="auto"/>
              </w:rPr>
            </w:pPr>
          </w:p>
        </w:tc>
        <w:tc>
          <w:tcPr>
            <w:tcW w:w="31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Elona Kogan</w:t>
            </w:r>
          </w:p>
        </w:tc>
        <w:tc>
          <w:tcPr>
            <w:tcW w:w="3160" w:type="dxa"/>
            <w:vAlign w:val="bottom"/>
            <w:vMerge w:val="restart"/>
          </w:tcPr>
          <w:p>
            <w:pPr>
              <w:jc w:val="right"/>
              <w:ind w:right="277"/>
              <w:spacing w:after="0"/>
              <w:rPr>
                <w:sz w:val="20"/>
                <w:szCs w:val="20"/>
                <w:color w:val="auto"/>
              </w:rPr>
            </w:pPr>
            <w:r>
              <w:rPr>
                <w:rFonts w:ascii="Times New Roman" w:cs="Times New Roman" w:eastAsia="Times New Roman" w:hAnsi="Times New Roman"/>
                <w:sz w:val="18"/>
                <w:szCs w:val="18"/>
                <w:color w:val="auto"/>
              </w:rPr>
              <w:t>70,000</w:t>
            </w:r>
          </w:p>
        </w:tc>
        <w:tc>
          <w:tcPr>
            <w:tcW w:w="1420" w:type="dxa"/>
            <w:vAlign w:val="bottom"/>
            <w:vMerge w:val="restart"/>
          </w:tcPr>
          <w:p>
            <w:pPr>
              <w:jc w:val="right"/>
              <w:ind w:right="317"/>
              <w:spacing w:after="0"/>
              <w:rPr>
                <w:sz w:val="20"/>
                <w:szCs w:val="20"/>
                <w:color w:val="auto"/>
              </w:rPr>
            </w:pPr>
            <w:r>
              <w:rPr>
                <w:rFonts w:ascii="Times New Roman" w:cs="Times New Roman" w:eastAsia="Times New Roman" w:hAnsi="Times New Roman"/>
                <w:sz w:val="18"/>
                <w:szCs w:val="18"/>
                <w:color w:val="auto"/>
              </w:rPr>
              <w:t>123,900</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300" w:type="dxa"/>
            <w:vAlign w:val="bottom"/>
          </w:tcPr>
          <w:p>
            <w:pPr>
              <w:ind w:left="60"/>
              <w:spacing w:after="0" w:line="80" w:lineRule="exact"/>
              <w:rPr>
                <w:sz w:val="20"/>
                <w:szCs w:val="20"/>
                <w:color w:val="auto"/>
              </w:rPr>
            </w:pPr>
            <w:r>
              <w:rPr>
                <w:rFonts w:ascii="Times New Roman" w:cs="Times New Roman" w:eastAsia="Times New Roman" w:hAnsi="Times New Roman"/>
                <w:sz w:val="8"/>
                <w:szCs w:val="8"/>
                <w:color w:val="auto"/>
              </w:rPr>
              <w:t>(3</w:t>
            </w:r>
          </w:p>
        </w:tc>
        <w:tc>
          <w:tcPr>
            <w:tcW w:w="136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192,864</w:t>
            </w:r>
          </w:p>
        </w:tc>
        <w:tc>
          <w:tcPr>
            <w:tcW w:w="0" w:type="dxa"/>
            <w:vAlign w:val="bottom"/>
          </w:tcPr>
          <w:p>
            <w:pPr>
              <w:spacing w:after="0"/>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316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8" w:lineRule="exact"/>
        <w:rPr>
          <w:sz w:val="20"/>
          <w:szCs w:val="20"/>
          <w:color w:val="auto"/>
        </w:rPr>
      </w:pPr>
    </w:p>
    <w:p>
      <w:pPr>
        <w:ind w:left="300" w:right="200" w:hanging="292"/>
        <w:spacing w:after="0" w:line="298" w:lineRule="auto"/>
        <w:tabs>
          <w:tab w:leader="none" w:pos="3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in this column represent the aggregate full grant date fair value of the equity awards calculated in accordance with FASB ASC Topic 718. Please see the Summary Compensation Table for more details regarding how this value is calculated.</w:t>
      </w:r>
    </w:p>
    <w:p>
      <w:pPr>
        <w:spacing w:after="0" w:line="56" w:lineRule="exact"/>
        <w:rPr>
          <w:rFonts w:ascii="Times New Roman" w:cs="Times New Roman" w:eastAsia="Times New Roman" w:hAnsi="Times New Roman"/>
          <w:sz w:val="16"/>
          <w:szCs w:val="16"/>
          <w:color w:val="auto"/>
        </w:rPr>
      </w:pPr>
    </w:p>
    <w:p>
      <w:pPr>
        <w:ind w:left="300" w:right="20" w:hanging="292"/>
        <w:spacing w:after="0" w:line="271" w:lineRule="auto"/>
        <w:tabs>
          <w:tab w:leader="none" w:pos="3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more closely align our CEO’s interests with those of our stockholders, the talent and compensation committee added a market performance condition to the retention options granted to our CEO in 2024. The stock option will become eligible to vest only if the average closing price of our stock over a consecutive 20-trading day period increases to 300% (an average closing price of $5.31 over a consecutive 20-trading day period) of the price on the date of grant ($1.77). This option has a seven-year performance period. If the market conditions are not met by February 6, 2031, the option will be forfeited in its entirety. If the market conditions are met by such date, then one-fourth of the shares subject to the option vest on the date that such market condition achievement is certified and the remaining shares vest annually thereafter in three equal installments, subject to continued service to the Company.</w:t>
      </w:r>
    </w:p>
    <w:p>
      <w:pPr>
        <w:spacing w:after="0" w:line="76" w:lineRule="exact"/>
        <w:rPr>
          <w:rFonts w:ascii="Times New Roman" w:cs="Times New Roman" w:eastAsia="Times New Roman" w:hAnsi="Times New Roman"/>
          <w:sz w:val="16"/>
          <w:szCs w:val="16"/>
          <w:color w:val="auto"/>
        </w:rPr>
      </w:pPr>
    </w:p>
    <w:p>
      <w:pPr>
        <w:ind w:left="300" w:right="180" w:hanging="292"/>
        <w:spacing w:after="0" w:line="271" w:lineRule="auto"/>
        <w:tabs>
          <w:tab w:leader="none" w:pos="3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more closely align our named executive officers' interests with those of our stockholders, the talent and compensation committee added a market performance condition to the options granted to our executive team in 2024. These stock options will begin to vest only if the average closing price of our stock over a consecutive 20-trading day period increases to 200% (an average closing price of $3.54 over a consecutive 20-trading day period) of the price on the date of grant ($1.77). These options have a seven-year performance period. If the market conditions are not met by February 6, 2031, the options will be forfeited in their entirety. If the market conditions are met by such date, then one-fourth of the shares subject to the option vest on the date that such market condition achievement is certified and the remaining shares vest annually thereafter in three equal installments, subject to continued service to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 Grants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talent and compensation committee severely limits discretionary equity grants to rare cases, to be used judiciously and only in very limited circumstances. However, the talent and compensation committee views special equity awards as an important way to meet the Company’s needs for a specific purpose or during a specific period. Our ability to execute our strategy, our future success and the promotion and protection of the interest of our stockholders depend largely on our continuing ability to retain highly qualified and skilled executive leaders.</w:t>
      </w:r>
    </w:p>
    <w:p>
      <w:pPr>
        <w:spacing w:after="0" w:line="12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several years, there has been fierce competition in the biotechnology industry for executive officers and employees with the skills and experience to lead others. This is especially true in the San Francisco Bay area, where there is an ongoing “war for talent.” Various factors, including inflation and the employment market have made the situation even more intense. Attracting and retaining executive talent of the caliber of our leaders is both extremely challenging and vitally important. Our ability to execute our strategy, our future success and the promotion and protection of the interests of our stockholders depend to a great extent on our continuing ability to retain highly qualified and skilled employees.</w:t>
      </w:r>
    </w:p>
    <w:p>
      <w:pPr>
        <w:spacing w:after="0" w:line="1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Against this backdrop, and with input and assistance from Aon, the talent and compensation committee determined in February 2024 that it was in the best interest of the Company and our stockholders to make certain supplemental grants to our named executive officers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2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760" w:type="dxa"/>
            <w:vAlign w:val="bottom"/>
            <w:gridSpan w:val="3"/>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right"/>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6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477"/>
              <w:spacing w:after="0" w:line="175"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11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(2</w:t>
            </w:r>
          </w:p>
        </w:tc>
        <w:tc>
          <w:tcPr>
            <w:tcW w:w="1360" w:type="dxa"/>
            <w:vAlign w:val="bottom"/>
          </w:tcPr>
          <w:p>
            <w:pPr>
              <w:jc w:val="right"/>
              <w:ind w:right="277"/>
              <w:spacing w:after="0" w:line="176"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161"/>
        </w:trPr>
        <w:tc>
          <w:tcPr>
            <w:tcW w:w="390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Omid Farokhzad, M.D.</w:t>
            </w:r>
          </w:p>
        </w:tc>
        <w:tc>
          <w:tcPr>
            <w:tcW w:w="3160" w:type="dxa"/>
            <w:vAlign w:val="bottom"/>
          </w:tcPr>
          <w:p>
            <w:pPr>
              <w:jc w:val="right"/>
              <w:ind w:right="277"/>
              <w:spacing w:after="0" w:line="161" w:lineRule="exact"/>
              <w:rPr>
                <w:sz w:val="20"/>
                <w:szCs w:val="20"/>
                <w:color w:val="auto"/>
              </w:rPr>
            </w:pPr>
            <w:r>
              <w:rPr>
                <w:rFonts w:ascii="Times New Roman" w:cs="Times New Roman" w:eastAsia="Times New Roman" w:hAnsi="Times New Roman"/>
                <w:sz w:val="18"/>
                <w:szCs w:val="18"/>
                <w:color w:val="auto"/>
              </w:rPr>
              <w:t>127,634</w:t>
            </w:r>
          </w:p>
        </w:tc>
        <w:tc>
          <w:tcPr>
            <w:tcW w:w="1420" w:type="dxa"/>
            <w:vAlign w:val="bottom"/>
          </w:tcPr>
          <w:p>
            <w:pPr>
              <w:jc w:val="right"/>
              <w:ind w:right="317"/>
              <w:spacing w:after="0" w:line="161" w:lineRule="exact"/>
              <w:rPr>
                <w:sz w:val="20"/>
                <w:szCs w:val="20"/>
                <w:color w:val="auto"/>
              </w:rPr>
            </w:pPr>
            <w:r>
              <w:rPr>
                <w:rFonts w:ascii="Times New Roman" w:cs="Times New Roman" w:eastAsia="Times New Roman" w:hAnsi="Times New Roman"/>
                <w:sz w:val="18"/>
                <w:szCs w:val="18"/>
                <w:color w:val="auto"/>
              </w:rPr>
              <w:t>225,912</w:t>
            </w:r>
          </w:p>
        </w:tc>
        <w:tc>
          <w:tcPr>
            <w:tcW w:w="1100" w:type="dxa"/>
            <w:vAlign w:val="bottom"/>
          </w:tcPr>
          <w:p>
            <w:pPr>
              <w:jc w:val="right"/>
              <w:spacing w:after="0" w:line="161" w:lineRule="exact"/>
              <w:rPr>
                <w:sz w:val="20"/>
                <w:szCs w:val="20"/>
                <w:color w:val="auto"/>
              </w:rPr>
            </w:pPr>
            <w:r>
              <w:rPr>
                <w:rFonts w:ascii="Times New Roman" w:cs="Times New Roman" w:eastAsia="Times New Roman" w:hAnsi="Times New Roman"/>
                <w:sz w:val="18"/>
                <w:szCs w:val="18"/>
                <w:color w:val="auto"/>
              </w:rPr>
              <w:t>382,901</w:t>
            </w:r>
          </w:p>
        </w:tc>
        <w:tc>
          <w:tcPr>
            <w:tcW w:w="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tcPr>
          <w:p>
            <w:pPr>
              <w:jc w:val="right"/>
              <w:ind w:right="37"/>
              <w:spacing w:after="0" w:line="161" w:lineRule="exact"/>
              <w:rPr>
                <w:sz w:val="20"/>
                <w:szCs w:val="20"/>
                <w:color w:val="auto"/>
              </w:rPr>
            </w:pPr>
            <w:r>
              <w:rPr>
                <w:rFonts w:ascii="Times New Roman" w:cs="Times New Roman" w:eastAsia="Times New Roman" w:hAnsi="Times New Roman"/>
                <w:sz w:val="18"/>
                <w:szCs w:val="18"/>
                <w:color w:val="auto"/>
              </w:rPr>
              <w:t>527,484</w:t>
            </w:r>
          </w:p>
        </w:tc>
        <w:tc>
          <w:tcPr>
            <w:tcW w:w="0" w:type="dxa"/>
            <w:vAlign w:val="bottom"/>
          </w:tcPr>
          <w:p>
            <w:pPr>
              <w:spacing w:after="0"/>
              <w:rPr>
                <w:sz w:val="1"/>
                <w:szCs w:val="1"/>
                <w:color w:val="auto"/>
              </w:rPr>
            </w:pPr>
          </w:p>
        </w:tc>
      </w:tr>
      <w:tr>
        <w:trPr>
          <w:trHeight w:val="8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David Horn</w:t>
            </w:r>
          </w:p>
        </w:tc>
        <w:tc>
          <w:tcPr>
            <w:tcW w:w="3160" w:type="dxa"/>
            <w:vAlign w:val="bottom"/>
            <w:vMerge w:val="restart"/>
          </w:tcPr>
          <w:p>
            <w:pPr>
              <w:jc w:val="right"/>
              <w:ind w:right="277"/>
              <w:spacing w:after="0"/>
              <w:rPr>
                <w:sz w:val="20"/>
                <w:szCs w:val="20"/>
                <w:color w:val="auto"/>
              </w:rPr>
            </w:pPr>
            <w:r>
              <w:rPr>
                <w:rFonts w:ascii="Times New Roman" w:cs="Times New Roman" w:eastAsia="Times New Roman" w:hAnsi="Times New Roman"/>
                <w:sz w:val="18"/>
                <w:szCs w:val="18"/>
                <w:color w:val="auto"/>
              </w:rPr>
              <w:t>95,038</w:t>
            </w:r>
          </w:p>
        </w:tc>
        <w:tc>
          <w:tcPr>
            <w:tcW w:w="1420" w:type="dxa"/>
            <w:vAlign w:val="bottom"/>
            <w:vMerge w:val="restart"/>
          </w:tcPr>
          <w:p>
            <w:pPr>
              <w:jc w:val="right"/>
              <w:ind w:right="317"/>
              <w:spacing w:after="0"/>
              <w:rPr>
                <w:sz w:val="20"/>
                <w:szCs w:val="20"/>
                <w:color w:val="auto"/>
              </w:rPr>
            </w:pPr>
            <w:r>
              <w:rPr>
                <w:rFonts w:ascii="Times New Roman" w:cs="Times New Roman" w:eastAsia="Times New Roman" w:hAnsi="Times New Roman"/>
                <w:sz w:val="18"/>
                <w:szCs w:val="18"/>
                <w:color w:val="auto"/>
              </w:rPr>
              <w:t>168,217</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142,557</w:t>
            </w:r>
          </w:p>
        </w:tc>
        <w:tc>
          <w:tcPr>
            <w:tcW w:w="300" w:type="dxa"/>
            <w:vAlign w:val="bottom"/>
          </w:tcPr>
          <w:p>
            <w:pPr>
              <w:ind w:left="60"/>
              <w:spacing w:after="0" w:line="80" w:lineRule="exact"/>
              <w:rPr>
                <w:sz w:val="20"/>
                <w:szCs w:val="20"/>
                <w:color w:val="auto"/>
              </w:rPr>
            </w:pPr>
            <w:r>
              <w:rPr>
                <w:rFonts w:ascii="Times New Roman" w:cs="Times New Roman" w:eastAsia="Times New Roman" w:hAnsi="Times New Roman"/>
                <w:sz w:val="8"/>
                <w:szCs w:val="8"/>
                <w:color w:val="auto"/>
              </w:rPr>
              <w:t>(3</w:t>
            </w:r>
          </w:p>
        </w:tc>
        <w:tc>
          <w:tcPr>
            <w:tcW w:w="136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196,387</w:t>
            </w:r>
          </w:p>
        </w:tc>
        <w:tc>
          <w:tcPr>
            <w:tcW w:w="0" w:type="dxa"/>
            <w:vAlign w:val="bottom"/>
          </w:tcPr>
          <w:p>
            <w:pPr>
              <w:spacing w:after="0"/>
              <w:rPr>
                <w:sz w:val="1"/>
                <w:szCs w:val="1"/>
                <w:color w:val="auto"/>
              </w:rPr>
            </w:pPr>
          </w:p>
        </w:tc>
      </w:tr>
      <w:tr>
        <w:trPr>
          <w:trHeight w:val="136"/>
        </w:trPr>
        <w:tc>
          <w:tcPr>
            <w:tcW w:w="3900" w:type="dxa"/>
            <w:vAlign w:val="bottom"/>
            <w:vMerge w:val="continue"/>
          </w:tcPr>
          <w:p>
            <w:pPr>
              <w:spacing w:after="0"/>
              <w:rPr>
                <w:sz w:val="11"/>
                <w:szCs w:val="11"/>
                <w:color w:val="auto"/>
              </w:rPr>
            </w:pPr>
          </w:p>
        </w:tc>
        <w:tc>
          <w:tcPr>
            <w:tcW w:w="31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Elona Kogan</w:t>
            </w:r>
          </w:p>
        </w:tc>
        <w:tc>
          <w:tcPr>
            <w:tcW w:w="3160" w:type="dxa"/>
            <w:vAlign w:val="bottom"/>
            <w:vMerge w:val="restart"/>
          </w:tcPr>
          <w:p>
            <w:pPr>
              <w:jc w:val="right"/>
              <w:ind w:right="277"/>
              <w:spacing w:after="0"/>
              <w:rPr>
                <w:sz w:val="20"/>
                <w:szCs w:val="20"/>
                <w:color w:val="auto"/>
              </w:rPr>
            </w:pPr>
            <w:r>
              <w:rPr>
                <w:rFonts w:ascii="Times New Roman" w:cs="Times New Roman" w:eastAsia="Times New Roman" w:hAnsi="Times New Roman"/>
                <w:sz w:val="18"/>
                <w:szCs w:val="18"/>
                <w:color w:val="auto"/>
              </w:rPr>
              <w:t>53,153</w:t>
            </w:r>
          </w:p>
        </w:tc>
        <w:tc>
          <w:tcPr>
            <w:tcW w:w="1420" w:type="dxa"/>
            <w:vAlign w:val="bottom"/>
            <w:vMerge w:val="restart"/>
          </w:tcPr>
          <w:p>
            <w:pPr>
              <w:jc w:val="right"/>
              <w:ind w:right="317"/>
              <w:spacing w:after="0"/>
              <w:rPr>
                <w:sz w:val="20"/>
                <w:szCs w:val="20"/>
                <w:color w:val="auto"/>
              </w:rPr>
            </w:pPr>
            <w:r>
              <w:rPr>
                <w:rFonts w:ascii="Times New Roman" w:cs="Times New Roman" w:eastAsia="Times New Roman" w:hAnsi="Times New Roman"/>
                <w:sz w:val="18"/>
                <w:szCs w:val="18"/>
                <w:color w:val="auto"/>
              </w:rPr>
              <w:t>94,081</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79,729</w:t>
            </w:r>
          </w:p>
        </w:tc>
        <w:tc>
          <w:tcPr>
            <w:tcW w:w="300" w:type="dxa"/>
            <w:vAlign w:val="bottom"/>
          </w:tcPr>
          <w:p>
            <w:pPr>
              <w:ind w:left="60"/>
              <w:spacing w:after="0" w:line="80" w:lineRule="exact"/>
              <w:rPr>
                <w:sz w:val="20"/>
                <w:szCs w:val="20"/>
                <w:color w:val="auto"/>
              </w:rPr>
            </w:pPr>
            <w:r>
              <w:rPr>
                <w:rFonts w:ascii="Times New Roman" w:cs="Times New Roman" w:eastAsia="Times New Roman" w:hAnsi="Times New Roman"/>
                <w:sz w:val="8"/>
                <w:szCs w:val="8"/>
                <w:color w:val="auto"/>
              </w:rPr>
              <w:t>(3</w:t>
            </w:r>
          </w:p>
        </w:tc>
        <w:tc>
          <w:tcPr>
            <w:tcW w:w="136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109,835</w:t>
            </w:r>
          </w:p>
        </w:tc>
        <w:tc>
          <w:tcPr>
            <w:tcW w:w="0" w:type="dxa"/>
            <w:vAlign w:val="bottom"/>
          </w:tcPr>
          <w:p>
            <w:pPr>
              <w:spacing w:after="0"/>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316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8" w:lineRule="exact"/>
        <w:rPr>
          <w:sz w:val="20"/>
          <w:szCs w:val="20"/>
          <w:color w:val="auto"/>
        </w:rPr>
      </w:pPr>
    </w:p>
    <w:p>
      <w:pPr>
        <w:ind w:left="300" w:right="200" w:hanging="292"/>
        <w:spacing w:after="0" w:line="298" w:lineRule="auto"/>
        <w:tabs>
          <w:tab w:leader="none" w:pos="3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in this column represent the aggregate full grant date fair value of the equity awards calculated in accordance with FASB ASC Topic 718. Please see the Summary Compensation Table for more details regarding how this value is calculated.</w:t>
      </w:r>
    </w:p>
    <w:p>
      <w:pPr>
        <w:spacing w:after="0" w:line="56" w:lineRule="exact"/>
        <w:rPr>
          <w:rFonts w:ascii="Times New Roman" w:cs="Times New Roman" w:eastAsia="Times New Roman" w:hAnsi="Times New Roman"/>
          <w:sz w:val="16"/>
          <w:szCs w:val="16"/>
          <w:color w:val="auto"/>
        </w:rPr>
      </w:pPr>
    </w:p>
    <w:p>
      <w:pPr>
        <w:ind w:left="300" w:right="20" w:hanging="292"/>
        <w:spacing w:after="0" w:line="271" w:lineRule="auto"/>
        <w:tabs>
          <w:tab w:leader="none" w:pos="3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more closely align our CEO’s interests with those of our stockholders, the talent and compensation committee added a market performance condition to the retention options granted to our CEO in 2024. The stock option will become eligible to vest only if the average closing price of our stock over a consecutive 20-trading day period increases to 300% (an average closing price of $5.31 over a consecutive 20-trading day period) of the price on the date of grant ($1.77). This option has a seven-year performance period. If the market conditions are not met by February 6, 2031, the option will be forfeited in its entirety. If the market conditions are met by such date, then one-fourth of the shares subject to the option vest on the date that such market condition achievement is certified and the remaining shares vest annually thereafter in three equal installments, subject to continued service to the Company.</w:t>
      </w:r>
    </w:p>
    <w:p>
      <w:pPr>
        <w:spacing w:after="0" w:line="76" w:lineRule="exact"/>
        <w:rPr>
          <w:rFonts w:ascii="Times New Roman" w:cs="Times New Roman" w:eastAsia="Times New Roman" w:hAnsi="Times New Roman"/>
          <w:sz w:val="16"/>
          <w:szCs w:val="16"/>
          <w:color w:val="auto"/>
        </w:rPr>
      </w:pPr>
    </w:p>
    <w:p>
      <w:pPr>
        <w:ind w:left="300" w:right="100" w:hanging="292"/>
        <w:spacing w:after="0" w:line="298" w:lineRule="auto"/>
        <w:tabs>
          <w:tab w:leader="none" w:pos="3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option vests as to one-fourth of the shares on February 6, 2025 and as to one forty-eighth of the shares monthly thereafter, subject to continued service to the Company.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believe that the multi-year vesting requirements applicable to both stock options and RSUs encourage employee retention. The 2024 RSUs grants to our named executive officers are scheduled to vest annually over a four-year period. In order for our 2024 annual option grants and our 2024 retention option grants to our named executive officers to be eligible to vest, the average closing price of our stock over a consecutive 20-trading day period is required to grow to 200% (300% for our CEO) of the fair market value on the date of grant (that is, to an average closing price of $3.54 ($5.31 for our CEO) for 20 consecutive trading days from the exercise price of $1.77 per share). Upon the achievement of that stock price goal, one quarter of the 2024 option grants immediately vest and then the remainder vest in equal annual installments over a subsequent three-year period. Both types of equity awards are subject to the executive’s continuing service on each vesting date and to the vesting acceleration provisions of the company’s key executive change in control and severance plan (the Severance Plan) or, with respect to our CEO, his change in control and severance agreement (the Severance Agreement), as discussed further above. In order to encourage a successful change in control that is in the best interests of our stockholders and avoid causing the named executive officers distraction based on the possibility of their termination in connection with a change in control, the performance-based stock options provide that if we undergo a change in control, the achievement of this stock price target is determined based on the change in control price. If the stock price target is achieved in the change in control, the time-based vesting requirements otherwise applicable to these options are waived, and the options vest in full, as long as the named executive remains in service to us as of immediately prior to the completion of the change in control. For our CEO only, if, during the three months prior to a change in control, his employment with us is involuntarily terminated (within the meaning of his Severance Agreement), then his performance-based stock option will remain outstanding and eligible to achieve the stock price goal based on the change in control price and, if it is achieved, the option will be considered to be a time-based award for purposes of his Severance Agreement and will vest in full. This is consistent with the change in control-related acceleration of vesting provisions that apply to our CEO’s time-based equity awards under his Severance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Modification of Equity Grants</w:t>
      </w:r>
    </w:p>
    <w:p>
      <w:pPr>
        <w:spacing w:after="0" w:line="22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October 4, 2024 (the Effective Date), the Board approved an option repricing. The repricing applied to nonstatutory stock options to purchase shares of the Company’s Class A common stock that (i) were granted to employees, including our named executive officers (other than Ms. Kogan who resigned earlier in the year), under the Company’s 2020 Plan or the 2017 Plan (together with the 2020 Plan, the Plans) and applicable award agreements thereunder; (ii) as of the Effective Date, were held by continuing employees; and (iii) had an exercise price per share greater than $2.00. The repriced options for our named executive officers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Aggregate Number of Shares Subject to</w:t>
            </w:r>
          </w:p>
        </w:tc>
      </w:tr>
      <w:tr>
        <w:trPr>
          <w:trHeight w:val="212"/>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840" w:type="dxa"/>
            <w:vAlign w:val="bottom"/>
          </w:tcPr>
          <w:p>
            <w:pPr>
              <w:jc w:val="center"/>
              <w:ind w:left="1399"/>
              <w:spacing w:after="0"/>
              <w:rPr>
                <w:sz w:val="20"/>
                <w:szCs w:val="20"/>
                <w:color w:val="auto"/>
              </w:rPr>
            </w:pPr>
            <w:r>
              <w:rPr>
                <w:rFonts w:ascii="Times New Roman" w:cs="Times New Roman" w:eastAsia="Times New Roman" w:hAnsi="Times New Roman"/>
                <w:sz w:val="16"/>
                <w:szCs w:val="16"/>
                <w:b w:val="1"/>
                <w:bCs w:val="1"/>
                <w:color w:val="auto"/>
              </w:rPr>
              <w:t>Original Exercise Prices Per Share (Range)</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Repriced Options</w:t>
            </w:r>
          </w:p>
        </w:tc>
      </w:tr>
      <w:tr>
        <w:trPr>
          <w:trHeight w:val="33"/>
        </w:trPr>
        <w:tc>
          <w:tcPr>
            <w:tcW w:w="3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03"/>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Omid Farokhzad, M.D.</w:t>
            </w:r>
          </w:p>
        </w:tc>
        <w:tc>
          <w:tcPr>
            <w:tcW w:w="4840" w:type="dxa"/>
            <w:vAlign w:val="bottom"/>
            <w:shd w:val="clear" w:color="auto" w:fill="CFF0FC"/>
          </w:tcPr>
          <w:p>
            <w:pPr>
              <w:jc w:val="center"/>
              <w:ind w:left="1379"/>
              <w:spacing w:after="0"/>
              <w:rPr>
                <w:sz w:val="20"/>
                <w:szCs w:val="20"/>
                <w:color w:val="auto"/>
              </w:rPr>
            </w:pPr>
            <w:r>
              <w:rPr>
                <w:rFonts w:ascii="Times New Roman" w:cs="Times New Roman" w:eastAsia="Times New Roman" w:hAnsi="Times New Roman"/>
                <w:sz w:val="16"/>
                <w:szCs w:val="16"/>
                <w:color w:val="auto"/>
              </w:rPr>
              <w:t>$2.70 to $60.15</w:t>
            </w:r>
          </w:p>
        </w:tc>
        <w:tc>
          <w:tcPr>
            <w:tcW w:w="3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2,732,470</w:t>
            </w: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David Horn</w:t>
            </w:r>
          </w:p>
        </w:tc>
        <w:tc>
          <w:tcPr>
            <w:tcW w:w="4840" w:type="dxa"/>
            <w:vAlign w:val="bottom"/>
          </w:tcPr>
          <w:p>
            <w:pPr>
              <w:jc w:val="center"/>
              <w:ind w:left="1379"/>
              <w:spacing w:after="0"/>
              <w:rPr>
                <w:sz w:val="20"/>
                <w:szCs w:val="20"/>
                <w:color w:val="auto"/>
              </w:rPr>
            </w:pPr>
            <w:r>
              <w:rPr>
                <w:rFonts w:ascii="Times New Roman" w:cs="Times New Roman" w:eastAsia="Times New Roman" w:hAnsi="Times New Roman"/>
                <w:sz w:val="16"/>
                <w:szCs w:val="16"/>
                <w:color w:val="auto"/>
              </w:rPr>
              <w:t>$2.70 to $60.15</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1,140,454</w:t>
            </w:r>
          </w:p>
        </w:tc>
      </w:tr>
    </w:tbl>
    <w:p>
      <w:pPr>
        <w:spacing w:after="0" w:line="13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new exercise price for repriced options is $2.00 per share, the closing price of the Company’s Class A common stock on the Effective Date. However, if an employee exercises a repriced option before the end of the Retention Period, the period that begins on the Effective Date and ends on the earliest of the following: (i) April 4, 2026; (ii) a Change in Control (as defined in the 2020 Plan); and (iii) the optionholder’s death or Disability (as defined in the 2020 Plan), such employee will be required to pay a premium exercise price that is equal to the original exercise price per share of such repriced option.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certain option awards granted in 2023 with market conditions were amended to have an exercise price of $2.00 and stock price hurdle amount of $3.00 per share. Such amendment applied to such performance-based stock option award granted to Dr. Farokhzad to purchase 650,000 shares and to Mr. Horn to purchase 140,000 shares. There was no change to the expiration dates or service-based vesting criteria, or number of shares, and such options remain subject to the terms of the applicable Plans and award agreements.</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part of the repricing, the Board determined not to make any additional awards in 2025 to executive officers of the Company with the title Senior Vice President and higher.</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Stock options have historically been a critical component of our executive compensation program. Our emphasis on stock options is consistent with our peer companies and intended to link executive pay to stockholder return, motivate our named executive officers’ performance toward our long-term success and encourage our executive officers to continue their employment with us.</w:t>
      </w:r>
    </w:p>
    <w:p>
      <w:pPr>
        <w:spacing w:after="0" w:line="122"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During the past few years, the price of our common stock has significantly decreased. A substantial portion of the stock options held by our employees (including our named executive officers) were “underwater,” with exercise prices well above the then-current market price of our common stock. As a result, the Board believed these stock options had little or no perceived value to our employees and therefore were no longer effective as incentives to motivate and retain these individuals. In response, the Board approved the option repricing.</w:t>
      </w:r>
    </w:p>
    <w:p>
      <w:pPr>
        <w:spacing w:after="0" w:line="12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Board approved the repricing after multiple meetings, careful consideration of various alternatives and a review of other applicable factors and with the advice of our independent compensation consultant, Aon. The Board believed that the repricing was critical to our future success to revitalize the incentive value of our outstanding stock options to retain and motivate our employees. When considering alternatives to a repricing, the Board considered, among other alternatives, cash-based retention vehicles and/or supplemental equity compensation. The Board determined the repricing program was preferable for a variety reasons, including because it avoided significant additional cash expenditures (to devote more of our cash resources towards advancing our product development objectives) and it avoided the increased stock dilution that would result from a significant number of new supplemental equity grants. The Board designed the program with the terms set forth below that it felt were important from a retention and governance perspective:</w:t>
      </w:r>
    </w:p>
    <w:p>
      <w:pPr>
        <w:spacing w:after="0" w:line="138"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held options eligible for the repricing.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to the number of shares underlying the repriced options or to the vesting schedules or expiration dates of the options.</w:t>
      </w:r>
    </w:p>
    <w:p>
      <w:pPr>
        <w:spacing w:after="0" w:line="117"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treated the repricing as a modification of the original stock options and calculated additional compensation costs under ASC Topic 718 for the difference between the fair value of the modified award and the fair value of the original award on the Effective Date. The repricing resulted in incremental stock-based compensation cost under ASC Topic 718, including as reported in the “Summary Compensation Table” for our named executive officers.</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Additional Compensation Policies and Practices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and Other Service Arrangements with our Named Executive Officers</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entered into an employment letter with each of our named executive officers, and these letters contain the basic terms and conditions of their employment intended to attract, retain and motivate them. Each of the employment letters has no specific term, and provides that the named executive officer is an at-will employee. Ms. Kogan’s employment letter terminated in connection with her resignation in July 2024. Each of our named executive officers has executed our standard form of confidential information, invention assignment and arbitration agreement.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Dr. Farokhzad, his employment letter provides for reimbursement of reasonable travel and lodging expenses incurred by him for his travel between his primary residence and our office in Redwood City, California, as well as for additional payments sufficient to make such reimbursements tax neutral to Dr. Farokhzad.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Benefits, including Change in Control</w:t>
      </w:r>
    </w:p>
    <w:p>
      <w:pPr>
        <w:spacing w:after="0" w:line="17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we adopted the Severance Plan, in which each of our named executive officers other than Dr. Farokhzad participate (provided that Ms. Kogan’s participation terminated upon her resignation in July 2024). In addition, Dr. Farokhzad is subject to the Severance Agreement, which provides for certain severance and change in control benefits.</w:t>
      </w:r>
    </w:p>
    <w:p>
      <w:pPr>
        <w:spacing w:after="0" w:line="122"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We offer the severance and other termination benefits to the named executive officers under these arrangements if their employment is terminated without cause or they resign for good reason in certain circumstances, and generally subject to their execution of a release of claims. Our goal in providing certain severance and change in control benefits is to provide our named executive officers with the security of temporary continued income and benefits, thus allowing each of the named executive officers to focus on business priorities that create value for our stockholders without undue concern that the officer will be terminated and lose his or her income and benefits. We believe the level of severance and change in control benefits provided is appropriate and is necessary to attract and retain key employees.</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these arrangements provide that if a named executive officer remains with us (or our successor) through the two-year anniversary of a change in control, the vesting of those equity awards granted before our initial public offering will accelerate. We believe this is appropriate so that the named executive officer will not be concerned that he or she will lose the value of those grants by remaining after an acquisition beyond the time of the severance protection otherwise afforded by the severance arrangements, and therefore will be appropriately motivated to pursue transactions that are in the best interests of our stockholders.</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These arrangements are described more fully under the section of this proxy statement entitled “Change in Control and Severance Agreement” (with respect to Dr. Farokhzad’s agreement) and “Key Executive Change in Control and Severance Plan” (with respect to the arrangements for our other named executive officers).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Broad-based Employee Benefits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our employees is an important factor in attracting and retaining highly qualified personnel. Each named executive officer is eligible to participate in all of our employee benefit plans generally applicable to employees on a broad basis, subject to the eligibility provisions of such programs. Our named executive officers are eligible to participate in our employee benefits plans, such as medical, dental, disability, vision, and other insurance programs, our 401(k) plan and our employee stock purchase plan, in each case on the same basis as other employees. The exception is that Dr. Farokhzad may not participate in our employee stock purchase plan because the regulations that govern these plans exclude individuals who hold Company stock in excess of certain thresholds.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Personal benefits currently are not a significant component of our executive compensation program. Accordingly, we do not provide 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 Please see “Employment and Other Service Arrangements with our Named Executive Officers” above for a discussion of certain travel and lodging reimbursements we have provided to Dr. Farokhzad.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and Pledging Policies; Stock Ownership Guidelines</w:t>
      </w:r>
    </w:p>
    <w:p>
      <w:pPr>
        <w:spacing w:after="0" w:line="17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our executives from engaging in “hedging” or “pledging” transactions with respect to our common stock. The Company currently has no stock ownership guidelines in place for our named executive officers, but may consider implementing such guidelines in the future if the talent and compensation committee deems it to be in the best interests of the Company and its stockholders.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Recovery (“Clawback”) Policy</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14, 2023, the talent and compensation committee adopted the clawback policy (the Clawback Policy). The Clawback Policy is intended to comply with Section 10D of the Exchange Act, with Exchange Act Rule 10D-1 and with the listing standards of Nasdaq, and to further the Company’s pay-for-performance philosophy by providing rules relating to the reasonably prompt recovery of certain compensation received by Covered Executives (as defined in the policy), which includes our named executive officers, in the event of an Accounting Restatement (as defined in the policy). The application of the Clawback Policy to Covered Executives is not discretionary, except to the limited extent permitted by Exchange Act rules and Nasdaq listing standards, and applies without regard to whether a Covered Executive was at fault.</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as a public company subject to Section 304 of the Sarbanes-Oxley Act of 2002, if we are required to restate our financial results as the result of misconduct or due to our material noncompliance with any financial reporting requirements under the federal securities laws, our chief executive officer and chief financial officer may be legally required to reimburse us for any bonus or incentive-based or equity-based compensation they receive. Our 2020 Equity Incentive Plan provides that awards granted under it are subject to recoupment under any clawback policy that we are required to adopt pursuant to the listing standards of any national securities exchange or association on which our securities are listed or as is otherwise required by applicable law, and under the 2020 Equity Incentive Plan we may also impose such other clawback provisions to an equity award as we deem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have adopted insider trading policies and procedures that govern the purchase, sale and other disposition of our securities by directors, officers and employees that we believe are reasonably designed to promote compliance with insider trading laws, rules and regulations and any applicable listing standards. A copy of our insider trading policy was filed as an exhibit to our Annual Report on Form 10-K for the year ended December 31, 2024, filed with the Securities and Exchange Commission on March 3, 2025. We comply with insider trading laws, rules and regulations and any applicable listing standards in any transactions involving our own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w:t>
      </w:r>
    </w:p>
    <w:p>
      <w:pPr>
        <w:spacing w:after="0" w:line="17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do not take material nonpublic information into account when determining the timing or terms of executive awards, and we have not timed the disclosure of material nonpublic information for the purpose of affecting the value of executive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and Tax Consideration and Treatment</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talent and compensation committee generally takes into consideration the tax implications to the Company of our named executive officer compensation program, including with respect to the tax deductibility of compensation paid under Section 162(m) of the Internal Revenue Code. Under Section 162(m) of the Internal Revenue Code as it was in effect during our 2024 fiscal year, the Company generally is eligible to receive a federal income tax deduction for compensation paid to our CEO and certain other current and former executives only for the amount that is less than $1 million during any fiscal year. While our talent and compensation committee may consider the deductibility of equity awards and cash and other compensation as one factor in determining executive compensation, the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spacing w:after="0" w:line="13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 addition to considering the tax consequences, our talent and compensation committee generally considers the accounting consequences of its decisions, including the impact of expenses being recognized in connection with equity-based awards, in determining the size and form of different equity-based awards.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March 31, 2025 for:</w:t>
      </w:r>
    </w:p>
    <w:p>
      <w:pPr>
        <w:spacing w:after="0" w:line="11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us to be the beneficial owner of more than 5% of our common stock.</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55,385,066 shares of our Class A common stock and 4,044,969 shares of our Class B common stock outstanding as of March 31, 2025. We have deemed shares of our Class A common stock subject to stock options that are currently exercisable or exercisable within 60 days of March 31, 2025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share of our Class B common stock is convertible at any time at the option of the holder into one share of our Class A common stock. Holders of our Class A common stock are entitled to one vote for each share held on all matters submitted to a vote of stockholders and holders of our Class B common stock are entitled to ten votes for each share held.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9, 2025.</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Seer, Inc. 3800 Bridge Parkway, Suite 102, Redwood City, California 94065.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240" w:type="dxa"/>
            <w:vAlign w:val="bottom"/>
            <w:tcBorders>
              <w:bottom w:val="single" w:sz="8" w:color="auto"/>
            </w:tcBorders>
            <w:gridSpan w:val="5"/>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w:t>
            </w:r>
          </w:p>
        </w:tc>
        <w:tc>
          <w:tcPr>
            <w:tcW w:w="900" w:type="dxa"/>
            <w:vAlign w:val="bottom"/>
            <w:tcBorders>
              <w:bottom w:val="single" w:sz="8" w:color="auto"/>
            </w:tcBorders>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220" w:type="dxa"/>
            <w:vAlign w:val="bottom"/>
            <w:tcBorders>
              <w:bottom w:val="single" w:sz="8" w:color="auto"/>
            </w:tcBorders>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tcBorders>
              <w:bottom w:val="single" w:sz="8" w:color="auto"/>
            </w:tcBorders>
            <w:gridSpan w:val="2"/>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Class B Common Stock</w:t>
            </w:r>
          </w:p>
        </w:tc>
        <w:tc>
          <w:tcPr>
            <w:tcW w:w="1440" w:type="dxa"/>
            <w:vAlign w:val="bottom"/>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Voting % of</w:t>
            </w: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8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44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5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Omid Farokhzad, M.D.</w:t>
            </w:r>
            <w:r>
              <w:rPr>
                <w:rFonts w:ascii="Times New Roman" w:cs="Times New Roman" w:eastAsia="Times New Roman" w:hAnsi="Times New Roman"/>
                <w:sz w:val="24"/>
                <w:szCs w:val="24"/>
                <w:color w:val="auto"/>
                <w:vertAlign w:val="superscript"/>
              </w:rPr>
              <w:t>(1)</w:t>
            </w:r>
          </w:p>
        </w:tc>
        <w:tc>
          <w:tcPr>
            <w:tcW w:w="15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978,417</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6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3,555,195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David Horn</w:t>
            </w:r>
            <w:r>
              <w:rPr>
                <w:rFonts w:ascii="Times New Roman" w:cs="Times New Roman" w:eastAsia="Times New Roman" w:hAnsi="Times New Roman"/>
                <w:sz w:val="24"/>
                <w:szCs w:val="24"/>
                <w:color w:val="auto"/>
                <w:vertAlign w:val="superscript"/>
              </w:rPr>
              <w:t>(2)</w:t>
            </w:r>
          </w:p>
        </w:tc>
        <w:tc>
          <w:tcPr>
            <w:tcW w:w="158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320,661</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Nicolas Roelofs, Ph.D.</w:t>
            </w:r>
            <w:r>
              <w:rPr>
                <w:rFonts w:ascii="Times New Roman" w:cs="Times New Roman" w:eastAsia="Times New Roman" w:hAnsi="Times New Roman"/>
                <w:sz w:val="24"/>
                <w:szCs w:val="24"/>
                <w:color w:val="auto"/>
                <w:vertAlign w:val="superscript"/>
              </w:rPr>
              <w:t>(3)</w:t>
            </w:r>
          </w:p>
        </w:tc>
        <w:tc>
          <w:tcPr>
            <w:tcW w:w="15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11,027</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David Hallal</w:t>
            </w:r>
            <w:r>
              <w:rPr>
                <w:rFonts w:ascii="Times New Roman" w:cs="Times New Roman" w:eastAsia="Times New Roman" w:hAnsi="Times New Roman"/>
                <w:sz w:val="24"/>
                <w:szCs w:val="24"/>
                <w:color w:val="auto"/>
                <w:vertAlign w:val="superscript"/>
              </w:rPr>
              <w:t>(4)</w:t>
            </w:r>
          </w:p>
        </w:tc>
        <w:tc>
          <w:tcPr>
            <w:tcW w:w="158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587,077</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Robert Langer, Sc.D.</w:t>
            </w:r>
            <w:r>
              <w:rPr>
                <w:rFonts w:ascii="Times New Roman" w:cs="Times New Roman" w:eastAsia="Times New Roman" w:hAnsi="Times New Roman"/>
                <w:sz w:val="24"/>
                <w:szCs w:val="24"/>
                <w:color w:val="auto"/>
                <w:vertAlign w:val="superscript"/>
              </w:rPr>
              <w:t>(5)</w:t>
            </w:r>
          </w:p>
        </w:tc>
        <w:tc>
          <w:tcPr>
            <w:tcW w:w="15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458,950</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Terrance McGuire</w:t>
            </w:r>
            <w:r>
              <w:rPr>
                <w:rFonts w:ascii="Times New Roman" w:cs="Times New Roman" w:eastAsia="Times New Roman" w:hAnsi="Times New Roman"/>
                <w:sz w:val="24"/>
                <w:szCs w:val="24"/>
                <w:color w:val="auto"/>
                <w:vertAlign w:val="superscript"/>
              </w:rPr>
              <w:t>(6)</w:t>
            </w:r>
          </w:p>
        </w:tc>
        <w:tc>
          <w:tcPr>
            <w:tcW w:w="158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581,684</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gridSpan w:val="2"/>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4,088</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Dipchand (Deep) Nishar</w:t>
            </w:r>
            <w:r>
              <w:rPr>
                <w:rFonts w:ascii="Times New Roman" w:cs="Times New Roman" w:eastAsia="Times New Roman" w:hAnsi="Times New Roman"/>
                <w:sz w:val="24"/>
                <w:szCs w:val="24"/>
                <w:color w:val="auto"/>
                <w:vertAlign w:val="superscript"/>
              </w:rPr>
              <w:t>(7)</w:t>
            </w:r>
          </w:p>
        </w:tc>
        <w:tc>
          <w:tcPr>
            <w:tcW w:w="15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94,375</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Meeta Gulyani</w:t>
            </w:r>
            <w:r>
              <w:rPr>
                <w:rFonts w:ascii="Times New Roman" w:cs="Times New Roman" w:eastAsia="Times New Roman" w:hAnsi="Times New Roman"/>
                <w:sz w:val="24"/>
                <w:szCs w:val="24"/>
                <w:color w:val="auto"/>
                <w:vertAlign w:val="superscript"/>
              </w:rPr>
              <w:t>(8)</w:t>
            </w:r>
          </w:p>
        </w:tc>
        <w:tc>
          <w:tcPr>
            <w:tcW w:w="158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109,759</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All executive officers and directors as a group (8 persons)</w:t>
            </w:r>
            <w:r>
              <w:rPr>
                <w:rFonts w:ascii="Times New Roman" w:cs="Times New Roman" w:eastAsia="Times New Roman" w:hAnsi="Times New Roman"/>
                <w:sz w:val="24"/>
                <w:szCs w:val="24"/>
                <w:color w:val="auto"/>
                <w:vertAlign w:val="superscript"/>
              </w:rPr>
              <w:t>(9)</w:t>
            </w:r>
          </w:p>
        </w:tc>
        <w:tc>
          <w:tcPr>
            <w:tcW w:w="15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3,141,950</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6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3,559,283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5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SoftBank SB Global Advisers Limited</w:t>
            </w:r>
            <w:r>
              <w:rPr>
                <w:rFonts w:ascii="Times New Roman" w:cs="Times New Roman" w:eastAsia="Times New Roman" w:hAnsi="Times New Roman"/>
                <w:sz w:val="24"/>
                <w:szCs w:val="24"/>
                <w:color w:val="auto"/>
                <w:vertAlign w:val="superscript"/>
              </w:rPr>
              <w:t>(10)</w:t>
            </w:r>
          </w:p>
        </w:tc>
        <w:tc>
          <w:tcPr>
            <w:tcW w:w="15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5,135,383</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14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aMoon Fund Growth Fund Limited Partnership</w:t>
            </w:r>
            <w:r>
              <w:rPr>
                <w:rFonts w:ascii="Times New Roman" w:cs="Times New Roman" w:eastAsia="Times New Roman" w:hAnsi="Times New Roman"/>
                <w:sz w:val="24"/>
                <w:szCs w:val="24"/>
                <w:color w:val="auto"/>
                <w:vertAlign w:val="superscript"/>
              </w:rPr>
              <w:t>(11)</w:t>
            </w:r>
          </w:p>
        </w:tc>
        <w:tc>
          <w:tcPr>
            <w:tcW w:w="158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4,923,196</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Invus Public Equities, LP </w:t>
            </w:r>
            <w:r>
              <w:rPr>
                <w:rFonts w:ascii="Times New Roman" w:cs="Times New Roman" w:eastAsia="Times New Roman" w:hAnsi="Times New Roman"/>
                <w:sz w:val="24"/>
                <w:szCs w:val="24"/>
                <w:color w:val="auto"/>
                <w:vertAlign w:val="superscript"/>
              </w:rPr>
              <w:t>(12)</w:t>
            </w:r>
          </w:p>
        </w:tc>
        <w:tc>
          <w:tcPr>
            <w:tcW w:w="15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4,195,185</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14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Radoff Bradley Louis</w:t>
            </w:r>
            <w:r>
              <w:rPr>
                <w:rFonts w:ascii="Times New Roman" w:cs="Times New Roman" w:eastAsia="Times New Roman" w:hAnsi="Times New Roman"/>
                <w:sz w:val="24"/>
                <w:szCs w:val="24"/>
                <w:color w:val="auto"/>
                <w:vertAlign w:val="superscript"/>
              </w:rPr>
              <w:t>(13)</w:t>
            </w:r>
          </w:p>
        </w:tc>
        <w:tc>
          <w:tcPr>
            <w:tcW w:w="158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2,920,000</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beneficial ownership of less than 1%.</w:t>
      </w:r>
    </w:p>
    <w:p>
      <w:pPr>
        <w:spacing w:after="0" w:line="127" w:lineRule="exact"/>
        <w:rPr>
          <w:sz w:val="20"/>
          <w:szCs w:val="20"/>
          <w:color w:val="auto"/>
        </w:rPr>
      </w:pPr>
    </w:p>
    <w:p>
      <w:pPr>
        <w:ind w:right="140" w:firstLine="8"/>
        <w:spacing w:after="0" w:line="275" w:lineRule="auto"/>
        <w:tabs>
          <w:tab w:leader="none" w:pos="12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total voting power represents voting power with respect to all shares of our Class A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75" w:lineRule="exact"/>
        <w:rPr>
          <w:sz w:val="20"/>
          <w:szCs w:val="20"/>
          <w:color w:val="auto"/>
        </w:rPr>
      </w:pPr>
    </w:p>
    <w:p>
      <w:pPr>
        <w:ind w:left="380" w:right="20" w:hanging="372"/>
        <w:spacing w:after="0" w:line="281"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702,748 shares of Class A common stock and 1,438,057 shares of Class B common stock held of record by Dr. Farokhzad; (ii) 2,117,138 shares of Class B shares held of record by SAF-BND Trust for which Dr. Farokhzad’s spouse serves as trustee; and (iv) 275,669 shares of Class A common stock subject to options exercisable within 60 days of March 31, 2025, of which all are fully vested. Dr. Farokhzad disclaims beneficial ownership of the shares held by the SAF-BND Trust.</w:t>
      </w:r>
    </w:p>
    <w:p>
      <w:pPr>
        <w:spacing w:after="0" w:line="69" w:lineRule="exact"/>
        <w:rPr>
          <w:rFonts w:ascii="Times New Roman" w:cs="Times New Roman" w:eastAsia="Times New Roman" w:hAnsi="Times New Roman"/>
          <w:sz w:val="16"/>
          <w:szCs w:val="16"/>
          <w:color w:val="auto"/>
        </w:rPr>
      </w:pPr>
    </w:p>
    <w:p>
      <w:pPr>
        <w:ind w:left="380" w:right="400" w:hanging="372"/>
        <w:spacing w:after="0" w:line="298"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276,111 shares of Class A common stock and (ii) 44,550 shares of Class A common stock subject to options exercisable within 60 days of March 31, 2025, of which all are fully vested.</w:t>
      </w:r>
    </w:p>
    <w:p>
      <w:pPr>
        <w:spacing w:after="0" w:line="5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11,027 shares of Class A common stock held of record by Dr. Roelofs.</w:t>
      </w:r>
    </w:p>
    <w:p>
      <w:pPr>
        <w:spacing w:after="0" w:line="126" w:lineRule="exact"/>
        <w:rPr>
          <w:rFonts w:ascii="Times New Roman" w:cs="Times New Roman" w:eastAsia="Times New Roman" w:hAnsi="Times New Roman"/>
          <w:sz w:val="16"/>
          <w:szCs w:val="16"/>
          <w:color w:val="auto"/>
        </w:rPr>
      </w:pPr>
    </w:p>
    <w:p>
      <w:pPr>
        <w:ind w:left="380" w:right="280" w:hanging="372"/>
        <w:spacing w:after="0" w:line="298"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296,950 shares of Class A common stock held of record by Mr. Hallal, and (ii) 290,127 shares of Class A common stock subject to options exercisable within 60 days of March 31, 2025, of which all are fully vested.</w:t>
      </w:r>
    </w:p>
    <w:p>
      <w:pPr>
        <w:spacing w:after="0" w:line="56" w:lineRule="exact"/>
        <w:rPr>
          <w:rFonts w:ascii="Times New Roman" w:cs="Times New Roman" w:eastAsia="Times New Roman" w:hAnsi="Times New Roman"/>
          <w:sz w:val="16"/>
          <w:szCs w:val="16"/>
          <w:color w:val="auto"/>
        </w:rPr>
      </w:pPr>
    </w:p>
    <w:p>
      <w:pPr>
        <w:ind w:left="380" w:right="340" w:hanging="372"/>
        <w:spacing w:after="0" w:line="298"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33,388 shares of Class A common stock held of record by Dr. Langer, and (ii) 425,562 shares of Class A common stock subject to options exercisable within 60 days of March 31, 2025, of which all are fully vested.</w:t>
      </w:r>
    </w:p>
    <w:p>
      <w:pPr>
        <w:spacing w:after="0" w:line="56" w:lineRule="exact"/>
        <w:rPr>
          <w:rFonts w:ascii="Times New Roman" w:cs="Times New Roman" w:eastAsia="Times New Roman" w:hAnsi="Times New Roman"/>
          <w:sz w:val="16"/>
          <w:szCs w:val="16"/>
          <w:color w:val="auto"/>
        </w:rPr>
      </w:pPr>
    </w:p>
    <w:p>
      <w:pPr>
        <w:ind w:left="380" w:right="60" w:hanging="372"/>
        <w:spacing w:after="0" w:line="275"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244,370 shares of Class A common stock and 4,088 shares of Class B common stock held of record by Strong Bridge, LLC for which Mr. McGuire serves as an operating manager; (ii) 258,367 shares of Class A common stock subject to options exercisable within 60 days of March 31, 2025, of which all are fully vested; and (iii) 78,947 shares of Class A common stock held of record by Polaris Founders Capital Fund I, L.P., for which Mr. McGuire serves as general partner of the managing member.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94,375 shares of Class A common stock subject to options exercisable within 60 days of March 31, 2025, of which all are fully vested.</w:t>
      </w:r>
    </w:p>
    <w:p>
      <w:pPr>
        <w:spacing w:after="0" w:line="126" w:lineRule="exact"/>
        <w:rPr>
          <w:rFonts w:ascii="Times New Roman" w:cs="Times New Roman" w:eastAsia="Times New Roman" w:hAnsi="Times New Roman"/>
          <w:sz w:val="16"/>
          <w:szCs w:val="16"/>
          <w:color w:val="auto"/>
        </w:rPr>
      </w:pPr>
    </w:p>
    <w:p>
      <w:pPr>
        <w:ind w:left="380" w:right="320" w:hanging="372"/>
        <w:spacing w:after="0" w:line="298" w:lineRule="auto"/>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28,865 shares of Class A common stock held of record by Ms. Gulyani, and (ii) 80,894 shares of Class A common stock subject to options exercisable within 60 days of March 31, 2025, of which all are fully vested.</w:t>
      </w:r>
    </w:p>
    <w:p>
      <w:pPr>
        <w:spacing w:after="0" w:line="56" w:lineRule="exact"/>
        <w:rPr>
          <w:rFonts w:ascii="Times New Roman" w:cs="Times New Roman" w:eastAsia="Times New Roman" w:hAnsi="Times New Roman"/>
          <w:sz w:val="16"/>
          <w:szCs w:val="16"/>
          <w:color w:val="auto"/>
        </w:rPr>
      </w:pPr>
    </w:p>
    <w:p>
      <w:pPr>
        <w:ind w:left="380" w:right="440" w:hanging="372"/>
        <w:spacing w:after="0" w:line="281" w:lineRule="auto"/>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1,672,406 shares of Class A common stock and 3,559,283 shares of Class B common stock beneficially owned by our current executive officers and directors and (ii) 1,469,544 shares of Class A common stock subject to options exercisable within 60 days of March 31, 2025 and held by our current executive officers and directors, of which all are fully vested.</w:t>
      </w:r>
    </w:p>
    <w:p>
      <w:pPr>
        <w:spacing w:after="0" w:line="69" w:lineRule="exact"/>
        <w:rPr>
          <w:rFonts w:ascii="Times New Roman" w:cs="Times New Roman" w:eastAsia="Times New Roman" w:hAnsi="Times New Roman"/>
          <w:sz w:val="16"/>
          <w:szCs w:val="16"/>
          <w:color w:val="auto"/>
        </w:rPr>
      </w:pPr>
    </w:p>
    <w:p>
      <w:pPr>
        <w:ind w:left="380" w:hanging="372"/>
        <w:spacing w:after="0" w:line="267" w:lineRule="auto"/>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reported by SB Global Advisers Limited (SB Advisors) on a Schedule 13G/A filed with the SEC on February 13, 2024. SB Advisors has shared voting and dispositive power with respect to 5,135,383 shares of Class A common stock. SVF II Armadillo (DE) LLC is the record holder of the shares of Class A common stock reported herein. SoftBank Vision Fund II-2 L.P. is the sole limited partner of SVF II Aggregator (Jersey) L.P., which is the sole member of SVF II Holdings (DE) LLC, which is the sole member of SVF II Armadillo (DE) LLC. SoftBank, which is a publicly traded company listed on the Tokyo Stock Exchange, is the sole shareholder of SB Global Advisers Limited (SBGA), which has been appointed as manager and is responsible for making final decisions related to the acquisition, structuring, financing and disposal of SoftBank Vision Fund II-2 L.P.’s investments. As a result of these relationships, each of these entities may be deemed to share beneficial ownership of the securities reported herein. On December 8, 2023, SVF II Oyster (DE) LLC transferred its securities to SVF II Armadillo (DE) LLC, and as a result, ceased to be the beneficial owner of any shares of Class A Common Stock. The address for SoftBank is 1-7-1 Kaigan, Minato-ku, Tokyo, 105-7537, Japan. The address for SBGA is 69 Grosvenor Street, London W1K 3JP, United Kingdom. The address for each of SoftBank Vision Fund II-2 L.P. and SVF II Aggregator (Jersey) L.P. is Crestbridge Limited. The address for each of the other Reporting Persons is 251 Little Falls Drive, Wilmington, DE 19808.</w:t>
      </w:r>
    </w:p>
    <w:p>
      <w:pPr>
        <w:spacing w:after="0" w:line="86" w:lineRule="exact"/>
        <w:rPr>
          <w:rFonts w:ascii="Times New Roman" w:cs="Times New Roman" w:eastAsia="Times New Roman" w:hAnsi="Times New Roman"/>
          <w:sz w:val="16"/>
          <w:szCs w:val="16"/>
          <w:color w:val="auto"/>
        </w:rPr>
      </w:pPr>
    </w:p>
    <w:p>
      <w:pPr>
        <w:ind w:left="380" w:right="60" w:hanging="372"/>
        <w:spacing w:after="0" w:line="269" w:lineRule="auto"/>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reported by aMoon Growth Fund Limited Partnership (aMoon) on a Schedule 13G/A filed with the SEC on January 8, 2025, aMoon holds shared voting and dispositive power with respect to 4,923,196 shares of Class A common stock. aMoon Co-Investment SPV I, L.P. (aMoon Co-Investment) holds shared voting and dispositive power with respect to 810,961 shares of Class A common stock. aMoon Growth Fund G.P. Limited Partnership (aMoon G.P.) is the sole General Partner of aMoon and aMoon Co-Investment and aMoon General Partner Ltd. (aMoon Ltd.) is the sole General Partner of aMoon G.P. Dr. Yair C. Schindel is the sole shareholder of aMoon Ltd. By virtue of such relationships, aMoon G.P., aMoon Ltd. and Dr. Schindel may be deemed to have shared voting and investment power with respect to the capital stock held by aMoon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p>
      <w:pPr>
        <w:spacing w:after="0" w:line="78" w:lineRule="exact"/>
        <w:rPr>
          <w:rFonts w:ascii="Times New Roman" w:cs="Times New Roman" w:eastAsia="Times New Roman" w:hAnsi="Times New Roman"/>
          <w:sz w:val="16"/>
          <w:szCs w:val="16"/>
          <w:color w:val="auto"/>
        </w:rPr>
      </w:pPr>
    </w:p>
    <w:p>
      <w:pPr>
        <w:ind w:left="380" w:hanging="372"/>
        <w:spacing w:after="0" w:line="267" w:lineRule="auto"/>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reported by Invus Public Equities, L.P. (Invus Public Equities) on a Schedule 13G/A filed with the SEC on August 2, 2024, Invus Public Equities holds sole voting and dispositive power with respect to 4,195,185 shares of Class A common stock, Invus Public Equities Advisors, LLC, the general partner of Invus Public Equities, may be deemed to beneficially own the shares held by Invus Public Equities. Invus Global Management, LLC (Global Management), the managing member of Invus PE Advisors, may be deemed to beneficially own the shares of Class A common stock that Invus PE Advisors may be deemed to beneficially own. Siren, L.L.C. (Siren), as the managing member of Global Management, may be deemed to beneficially own the shares of Class A common stock that Global Management may be deemed to beneficially own. Mr. Raymond Debbane, as the managing member of Siren, controls Siren and, accordingly, may be deemed to beneficially own the shares of Class A common stock that Siren may be deemed to beneficially own. On July 25, 2024, in connection with an internal reorganization, Global Management replaced the Geneva branch of Artal International as the managing member of Invus Public Equities Advisors. Siren is the managing member Global Management and Mr. Raymond Debbane is the managing member of Siren. Accordingly, Artal International, Artal International Management, Artal Group, Westend, the Stichting and Mr. Amaury Wittouck are no longer deemed to beneficially own the shares of Class A common stock that Invus Public Equities may be deemed to beneficially own. The address for Invus Public Equities, Invus Public Advisors, Global Management, Siren and Raymond Debbane is 750 Lexington Avenue, 30th Floor, New York, New York 10022.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380" w:hanging="372"/>
        <w:spacing w:after="0" w:line="275" w:lineRule="auto"/>
        <w:tabs>
          <w:tab w:leader="none" w:pos="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reported by Radoff Bradley Louis on a Schedule 13G filed with the SEC on February 12, 2025, Mr. Radoff has sole voting and dispositive power with respect to 2,920,000 shares of Class A common stock. Mr. Radoff directly owns 2,370,000 shares of Class A common stock. Mr. Radoff, as a director of Radoff Family Foundation, may also be deemed the beneficial owner of 550,000 shares of Class A common stock owned by the Radoff Family Foundation. The address for Mr. Radoff and the Radoff Family Foundation is 2727 Kirby Drive, Unit 29L, Houston, Texas 77098.</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shares of our common stock that may be issued under our existing equity compensation plans.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500" w:type="dxa"/>
            <w:vAlign w:val="bottom"/>
            <w:vMerge w:val="restart"/>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0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500" w:type="dxa"/>
            <w:vAlign w:val="bottom"/>
          </w:tcPr>
          <w:p>
            <w:pPr>
              <w:jc w:val="center"/>
              <w:ind w:left="279"/>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500" w:type="dxa"/>
            <w:vAlign w:val="bottom"/>
          </w:tcPr>
          <w:p>
            <w:pPr>
              <w:jc w:val="center"/>
              <w:ind w:left="279"/>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40" w:type="dxa"/>
            <w:vAlign w:val="bottom"/>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00" w:type="dxa"/>
            <w:vAlign w:val="bottom"/>
          </w:tcPr>
          <w:p>
            <w:pPr>
              <w:jc w:val="center"/>
              <w:ind w:left="299"/>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Units and</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the first</w:t>
            </w:r>
          </w:p>
        </w:tc>
        <w:tc>
          <w:tcPr>
            <w:tcW w:w="0" w:type="dxa"/>
            <w:vAlign w:val="bottom"/>
          </w:tcPr>
          <w:p>
            <w:pPr>
              <w:spacing w:after="0"/>
              <w:rPr>
                <w:sz w:val="1"/>
                <w:szCs w:val="1"/>
                <w:color w:val="auto"/>
              </w:rPr>
            </w:pPr>
          </w:p>
        </w:tc>
      </w:tr>
      <w:tr>
        <w:trPr>
          <w:trHeight w:val="173"/>
        </w:trPr>
        <w:tc>
          <w:tcPr>
            <w:tcW w:w="4680" w:type="dxa"/>
            <w:vAlign w:val="bottom"/>
            <w:gridSpan w:val="2"/>
            <w:vMerge w:val="continue"/>
          </w:tcPr>
          <w:p>
            <w:pPr>
              <w:spacing w:after="0"/>
              <w:rPr>
                <w:sz w:val="15"/>
                <w:szCs w:val="15"/>
                <w:color w:val="auto"/>
              </w:rPr>
            </w:pPr>
          </w:p>
        </w:tc>
        <w:tc>
          <w:tcPr>
            <w:tcW w:w="250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Rights (#)</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 Rights ($)</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5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2017</w:t>
            </w:r>
          </w:p>
        </w:tc>
        <w:tc>
          <w:tcPr>
            <w:tcW w:w="4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Stock Incentive Plan </w:t>
            </w:r>
            <w:r>
              <w:rPr>
                <w:rFonts w:ascii="Times New Roman" w:cs="Times New Roman" w:eastAsia="Times New Roman" w:hAnsi="Times New Roman"/>
                <w:sz w:val="24"/>
                <w:szCs w:val="24"/>
                <w:i w:val="1"/>
                <w:iCs w:val="1"/>
                <w:color w:val="auto"/>
                <w:vertAlign w:val="superscript"/>
              </w:rPr>
              <w:t>(1)</w:t>
            </w:r>
          </w:p>
        </w:tc>
        <w:tc>
          <w:tcPr>
            <w:tcW w:w="25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3,962,249</w:t>
            </w:r>
          </w:p>
        </w:tc>
        <w:tc>
          <w:tcPr>
            <w:tcW w:w="20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3.33</w:t>
            </w:r>
          </w:p>
        </w:tc>
        <w:tc>
          <w:tcPr>
            <w:tcW w:w="2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2020</w:t>
            </w:r>
          </w:p>
        </w:tc>
        <w:tc>
          <w:tcPr>
            <w:tcW w:w="42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24"/>
                <w:szCs w:val="24"/>
                <w:i w:val="1"/>
                <w:iCs w:val="1"/>
                <w:color w:val="auto"/>
                <w:vertAlign w:val="superscript"/>
              </w:rPr>
              <w:t>(2)</w:t>
            </w:r>
          </w:p>
        </w:tc>
        <w:tc>
          <w:tcPr>
            <w:tcW w:w="2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13,683,641</w:t>
            </w:r>
          </w:p>
        </w:tc>
        <w:tc>
          <w:tcPr>
            <w:tcW w:w="20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2.86</w:t>
            </w:r>
          </w:p>
        </w:tc>
        <w:tc>
          <w:tcPr>
            <w:tcW w:w="20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13,683,641</w:t>
            </w:r>
          </w:p>
        </w:tc>
        <w:tc>
          <w:tcPr>
            <w:tcW w:w="0" w:type="dxa"/>
            <w:vAlign w:val="bottom"/>
          </w:tcPr>
          <w:p>
            <w:pPr>
              <w:spacing w:after="0"/>
              <w:rPr>
                <w:sz w:val="1"/>
                <w:szCs w:val="1"/>
                <w:color w:val="auto"/>
              </w:rPr>
            </w:pPr>
          </w:p>
        </w:tc>
      </w:tr>
      <w:tr>
        <w:trPr>
          <w:trHeight w:val="216"/>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2020</w:t>
            </w:r>
          </w:p>
        </w:tc>
        <w:tc>
          <w:tcPr>
            <w:tcW w:w="42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24"/>
                <w:szCs w:val="24"/>
                <w:i w:val="1"/>
                <w:iCs w:val="1"/>
                <w:color w:val="auto"/>
                <w:vertAlign w:val="superscript"/>
              </w:rPr>
              <w:t>(3)</w:t>
            </w:r>
          </w:p>
        </w:tc>
        <w:tc>
          <w:tcPr>
            <w:tcW w:w="25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spacing w:after="0"/>
              <w:rPr>
                <w:sz w:val="18"/>
                <w:szCs w:val="18"/>
                <w:color w:val="auto"/>
              </w:rPr>
            </w:pPr>
          </w:p>
        </w:tc>
        <w:tc>
          <w:tcPr>
            <w:tcW w:w="2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680,444</w:t>
            </w: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2020</w:t>
            </w:r>
          </w:p>
        </w:tc>
        <w:tc>
          <w:tcPr>
            <w:tcW w:w="42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RSU Equity Incentive Plan </w:t>
            </w:r>
            <w:r>
              <w:rPr>
                <w:rFonts w:ascii="Times New Roman" w:cs="Times New Roman" w:eastAsia="Times New Roman" w:hAnsi="Times New Roman"/>
                <w:sz w:val="24"/>
                <w:szCs w:val="24"/>
                <w:i w:val="1"/>
                <w:iCs w:val="1"/>
                <w:color w:val="auto"/>
                <w:vertAlign w:val="superscript"/>
              </w:rPr>
              <w:t>(4)</w:t>
            </w:r>
          </w:p>
        </w:tc>
        <w:tc>
          <w:tcPr>
            <w:tcW w:w="2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2,783</w:t>
            </w:r>
          </w:p>
        </w:tc>
        <w:tc>
          <w:tcPr>
            <w:tcW w:w="204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80" w:type="dxa"/>
            <w:vAlign w:val="bottom"/>
            <w:gridSpan w:val="2"/>
          </w:tcPr>
          <w:p>
            <w:pPr>
              <w:jc w:val="center"/>
              <w:ind w:right="399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17,648,673</w:t>
            </w:r>
          </w:p>
        </w:tc>
        <w:tc>
          <w:tcPr>
            <w:tcW w:w="2040" w:type="dxa"/>
            <w:vAlign w:val="bottom"/>
          </w:tcPr>
          <w:p>
            <w:pPr>
              <w:spacing w:after="0"/>
              <w:rPr>
                <w:sz w:val="20"/>
                <w:szCs w:val="20"/>
                <w:color w:val="auto"/>
              </w:rPr>
            </w:pPr>
          </w:p>
        </w:tc>
        <w:tc>
          <w:tcPr>
            <w:tcW w:w="2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14,364,085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00" w:right="40" w:hanging="292"/>
        <w:spacing w:after="0" w:line="275" w:lineRule="auto"/>
        <w:tabs>
          <w:tab w:leader="none" w:pos="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adopted, and our stockholders approved, the 2017 Plan. In connection with our initial public offering and the adoption of the 2020 Plan, we no longer grant awards under the 2017 Plan; however, all outstanding options issued pursuant to the 2017 Plan continue to be governed by their existing terms. To the extent that any such awards are forfeited or lapse unexercised or are repurchased, the shares of common stock subject to such awards will become available for issuance under the 2020 Plan.</w:t>
      </w:r>
    </w:p>
    <w:p>
      <w:pPr>
        <w:spacing w:after="0" w:line="74" w:lineRule="exact"/>
        <w:rPr>
          <w:rFonts w:ascii="Times New Roman" w:cs="Times New Roman" w:eastAsia="Times New Roman" w:hAnsi="Times New Roman"/>
          <w:sz w:val="16"/>
          <w:szCs w:val="16"/>
          <w:color w:val="auto"/>
        </w:rPr>
      </w:pPr>
    </w:p>
    <w:p>
      <w:pPr>
        <w:ind w:left="300" w:right="120" w:hanging="292"/>
        <w:spacing w:after="0" w:line="275" w:lineRule="auto"/>
        <w:tabs>
          <w:tab w:leader="none" w:pos="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9,037,149 shares, (ii) five percent (5%) of the outstanding shares of common stock on the last day of the immediately preceding fiscal year or (iii) such other amount as our board of directors may determine.</w:t>
      </w:r>
    </w:p>
    <w:p>
      <w:pPr>
        <w:spacing w:after="0" w:line="74" w:lineRule="exact"/>
        <w:rPr>
          <w:rFonts w:ascii="Times New Roman" w:cs="Times New Roman" w:eastAsia="Times New Roman" w:hAnsi="Times New Roman"/>
          <w:sz w:val="16"/>
          <w:szCs w:val="16"/>
          <w:color w:val="auto"/>
        </w:rPr>
      </w:pPr>
    </w:p>
    <w:p>
      <w:pPr>
        <w:ind w:left="300" w:right="80" w:hanging="292"/>
        <w:spacing w:after="0" w:line="275" w:lineRule="auto"/>
        <w:tabs>
          <w:tab w:leader="none" w:pos="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adopted, and our shareholders approved, the 2020 Employee Stock Purchase Plan (the ESPP). The ESPP provides that the number of shares available for issuance under the ESPP will be increased on the first day of each fiscal year beginning with the 2021 fiscal year, in an amount equal to the least of (i) 1,807,476 shares, (ii) one percent (1%) of the outstanding shares of common stock on the last day of the immediately preceding fiscal year or (iii) such other amount as may be determined by our board of directors.</w:t>
      </w:r>
    </w:p>
    <w:p>
      <w:pPr>
        <w:spacing w:after="0" w:line="74" w:lineRule="exact"/>
        <w:rPr>
          <w:rFonts w:ascii="Times New Roman" w:cs="Times New Roman" w:eastAsia="Times New Roman" w:hAnsi="Times New Roman"/>
          <w:sz w:val="16"/>
          <w:szCs w:val="16"/>
          <w:color w:val="auto"/>
        </w:rPr>
      </w:pPr>
    </w:p>
    <w:p>
      <w:pPr>
        <w:ind w:left="300" w:right="120" w:hanging="292"/>
        <w:spacing w:after="0" w:line="298" w:lineRule="auto"/>
        <w:tabs>
          <w:tab w:leader="none" w:pos="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adopted, and our stockholders approved, the RSU Plan. In connection with our initial public offering, we no longer grant awards under the RSU Plan; however, all outstanding restricted stock units (RSUs) issued pursuant to the RSU Plan continue to be governed by their existing terms.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describe below transactions and series of similar transactions in our last two fiscal years to which we were a party or will be a party, in which:</w:t>
      </w:r>
    </w:p>
    <w:p>
      <w:pPr>
        <w:spacing w:after="0" w:line="171" w:lineRule="exact"/>
        <w:rPr>
          <w:sz w:val="20"/>
          <w:szCs w:val="20"/>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jc w:val="both"/>
        <w:ind w:left="900" w:right="280" w:hanging="383"/>
        <w:spacing w:after="0" w:line="26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spacing w:after="0" w:line="12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have granted stock options and RSUs to our executive officers and certain of our directors. See the sections titled “Executive Compensation - Outstanding Equity Awards at Fiscal Year-End” and “Director Compensation” for a description of these stock incentive awards.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2023, we were party to an amended and restated investors’ rights agreement (IRA), dated as of December 9, 2020, which provided, among other things, that certain holders of our capital stock have the right to demand that we file a registration statement or request that their shares of our capital stock be covered by a registration statement that we are otherwise filing. Entities affiliated with Omid Farokhzad, M.D., Robert Langer, Sc.D. and Terrance McGuire are among the parties to the IRA.</w:t>
      </w:r>
    </w:p>
    <w:p>
      <w:pPr>
        <w:spacing w:after="0" w:line="12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The indemnification agreements and our certificate of incorporation and bylaws require us to indemnify our directors and executive officers to the fullest extent permitted by Delaware law.</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Other than as described above under this section titled “Certain Relationships and Related Party and Other Transactions,” since January 1, 2023,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Deloitte &amp; Touche LLP for our fiscal years ended December 31, 2024 and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43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434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826,800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997,500</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(2)</w:t>
            </w:r>
          </w:p>
        </w:tc>
        <w:tc>
          <w:tcPr>
            <w:tcW w:w="34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109,801</w:t>
            </w:r>
          </w:p>
        </w:tc>
        <w:tc>
          <w:tcPr>
            <w:tcW w:w="100" w:type="dxa"/>
            <w:vAlign w:val="bottom"/>
          </w:tcPr>
          <w:p>
            <w:pPr>
              <w:spacing w:after="0"/>
              <w:rPr>
                <w:sz w:val="18"/>
                <w:szCs w:val="18"/>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3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893,574</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1,107,301</w:t>
            </w:r>
          </w:p>
        </w:tc>
        <w:tc>
          <w:tcPr>
            <w:tcW w:w="100" w:type="dxa"/>
            <w:vAlign w:val="bottom"/>
            <w:shd w:val="clear" w:color="auto" w:fill="CFF0FC"/>
          </w:tcPr>
          <w:p>
            <w:pPr>
              <w:spacing w:after="0"/>
              <w:rPr>
                <w:sz w:val="19"/>
                <w:szCs w:val="19"/>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34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left="380" w:right="440" w:hanging="372"/>
        <w:spacing w:after="0" w:line="298" w:lineRule="auto"/>
        <w:tabs>
          <w:tab w:leader="none" w:pos="3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billed for professional services rendered in connection with the audit of our annual financial statements and reviews of our quarterly financial statements for those fiscal years.</w:t>
      </w:r>
    </w:p>
    <w:p>
      <w:pPr>
        <w:spacing w:after="0" w:line="5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billed for professional services rendered by Deloitte &amp; Touche LLP for tax compliance, tax advice and tax planning.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Deloitte &amp; Touche LLP for our fiscal years ended December 31, 2024 and 2023 were pre-approved by our audit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documents are filed as part of this Amended Report:</w:t>
      </w:r>
    </w:p>
    <w:p>
      <w:pPr>
        <w:spacing w:after="0" w:line="171" w:lineRule="exact"/>
        <w:rPr>
          <w:sz w:val="20"/>
          <w:szCs w:val="20"/>
          <w:color w:val="auto"/>
        </w:rPr>
      </w:pPr>
    </w:p>
    <w:p>
      <w:pPr>
        <w:ind w:left="1140" w:right="160" w:hanging="758"/>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statements are filed with this Amendment. The financial statements and notes thereto were included as part of the Original Report.</w:t>
      </w:r>
    </w:p>
    <w:p>
      <w:pPr>
        <w:spacing w:after="0" w:line="107" w:lineRule="exact"/>
        <w:rPr>
          <w:rFonts w:ascii="Times New Roman" w:cs="Times New Roman" w:eastAsia="Times New Roman" w:hAnsi="Times New Roman"/>
          <w:sz w:val="18"/>
          <w:szCs w:val="18"/>
          <w:color w:val="auto"/>
        </w:rPr>
      </w:pPr>
    </w:p>
    <w:p>
      <w:pPr>
        <w:ind w:left="1140" w:right="660" w:hanging="758"/>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in this Amended Report because they are not applicable, not required under the instructions or the information requested is set forth in the financial statements or related notes thereto.</w:t>
      </w:r>
    </w:p>
    <w:p>
      <w:pPr>
        <w:spacing w:after="0" w:line="107" w:lineRule="exact"/>
        <w:rPr>
          <w:rFonts w:ascii="Times New Roman" w:cs="Times New Roman" w:eastAsia="Times New Roman" w:hAnsi="Times New Roman"/>
          <w:sz w:val="18"/>
          <w:szCs w:val="18"/>
          <w:color w:val="auto"/>
        </w:rPr>
      </w:pPr>
    </w:p>
    <w:p>
      <w:pPr>
        <w:ind w:left="1140" w:hanging="758"/>
        <w:spacing w:after="0" w:line="266"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list of exhibits filed with this Amendment is set forth in the Exhibit Index preceding the signature page and is incorporated herein by reference or filed with this Amendment, in each case as indicated therein (numbered in accordance with Item 601 of Regulation S-K).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15"/>
                <w:szCs w:val="15"/>
                <w:color w:val="auto"/>
              </w:rPr>
            </w:pPr>
          </w:p>
        </w:tc>
        <w:tc>
          <w:tcPr>
            <w:tcW w:w="5280" w:type="dxa"/>
            <w:vAlign w:val="bottom"/>
            <w:tcBorders>
              <w:bottom w:val="single" w:sz="8" w:color="auto"/>
            </w:tcBorders>
            <w:gridSpan w:val="5"/>
          </w:tcPr>
          <w:p>
            <w:pPr>
              <w:ind w:left="2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24"/>
                <w:szCs w:val="24"/>
                <w:color w:val="auto"/>
              </w:rPr>
            </w:pPr>
          </w:p>
        </w:tc>
        <w:tc>
          <w:tcPr>
            <w:tcW w:w="5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13a-14(a) and</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ind w:left="259"/>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0" w:type="dxa"/>
            <w:vAlign w:val="bottom"/>
            <w:tcBorders>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8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tcPr>
          <w:p>
            <w:pPr>
              <w:spacing w:after="0"/>
              <w:rPr>
                <w:sz w:val="24"/>
                <w:szCs w:val="24"/>
                <w:color w:val="auto"/>
              </w:rPr>
            </w:pPr>
          </w:p>
        </w:tc>
        <w:tc>
          <w:tcPr>
            <w:tcW w:w="5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w:t>
            </w:r>
          </w:p>
        </w:tc>
        <w:tc>
          <w:tcPr>
            <w:tcW w:w="6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ind w:left="259"/>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0" w:type="dxa"/>
            <w:vAlign w:val="bottom"/>
            <w:tcBorders>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8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424"/>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101.INS</w:t>
            </w:r>
          </w:p>
        </w:tc>
        <w:tc>
          <w:tcPr>
            <w:tcW w:w="100" w:type="dxa"/>
            <w:vAlign w:val="bottom"/>
          </w:tcPr>
          <w:p>
            <w:pPr>
              <w:spacing w:after="0"/>
              <w:rPr>
                <w:sz w:val="24"/>
                <w:szCs w:val="24"/>
                <w:color w:val="auto"/>
              </w:rPr>
            </w:pPr>
          </w:p>
        </w:tc>
        <w:tc>
          <w:tcPr>
            <w:tcW w:w="3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180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100" w:type="dxa"/>
            <w:vAlign w:val="bottom"/>
          </w:tcPr>
          <w:p>
            <w:pPr>
              <w:spacing w:after="0"/>
              <w:rPr>
                <w:sz w:val="24"/>
                <w:szCs w:val="24"/>
                <w:color w:val="auto"/>
              </w:rPr>
            </w:pPr>
          </w:p>
        </w:tc>
        <w:tc>
          <w:tcPr>
            <w:tcW w:w="52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 With Embedded</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Linkbase Documents</w:t>
            </w: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83" w:lineRule="exact"/>
        <w:rPr>
          <w:sz w:val="20"/>
          <w:szCs w:val="20"/>
          <w:color w:val="auto"/>
        </w:rPr>
      </w:pPr>
    </w:p>
    <w:p>
      <w:pPr>
        <w:jc w:val="both"/>
        <w:ind w:left="1220" w:right="4580" w:hanging="787"/>
        <w:spacing w:after="0" w:line="265" w:lineRule="auto"/>
        <w:tabs>
          <w:tab w:leader="none" w:pos="122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10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9030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9" w:right="5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0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56"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9" w:right="5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Omid Farokhzad, certify that:</w:t>
      </w:r>
    </w:p>
    <w:p>
      <w:pPr>
        <w:spacing w:after="0" w:line="198"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Seer, Inc.; and</w:t>
      </w:r>
    </w:p>
    <w:p>
      <w:pPr>
        <w:spacing w:after="0" w:line="184"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Omid Farokhzad</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Omid Farokhzad</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22"/>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Horn, certify that:</w:t>
      </w:r>
    </w:p>
    <w:p>
      <w:pPr>
        <w:spacing w:after="0" w:line="198"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 of Seer, Inc.; and</w:t>
      </w:r>
    </w:p>
    <w:p>
      <w:pPr>
        <w:spacing w:after="0" w:line="184"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Horn</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President</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222"/>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upperLetter"/>
      <w:start w:val="24"/>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Roman"/>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0"/>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9"/>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2"/>
    </w:lvl>
  </w:abstractNum>
  <w:abstractNum w:abstractNumId="27">
    <w:nsid w:val="51EAD36B"/>
    <w:multiLevelType w:val="hybridMultilevel"/>
    <w:lvl w:ilvl="0">
      <w:lvlJc w:val="left"/>
      <w:lvlText w:val="(%1)"/>
      <w:numFmt w:val="decimal"/>
      <w:start w:val="4"/>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upperLetter"/>
      <w:start w:val="1"/>
    </w:lvl>
    <w:lvl w:ilvl="1">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7"/>
    </w:lvl>
  </w:abstractNum>
  <w:abstractNum w:abstractNumId="43">
    <w:nsid w:val="38437FDB"/>
    <w:multiLevelType w:val="hybridMultilevel"/>
    <w:lvl w:ilvl="0">
      <w:lvlJc w:val="left"/>
      <w:lvlText w:val="(%1)"/>
      <w:numFmt w:val="decimal"/>
      <w:start w:val="13"/>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
      <w:numFmt w:val="bullet"/>
      <w:start w:val="1"/>
    </w:lvl>
    <w:lvl w:ilvl="1">
      <w:lvlJc w:val="left"/>
      <w:lvlText w:val="%2"/>
      <w:numFmt w:val="decimal"/>
      <w:start w:val="104"/>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2025-04-30T15:39:09Z</dcterms:created>
  <dcterms:modified xsi:type="dcterms:W3CDTF">2025-04-30T15:39:09Z</dcterms:modified>
</cp:coreProperties>
</file>