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November 30, 2020</w:t>
      </w:r>
    </w:p>
    <w:p>
      <w:pPr>
        <w:spacing w:after="0" w:line="9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Registration No. 333-250035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-94615</wp:posOffset>
            </wp:positionV>
            <wp:extent cx="1920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81915</wp:posOffset>
            </wp:positionV>
            <wp:extent cx="1920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AMENDMENT NO. 1 TO</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i w:val="1"/>
          <w:iCs w:val="1"/>
          <w:color w:val="auto"/>
        </w:rPr>
        <w:t>Under</w:t>
      </w:r>
    </w:p>
    <w:p>
      <w:pPr>
        <w:jc w:val="center"/>
        <w:ind w:right="20"/>
        <w:spacing w:after="0"/>
        <w:rPr>
          <w:sz w:val="20"/>
          <w:szCs w:val="20"/>
          <w:color w:val="auto"/>
        </w:rPr>
      </w:pPr>
      <w:r>
        <w:rPr>
          <w:rFonts w:ascii="Times New Roman" w:cs="Times New Roman" w:eastAsia="Times New Roman" w:hAnsi="Times New Roman"/>
          <w:sz w:val="20"/>
          <w:szCs w:val="20"/>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51435</wp:posOffset>
            </wp:positionV>
            <wp:extent cx="1920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SEER, INC.</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56515</wp:posOffset>
            </wp:positionV>
            <wp:extent cx="1920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52" w:lineRule="exact"/>
        <w:rPr>
          <w:sz w:val="24"/>
          <w:szCs w:val="24"/>
          <w:color w:val="auto"/>
        </w:rPr>
      </w:pPr>
    </w:p>
    <w:tbl>
      <w:tblPr>
        <w:tblLayout w:type="fixed"/>
        <w:tblInd w:w="440" w:type="dxa"/>
        <w:tblCellMar>
          <w:top w:w="0" w:type="dxa"/>
          <w:left w:w="0" w:type="dxa"/>
          <w:bottom w:w="0" w:type="dxa"/>
          <w:right w:w="0" w:type="dxa"/>
        </w:tblCellMar>
      </w:tblPr>
      <w:tr>
        <w:trPr>
          <w:trHeight w:val="189"/>
        </w:trPr>
        <w:tc>
          <w:tcPr>
            <w:tcW w:w="31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240" w:type="dxa"/>
            <w:vAlign w:val="bottom"/>
          </w:tcPr>
          <w:p>
            <w:pPr>
              <w:jc w:val="right"/>
              <w:ind w:right="1948"/>
              <w:spacing w:after="0"/>
              <w:rPr>
                <w:sz w:val="20"/>
                <w:szCs w:val="20"/>
                <w:color w:val="auto"/>
              </w:rPr>
            </w:pPr>
            <w:r>
              <w:rPr>
                <w:rFonts w:ascii="Times New Roman" w:cs="Times New Roman" w:eastAsia="Times New Roman" w:hAnsi="Times New Roman"/>
                <w:sz w:val="14"/>
                <w:szCs w:val="14"/>
                <w:b w:val="1"/>
                <w:bCs w:val="1"/>
                <w:color w:val="auto"/>
              </w:rPr>
              <w:t>3826</w:t>
            </w:r>
          </w:p>
        </w:tc>
        <w:tc>
          <w:tcPr>
            <w:tcW w:w="284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176"/>
        </w:trPr>
        <w:tc>
          <w:tcPr>
            <w:tcW w:w="31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w:t>
            </w:r>
          </w:p>
        </w:tc>
        <w:tc>
          <w:tcPr>
            <w:tcW w:w="4240" w:type="dxa"/>
            <w:vAlign w:val="bottom"/>
          </w:tcPr>
          <w:p>
            <w:pPr>
              <w:spacing w:after="0"/>
              <w:rPr>
                <w:sz w:val="15"/>
                <w:szCs w:val="15"/>
                <w:color w:val="auto"/>
              </w:rPr>
            </w:pPr>
          </w:p>
        </w:tc>
        <w:tc>
          <w:tcPr>
            <w:tcW w:w="28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204"/>
        </w:trPr>
        <w:tc>
          <w:tcPr>
            <w:tcW w:w="31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42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(Primary Standard Industrial Classification Code Number)</w:t>
            </w:r>
          </w:p>
        </w:tc>
        <w:tc>
          <w:tcPr>
            <w:tcW w:w="2840" w:type="dxa"/>
            <w:vAlign w:val="bottom"/>
          </w:tcPr>
          <w:p>
            <w:pPr>
              <w:spacing w:after="0"/>
              <w:rPr>
                <w:sz w:val="17"/>
                <w:szCs w:val="17"/>
                <w:color w:val="auto"/>
              </w:rPr>
            </w:pPr>
          </w:p>
        </w:tc>
      </w:tr>
    </w:tbl>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3800 Bridge Parkway, Suite 102</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Redwood City, California 94065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650-453-0000</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56515</wp:posOffset>
            </wp:positionV>
            <wp:extent cx="1920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Omid Farokhzad, M.D.</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Seer, Inc.</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3800 Bridge Parkway, Suite 102</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Redwood City, California 94065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650-453-0000</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56515</wp:posOffset>
            </wp:positionV>
            <wp:extent cx="1920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20" w:lineRule="exact"/>
        <w:rPr>
          <w:sz w:val="24"/>
          <w:szCs w:val="24"/>
          <w:color w:val="auto"/>
        </w:rPr>
      </w:pPr>
    </w:p>
    <w:tbl>
      <w:tblPr>
        <w:tblLayout w:type="fixed"/>
        <w:tblInd w:w="80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5880" w:type="dxa"/>
            <w:vAlign w:val="bottom"/>
          </w:tcPr>
          <w:p>
            <w:pPr>
              <w:ind w:left="1020"/>
              <w:spacing w:after="0"/>
              <w:rPr>
                <w:sz w:val="20"/>
                <w:szCs w:val="20"/>
                <w:color w:val="auto"/>
              </w:rPr>
            </w:pPr>
            <w:r>
              <w:rPr>
                <w:rFonts w:ascii="Times New Roman" w:cs="Times New Roman" w:eastAsia="Times New Roman" w:hAnsi="Times New Roman"/>
                <w:sz w:val="16"/>
                <w:szCs w:val="16"/>
                <w:i w:val="1"/>
                <w:iCs w:val="1"/>
                <w:color w:val="auto"/>
              </w:rPr>
              <w:t>Copies to:</w:t>
            </w:r>
          </w:p>
        </w:tc>
      </w:tr>
      <w:tr>
        <w:trPr>
          <w:trHeight w:val="184"/>
        </w:trPr>
        <w:tc>
          <w:tcPr>
            <w:tcW w:w="3460" w:type="dxa"/>
            <w:vAlign w:val="bottom"/>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Tony Jeffries</w:t>
            </w:r>
          </w:p>
        </w:tc>
        <w:tc>
          <w:tcPr>
            <w:tcW w:w="5880" w:type="dxa"/>
            <w:vAlign w:val="bottom"/>
          </w:tcPr>
          <w:p>
            <w:pPr>
              <w:jc w:val="center"/>
              <w:ind w:left="3967"/>
              <w:spacing w:after="0"/>
              <w:rPr>
                <w:sz w:val="20"/>
                <w:szCs w:val="20"/>
                <w:color w:val="auto"/>
              </w:rPr>
            </w:pPr>
            <w:r>
              <w:rPr>
                <w:rFonts w:ascii="Times New Roman" w:cs="Times New Roman" w:eastAsia="Times New Roman" w:hAnsi="Times New Roman"/>
                <w:sz w:val="14"/>
                <w:szCs w:val="14"/>
                <w:b w:val="1"/>
                <w:bCs w:val="1"/>
                <w:color w:val="auto"/>
              </w:rPr>
              <w:t>Alan F. Denenberg</w:t>
            </w:r>
          </w:p>
        </w:tc>
      </w:tr>
      <w:tr>
        <w:trPr>
          <w:trHeight w:val="162"/>
        </w:trPr>
        <w:tc>
          <w:tcPr>
            <w:tcW w:w="3460" w:type="dxa"/>
            <w:vAlign w:val="bottom"/>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Christina L. Poulsen</w:t>
            </w:r>
          </w:p>
        </w:tc>
        <w:tc>
          <w:tcPr>
            <w:tcW w:w="5880" w:type="dxa"/>
            <w:vAlign w:val="bottom"/>
          </w:tcPr>
          <w:p>
            <w:pPr>
              <w:jc w:val="center"/>
              <w:ind w:left="3967"/>
              <w:spacing w:after="0"/>
              <w:rPr>
                <w:sz w:val="20"/>
                <w:szCs w:val="20"/>
                <w:color w:val="auto"/>
              </w:rPr>
            </w:pPr>
            <w:r>
              <w:rPr>
                <w:rFonts w:ascii="Times New Roman" w:cs="Times New Roman" w:eastAsia="Times New Roman" w:hAnsi="Times New Roman"/>
                <w:sz w:val="14"/>
                <w:szCs w:val="14"/>
                <w:b w:val="1"/>
                <w:bCs w:val="1"/>
                <w:color w:val="auto"/>
              </w:rPr>
              <w:t>Davis Polk &amp; Wardwell LLP</w:t>
            </w:r>
          </w:p>
        </w:tc>
      </w:tr>
      <w:tr>
        <w:trPr>
          <w:trHeight w:val="162"/>
        </w:trPr>
        <w:tc>
          <w:tcPr>
            <w:tcW w:w="3460" w:type="dxa"/>
            <w:vAlign w:val="bottom"/>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Wilson Sonsini Goodrich &amp; Rosati, P.C.</w:t>
            </w:r>
          </w:p>
        </w:tc>
        <w:tc>
          <w:tcPr>
            <w:tcW w:w="5880" w:type="dxa"/>
            <w:vAlign w:val="bottom"/>
          </w:tcPr>
          <w:p>
            <w:pPr>
              <w:jc w:val="center"/>
              <w:ind w:left="3987"/>
              <w:spacing w:after="0"/>
              <w:rPr>
                <w:sz w:val="20"/>
                <w:szCs w:val="20"/>
                <w:color w:val="auto"/>
              </w:rPr>
            </w:pPr>
            <w:r>
              <w:rPr>
                <w:rFonts w:ascii="Times New Roman" w:cs="Times New Roman" w:eastAsia="Times New Roman" w:hAnsi="Times New Roman"/>
                <w:sz w:val="14"/>
                <w:szCs w:val="14"/>
                <w:b w:val="1"/>
                <w:bCs w:val="1"/>
                <w:color w:val="auto"/>
              </w:rPr>
              <w:t>1600 El Camino Real</w:t>
            </w:r>
          </w:p>
        </w:tc>
      </w:tr>
      <w:tr>
        <w:trPr>
          <w:trHeight w:val="162"/>
        </w:trPr>
        <w:tc>
          <w:tcPr>
            <w:tcW w:w="3460" w:type="dxa"/>
            <w:vAlign w:val="bottom"/>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650 Page Mill Road</w:t>
            </w:r>
          </w:p>
        </w:tc>
        <w:tc>
          <w:tcPr>
            <w:tcW w:w="5880" w:type="dxa"/>
            <w:vAlign w:val="bottom"/>
          </w:tcPr>
          <w:p>
            <w:pPr>
              <w:jc w:val="center"/>
              <w:ind w:left="3967"/>
              <w:spacing w:after="0"/>
              <w:rPr>
                <w:sz w:val="20"/>
                <w:szCs w:val="20"/>
                <w:color w:val="auto"/>
              </w:rPr>
            </w:pPr>
            <w:r>
              <w:rPr>
                <w:rFonts w:ascii="Times New Roman" w:cs="Times New Roman" w:eastAsia="Times New Roman" w:hAnsi="Times New Roman"/>
                <w:sz w:val="14"/>
                <w:szCs w:val="14"/>
                <w:b w:val="1"/>
                <w:bCs w:val="1"/>
                <w:color w:val="auto"/>
              </w:rPr>
              <w:t>Menlo Park, California 94025</w:t>
            </w:r>
          </w:p>
        </w:tc>
      </w:tr>
      <w:tr>
        <w:trPr>
          <w:trHeight w:val="162"/>
        </w:trPr>
        <w:tc>
          <w:tcPr>
            <w:tcW w:w="3460" w:type="dxa"/>
            <w:vAlign w:val="bottom"/>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Palo Alto, California 94304</w:t>
            </w:r>
          </w:p>
        </w:tc>
        <w:tc>
          <w:tcPr>
            <w:tcW w:w="5880" w:type="dxa"/>
            <w:vAlign w:val="bottom"/>
          </w:tcPr>
          <w:p>
            <w:pPr>
              <w:jc w:val="center"/>
              <w:ind w:left="3967"/>
              <w:spacing w:after="0"/>
              <w:rPr>
                <w:sz w:val="20"/>
                <w:szCs w:val="20"/>
                <w:color w:val="auto"/>
              </w:rPr>
            </w:pPr>
            <w:r>
              <w:rPr>
                <w:rFonts w:ascii="Times New Roman" w:cs="Times New Roman" w:eastAsia="Times New Roman" w:hAnsi="Times New Roman"/>
                <w:sz w:val="14"/>
                <w:szCs w:val="14"/>
                <w:b w:val="1"/>
                <w:bCs w:val="1"/>
                <w:color w:val="auto"/>
              </w:rPr>
              <w:t>650-752-2000</w:t>
            </w:r>
          </w:p>
        </w:tc>
      </w:tr>
      <w:tr>
        <w:trPr>
          <w:trHeight w:val="190"/>
        </w:trPr>
        <w:tc>
          <w:tcPr>
            <w:tcW w:w="3460" w:type="dxa"/>
            <w:vAlign w:val="bottom"/>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650-493-9300</w:t>
            </w:r>
          </w:p>
        </w:tc>
        <w:tc>
          <w:tcPr>
            <w:tcW w:w="5880" w:type="dxa"/>
            <w:vAlign w:val="bottom"/>
          </w:tcPr>
          <w:p>
            <w:pPr>
              <w:spacing w:after="0"/>
              <w:rPr>
                <w:sz w:val="16"/>
                <w:szCs w:val="16"/>
                <w:color w:val="auto"/>
              </w:rPr>
            </w:pPr>
          </w:p>
        </w:tc>
      </w:tr>
    </w:tbl>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 As soon as practicable after the effective date of this registration statement.</w:t>
      </w:r>
    </w:p>
    <w:p>
      <w:pPr>
        <w:spacing w:after="0" w:line="48"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0" w:lineRule="exact"/>
        <w:rPr>
          <w:sz w:val="24"/>
          <w:szCs w:val="24"/>
          <w:color w:val="auto"/>
        </w:rPr>
      </w:pPr>
    </w:p>
    <w:p>
      <w:pPr>
        <w:ind w:right="100"/>
        <w:spacing w:after="0" w:line="176"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right="380"/>
        <w:spacing w:after="0" w:line="176"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right="380"/>
        <w:spacing w:after="0" w:line="176"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right="120"/>
        <w:spacing w:after="0" w:line="29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82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3"/>
                <w:szCs w:val="13"/>
                <w:color w:val="auto"/>
              </w:rPr>
              <w:t>Accelerated filer</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6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060" w:type="dxa"/>
            <w:vAlign w:val="bottom"/>
          </w:tcPr>
          <w:p>
            <w:pPr>
              <w:ind w:left="32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82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3"/>
                <w:szCs w:val="13"/>
                <w:color w:val="auto"/>
              </w:rPr>
              <w:t>Emerging growth company</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09" w:lineRule="exact"/>
        <w:rPr>
          <w:sz w:val="24"/>
          <w:szCs w:val="24"/>
          <w:color w:val="auto"/>
        </w:rPr>
      </w:pPr>
    </w:p>
    <w:p>
      <w:pPr>
        <w:jc w:val="both"/>
        <w:ind w:right="180"/>
        <w:spacing w:after="0" w:line="17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71120</wp:posOffset>
            </wp:positionV>
            <wp:extent cx="1920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21" w:lineRule="exact"/>
        <w:rPr>
          <w:sz w:val="24"/>
          <w:szCs w:val="24"/>
          <w:color w:val="auto"/>
        </w:rPr>
      </w:pPr>
    </w:p>
    <w:tbl>
      <w:tblPr>
        <w:tblLayout w:type="fixed"/>
        <w:tblInd w:w="10" w:type="dxa"/>
        <w:tblCellMar>
          <w:top w:w="0" w:type="dxa"/>
          <w:left w:w="0" w:type="dxa"/>
          <w:bottom w:w="0" w:type="dxa"/>
          <w:right w:w="0" w:type="dxa"/>
        </w:tblCellMar>
      </w:tblPr>
      <w:tr>
        <w:trPr>
          <w:trHeight w:val="54"/>
        </w:trPr>
        <w:tc>
          <w:tcPr>
            <w:tcW w:w="4260" w:type="dxa"/>
            <w:vAlign w:val="bottom"/>
            <w:tcBorders>
              <w:top w:val="single" w:sz="8" w:color="auto"/>
              <w:bottom w:val="single" w:sz="8" w:color="auto"/>
              <w:right w:val="single" w:sz="8" w:color="auto"/>
            </w:tcBorders>
          </w:tcPr>
          <w:p>
            <w:pPr>
              <w:spacing w:after="0"/>
              <w:rPr>
                <w:sz w:val="4"/>
                <w:szCs w:val="4"/>
                <w:color w:val="auto"/>
              </w:rPr>
            </w:pPr>
          </w:p>
        </w:tc>
        <w:tc>
          <w:tcPr>
            <w:tcW w:w="1740" w:type="dxa"/>
            <w:vAlign w:val="bottom"/>
            <w:tcBorders>
              <w:top w:val="single" w:sz="8" w:color="auto"/>
              <w:bottom w:val="single" w:sz="8" w:color="auto"/>
              <w:right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580" w:type="dxa"/>
            <w:vAlign w:val="bottom"/>
            <w:tcBorders>
              <w:top w:val="single" w:sz="8" w:color="auto"/>
              <w:bottom w:val="single" w:sz="8" w:color="auto"/>
              <w:right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60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64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260" w:type="dxa"/>
            <w:vAlign w:val="bottom"/>
            <w:tcBorders>
              <w:left w:val="single" w:sz="8" w:color="auto"/>
              <w:right w:val="single" w:sz="8" w:color="auto"/>
            </w:tcBorders>
          </w:tcPr>
          <w:p>
            <w:pPr>
              <w:spacing w:after="0"/>
              <w:rPr>
                <w:sz w:val="13"/>
                <w:szCs w:val="13"/>
                <w:color w:val="auto"/>
              </w:rPr>
            </w:pPr>
          </w:p>
        </w:tc>
        <w:tc>
          <w:tcPr>
            <w:tcW w:w="17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Amount to be registered</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3"/>
                <w:szCs w:val="13"/>
                <w:color w:val="auto"/>
              </w:rPr>
            </w:pPr>
          </w:p>
        </w:tc>
        <w:tc>
          <w:tcPr>
            <w:tcW w:w="1580" w:type="dxa"/>
            <w:vAlign w:val="bottom"/>
            <w:tcBorders>
              <w:right w:val="single" w:sz="8" w:color="auto"/>
            </w:tcBorders>
          </w:tcPr>
          <w:p>
            <w:pPr>
              <w:jc w:val="center"/>
              <w:ind w:right="110"/>
              <w:spacing w:after="0" w:line="158" w:lineRule="exact"/>
              <w:rPr>
                <w:sz w:val="20"/>
                <w:szCs w:val="20"/>
                <w:color w:val="auto"/>
              </w:rPr>
            </w:pPr>
            <w:r>
              <w:rPr>
                <w:rFonts w:ascii="Times New Roman" w:cs="Times New Roman" w:eastAsia="Times New Roman" w:hAnsi="Times New Roman"/>
                <w:sz w:val="14"/>
                <w:szCs w:val="14"/>
                <w:b w:val="1"/>
                <w:bCs w:val="1"/>
                <w:color w:val="auto"/>
              </w:rPr>
              <w:t>Proposed Maximum</w:t>
            </w:r>
          </w:p>
        </w:tc>
        <w:tc>
          <w:tcPr>
            <w:tcW w:w="160" w:type="dxa"/>
            <w:vAlign w:val="bottom"/>
          </w:tcPr>
          <w:p>
            <w:pPr>
              <w:spacing w:after="0"/>
              <w:rPr>
                <w:sz w:val="13"/>
                <w:szCs w:val="13"/>
                <w:color w:val="auto"/>
              </w:rPr>
            </w:pPr>
          </w:p>
        </w:tc>
        <w:tc>
          <w:tcPr>
            <w:tcW w:w="1600" w:type="dxa"/>
            <w:vAlign w:val="bottom"/>
            <w:tcBorders>
              <w:right w:val="single" w:sz="8" w:color="auto"/>
            </w:tcBorders>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Proposed Maximum</w:t>
            </w:r>
          </w:p>
        </w:tc>
        <w:tc>
          <w:tcPr>
            <w:tcW w:w="120" w:type="dxa"/>
            <w:vAlign w:val="bottom"/>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4260" w:type="dxa"/>
            <w:vAlign w:val="bottom"/>
            <w:tcBorders>
              <w:left w:val="single" w:sz="8" w:color="auto"/>
              <w:right w:val="single" w:sz="8" w:color="auto"/>
            </w:tcBorders>
          </w:tcPr>
          <w:p>
            <w:pPr>
              <w:spacing w:after="0"/>
              <w:rPr>
                <w:sz w:val="4"/>
                <w:szCs w:val="4"/>
                <w:color w:val="auto"/>
              </w:rPr>
            </w:pPr>
          </w:p>
        </w:tc>
        <w:tc>
          <w:tcPr>
            <w:tcW w:w="1740" w:type="dxa"/>
            <w:vAlign w:val="bottom"/>
            <w:tcBorders>
              <w:right w:val="single" w:sz="8" w:color="auto"/>
            </w:tcBorders>
            <w:vMerge w:val="continue"/>
          </w:tcPr>
          <w:p>
            <w:pPr>
              <w:spacing w:after="0"/>
              <w:rPr>
                <w:sz w:val="4"/>
                <w:szCs w:val="4"/>
                <w:color w:val="auto"/>
              </w:rPr>
            </w:pPr>
          </w:p>
        </w:tc>
        <w:tc>
          <w:tcPr>
            <w:tcW w:w="17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 Per Share</w:t>
            </w:r>
            <w:r>
              <w:rPr>
                <w:rFonts w:ascii="Times New Roman" w:cs="Times New Roman" w:eastAsia="Times New Roman" w:hAnsi="Times New Roman"/>
                <w:sz w:val="9"/>
                <w:szCs w:val="9"/>
                <w:b w:val="1"/>
                <w:bCs w:val="1"/>
                <w:color w:val="auto"/>
              </w:rPr>
              <w:t>(2)</w:t>
            </w:r>
          </w:p>
        </w:tc>
        <w:tc>
          <w:tcPr>
            <w:tcW w:w="160" w:type="dxa"/>
            <w:vAlign w:val="bottom"/>
          </w:tcPr>
          <w:p>
            <w:pPr>
              <w:spacing w:after="0"/>
              <w:rPr>
                <w:sz w:val="4"/>
                <w:szCs w:val="4"/>
                <w:color w:val="auto"/>
              </w:rPr>
            </w:pPr>
          </w:p>
        </w:tc>
        <w:tc>
          <w:tcPr>
            <w:tcW w:w="160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Borders>
              <w:right w:val="single" w:sz="8" w:color="auto"/>
            </w:tcBorders>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 Registration</w:t>
            </w:r>
          </w:p>
        </w:tc>
        <w:tc>
          <w:tcPr>
            <w:tcW w:w="0" w:type="dxa"/>
            <w:vAlign w:val="bottom"/>
          </w:tcPr>
          <w:p>
            <w:pPr>
              <w:spacing w:after="0"/>
              <w:rPr>
                <w:sz w:val="1"/>
                <w:szCs w:val="1"/>
                <w:color w:val="auto"/>
              </w:rPr>
            </w:pPr>
          </w:p>
        </w:tc>
      </w:tr>
      <w:tr>
        <w:trPr>
          <w:trHeight w:val="149"/>
        </w:trPr>
        <w:tc>
          <w:tcPr>
            <w:tcW w:w="4260" w:type="dxa"/>
            <w:vAlign w:val="bottom"/>
            <w:tcBorders>
              <w:left w:val="single" w:sz="8" w:color="auto"/>
              <w:right w:val="single" w:sz="8" w:color="auto"/>
            </w:tcBorders>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Title of Each Class of Securities to be Registered</w:t>
            </w:r>
          </w:p>
        </w:tc>
        <w:tc>
          <w:tcPr>
            <w:tcW w:w="1740" w:type="dxa"/>
            <w:vAlign w:val="bottom"/>
            <w:tcBorders>
              <w:right w:val="single" w:sz="8" w:color="auto"/>
            </w:tcBorders>
            <w:vMerge w:val="continue"/>
          </w:tcPr>
          <w:p>
            <w:pPr>
              <w:spacing w:after="0"/>
              <w:rPr>
                <w:sz w:val="12"/>
                <w:szCs w:val="12"/>
                <w:color w:val="auto"/>
              </w:rPr>
            </w:pPr>
          </w:p>
        </w:tc>
        <w:tc>
          <w:tcPr>
            <w:tcW w:w="1740" w:type="dxa"/>
            <w:vAlign w:val="bottom"/>
            <w:tcBorders>
              <w:right w:val="single" w:sz="8" w:color="auto"/>
            </w:tcBorders>
            <w:gridSpan w:val="2"/>
            <w:vMerge w:val="continue"/>
          </w:tcPr>
          <w:p>
            <w:pPr>
              <w:spacing w:after="0"/>
              <w:rPr>
                <w:sz w:val="12"/>
                <w:szCs w:val="12"/>
                <w:color w:val="auto"/>
              </w:rPr>
            </w:pPr>
          </w:p>
        </w:tc>
        <w:tc>
          <w:tcPr>
            <w:tcW w:w="1760" w:type="dxa"/>
            <w:vAlign w:val="bottom"/>
            <w:tcBorders>
              <w:right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Aggregate Offering Price</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12"/>
                <w:szCs w:val="12"/>
                <w:color w:val="auto"/>
              </w:rPr>
            </w:pPr>
          </w:p>
        </w:tc>
        <w:tc>
          <w:tcPr>
            <w:tcW w:w="16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right="118"/>
              <w:spacing w:after="0"/>
              <w:rPr>
                <w:sz w:val="20"/>
                <w:szCs w:val="20"/>
                <w:color w:val="auto"/>
              </w:rPr>
            </w:pPr>
            <w:r>
              <w:rPr>
                <w:rFonts w:ascii="Times New Roman" w:cs="Times New Roman" w:eastAsia="Times New Roman" w:hAnsi="Times New Roman"/>
                <w:sz w:val="9"/>
                <w:szCs w:val="9"/>
                <w:b w:val="1"/>
                <w:bCs w:val="1"/>
                <w:color w:val="auto"/>
                <w:w w:val="94"/>
              </w:rPr>
              <w:t>(2)</w:t>
            </w: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center"/>
              <w:ind w:right="8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Fee</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182"/>
        </w:trPr>
        <w:tc>
          <w:tcPr>
            <w:tcW w:w="42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Class A Common Stock, $ 0.00001 par value</w:t>
            </w:r>
          </w:p>
        </w:tc>
        <w:tc>
          <w:tcPr>
            <w:tcW w:w="1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10,148,750</w:t>
            </w:r>
          </w:p>
        </w:tc>
        <w:tc>
          <w:tcPr>
            <w:tcW w:w="160" w:type="dxa"/>
            <w:vAlign w:val="bottom"/>
            <w:vMerge w:val="restart"/>
          </w:tcPr>
          <w:p>
            <w:pPr>
              <w:jc w:val="right"/>
              <w:ind w:right="10"/>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3"/>
                <w:szCs w:val="13"/>
                <w:color w:val="auto"/>
              </w:rPr>
              <w:t>18.00</w:t>
            </w:r>
          </w:p>
        </w:tc>
        <w:tc>
          <w:tcPr>
            <w:tcW w:w="160" w:type="dxa"/>
            <w:vAlign w:val="bottom"/>
            <w:vMerge w:val="restart"/>
          </w:tcPr>
          <w:p>
            <w:pPr>
              <w:jc w:val="right"/>
              <w:ind w:right="12"/>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right w:val="single" w:sz="8" w:color="auto"/>
            </w:tcBorders>
            <w:vMerge w:val="restart"/>
          </w:tcPr>
          <w:p>
            <w:pPr>
              <w:jc w:val="right"/>
              <w:ind w:right="18"/>
              <w:spacing w:after="0"/>
              <w:rPr>
                <w:sz w:val="20"/>
                <w:szCs w:val="20"/>
                <w:color w:val="auto"/>
              </w:rPr>
            </w:pPr>
            <w:r>
              <w:rPr>
                <w:rFonts w:ascii="Times New Roman" w:cs="Times New Roman" w:eastAsia="Times New Roman" w:hAnsi="Times New Roman"/>
                <w:sz w:val="13"/>
                <w:szCs w:val="13"/>
                <w:color w:val="auto"/>
              </w:rPr>
              <w:t>182,677,500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right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19,931</w:t>
            </w:r>
          </w:p>
        </w:tc>
        <w:tc>
          <w:tcPr>
            <w:tcW w:w="0" w:type="dxa"/>
            <w:vAlign w:val="bottom"/>
          </w:tcPr>
          <w:p>
            <w:pPr>
              <w:spacing w:after="0"/>
              <w:rPr>
                <w:sz w:val="1"/>
                <w:szCs w:val="1"/>
                <w:color w:val="auto"/>
              </w:rPr>
            </w:pPr>
          </w:p>
        </w:tc>
      </w:tr>
      <w:tr>
        <w:trPr>
          <w:trHeight w:val="162"/>
        </w:trPr>
        <w:tc>
          <w:tcPr>
            <w:tcW w:w="4260" w:type="dxa"/>
            <w:vAlign w:val="bottom"/>
            <w:tcBorders>
              <w:left w:val="single" w:sz="8" w:color="auto"/>
              <w:right w:val="single" w:sz="8" w:color="auto"/>
            </w:tcBorders>
            <w:vMerge w:val="continue"/>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60" w:type="dxa"/>
            <w:vAlign w:val="bottom"/>
            <w:vMerge w:val="continue"/>
          </w:tcPr>
          <w:p>
            <w:pPr>
              <w:spacing w:after="0"/>
              <w:rPr>
                <w:sz w:val="14"/>
                <w:szCs w:val="14"/>
                <w:color w:val="auto"/>
              </w:rPr>
            </w:pPr>
          </w:p>
        </w:tc>
        <w:tc>
          <w:tcPr>
            <w:tcW w:w="1580" w:type="dxa"/>
            <w:vAlign w:val="bottom"/>
            <w:tcBorders>
              <w:right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600" w:type="dxa"/>
            <w:vAlign w:val="bottom"/>
            <w:tcBorders>
              <w:right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6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260" w:type="dxa"/>
            <w:vAlign w:val="bottom"/>
            <w:tcBorders>
              <w:left w:val="single" w:sz="8" w:color="auto"/>
              <w:bottom w:val="single" w:sz="8" w:color="auto"/>
              <w:right w:val="single" w:sz="8" w:color="auto"/>
            </w:tcBorders>
          </w:tcPr>
          <w:p>
            <w:pPr>
              <w:spacing w:after="0"/>
              <w:rPr>
                <w:sz w:val="7"/>
                <w:szCs w:val="7"/>
                <w:color w:val="auto"/>
              </w:rPr>
            </w:pPr>
          </w:p>
        </w:tc>
        <w:tc>
          <w:tcPr>
            <w:tcW w:w="174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ind w:left="320" w:hanging="312"/>
        <w:spacing w:after="0"/>
        <w:tabs>
          <w:tab w:leader="none" w:pos="3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additional shares that the underwriters have the option to purchase.</w:t>
      </w:r>
    </w:p>
    <w:p>
      <w:pPr>
        <w:spacing w:after="0" w:line="24" w:lineRule="exact"/>
        <w:rPr>
          <w:rFonts w:ascii="Times New Roman" w:cs="Times New Roman" w:eastAsia="Times New Roman" w:hAnsi="Times New Roman"/>
          <w:sz w:val="13"/>
          <w:szCs w:val="13"/>
          <w:color w:val="auto"/>
        </w:rPr>
      </w:pPr>
    </w:p>
    <w:p>
      <w:pPr>
        <w:ind w:left="320" w:hanging="312"/>
        <w:spacing w:after="0"/>
        <w:tabs>
          <w:tab w:leader="none" w:pos="3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solely for the purpose of calculating the registration fee pursuant to Rule 457(a) under the Securities Act of 1933, as amended.</w:t>
      </w:r>
    </w:p>
    <w:p>
      <w:pPr>
        <w:spacing w:after="0" w:line="12" w:lineRule="exact"/>
        <w:rPr>
          <w:rFonts w:ascii="Times New Roman" w:cs="Times New Roman" w:eastAsia="Times New Roman" w:hAnsi="Times New Roman"/>
          <w:sz w:val="13"/>
          <w:szCs w:val="13"/>
          <w:color w:val="auto"/>
        </w:rPr>
      </w:pPr>
    </w:p>
    <w:p>
      <w:pPr>
        <w:ind w:left="320" w:hanging="312"/>
        <w:spacing w:after="0"/>
        <w:tabs>
          <w:tab w:leader="none" w:pos="3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 previously paid $16,365 of this amount with a prior filing of the Registration Statement.</w:t>
      </w:r>
    </w:p>
    <w:p>
      <w:pPr>
        <w:spacing w:after="0" w:line="42" w:lineRule="exact"/>
        <w:rPr>
          <w:sz w:val="24"/>
          <w:szCs w:val="24"/>
          <w:color w:val="auto"/>
        </w:rPr>
      </w:pPr>
    </w:p>
    <w:p>
      <w:pPr>
        <w:ind w:right="360"/>
        <w:spacing w:after="0" w:line="26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1260"/>
          </w:cols>
          <w:pgMar w:left="320" w:top="628" w:right="319" w:bottom="1440" w:gutter="0" w:footer="0" w:header="0"/>
        </w:sectPr>
      </w:pPr>
    </w:p>
    <w:bookmarkStart w:id="1" w:name="page2"/>
    <w:bookmarkEnd w:id="1"/>
    <w:p>
      <w:pPr>
        <w:ind w:right="100"/>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F1665F"/>
        </w:rPr>
        <w:t>SUBJECT TO COMPLETION, DATED NOVEMBER 30, 2020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8,825,000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6350</wp:posOffset>
            </wp:positionV>
            <wp:extent cx="2571750" cy="8401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17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Class A Common Stock</w:t>
      </w:r>
    </w:p>
    <w:p>
      <w:pPr>
        <w:spacing w:after="0" w:line="13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offering 8,825,000 shares of our Class A common stock. This is our initial public offering of our Class A common stock, and no public market currently exists for our Class A common stock. The rights of the holders of Class A common stock and Class B common stock are substantially identical, except with respect to voting and conversion. Each share of Class A common stock is entitled to one vote per share. Each share of Class B common stock is entitled to ten votes per share and is convertible at any time into one share of Class A common stock. Following this offering, the concurrent private placement, the secondary transaction and the voluntary conversion of certain shares of Class B common stock to Class A common stock, the outstanding shares of Class B common stock will represent approximately 53.1% of the voting power of our outstanding capital stock.</w:t>
      </w:r>
    </w:p>
    <w:p>
      <w:pPr>
        <w:spacing w:after="0" w:line="133"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We expect the initial public offering price to be between $16.00 and $18.00 per share. We have applied to list our Class A common stock on the Nasdaq Global Select Market under the symbol “SEER.”</w:t>
      </w:r>
    </w:p>
    <w:p>
      <w:pPr>
        <w:spacing w:after="0" w:line="10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defined under the federal securities laws and, as such, we have elected to comply with certain reduced reporting requirements for this prospectus and may elect to do so in future filings.</w:t>
      </w:r>
    </w:p>
    <w:p>
      <w:pPr>
        <w:spacing w:after="0" w:line="10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Fidelity Management &amp; Research Company LLC, SoftBank, certain funds and accounts advised by T. Rowe Price Associates, Inc. and aMoon Fund have entered into an agreement with us pursuant to which they have agreed, severally and not jointly, to purchase an aggregate of $135,000,000 of our Class A common stock in a private placement at a price per share equal to the initial public offering price. These transactions are contingent upon, and are scheduled to close immediately subsequent to, the closing of this offering.</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Investing in our Class A common stock involves a high degree of risk. Please read “Risk Factors” beginning on page 19 of this prospectus.</w:t>
      </w:r>
    </w:p>
    <w:p>
      <w:pPr>
        <w:spacing w:after="0" w:line="167"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560" w:type="dxa"/>
            <w:vAlign w:val="bottom"/>
            <w:tcBorders>
              <w:bottom w:val="single" w:sz="8" w:color="CCEEFF"/>
            </w:tcBorders>
            <w:shd w:val="clear" w:color="auto" w:fill="CCEEFF"/>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r>
      <w:tr>
        <w:trPr>
          <w:trHeight w:val="27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(1)</w:t>
            </w:r>
          </w:p>
        </w:tc>
        <w:tc>
          <w:tcPr>
            <w:tcW w:w="1560" w:type="dxa"/>
            <w:vAlign w:val="bottom"/>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1560" w:type="dxa"/>
            <w:vAlign w:val="bottom"/>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to Seer, Inc., before expenses</w:t>
            </w:r>
          </w:p>
        </w:tc>
        <w:tc>
          <w:tcPr>
            <w:tcW w:w="1560" w:type="dxa"/>
            <w:vAlign w:val="bottom"/>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560" w:type="dxa"/>
            <w:vAlign w:val="bottom"/>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“Underwriting” beginning on page 174 for additional information regarding underwriter compensation.</w:t>
      </w:r>
    </w:p>
    <w:p>
      <w:pPr>
        <w:spacing w:after="0" w:line="15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Delivery of the shares of Class A common stock is expected to be made on or about , 2020. We have granted the underwriters an option for a period of 30 days to purchase an additional 1,323,750 shares of our Class A common stock. If the underwriters exercise the option in full, the total</w:t>
      </w:r>
    </w:p>
    <w:p>
      <w:pPr>
        <w:spacing w:after="0"/>
        <w:tabs>
          <w:tab w:leader="none" w:pos="5460" w:val="left"/>
          <w:tab w:leader="none" w:pos="10060" w:val="left"/>
        </w:tabs>
        <w:rPr>
          <w:sz w:val="20"/>
          <w:szCs w:val="20"/>
          <w:color w:val="auto"/>
        </w:rPr>
      </w:pPr>
      <w:r>
        <w:rPr>
          <w:rFonts w:ascii="Times New Roman" w:cs="Times New Roman" w:eastAsia="Times New Roman" w:hAnsi="Times New Roman"/>
          <w:sz w:val="18"/>
          <w:szCs w:val="18"/>
          <w:color w:val="auto"/>
        </w:rPr>
        <w:t>underwriting discounts and commissions payable by us will be $</w:t>
      </w:r>
      <w:r>
        <w:rPr>
          <w:sz w:val="20"/>
          <w:szCs w:val="20"/>
          <w:color w:val="auto"/>
        </w:rPr>
        <w:tab/>
      </w:r>
      <w:r>
        <w:rPr>
          <w:rFonts w:ascii="Times New Roman" w:cs="Times New Roman" w:eastAsia="Times New Roman" w:hAnsi="Times New Roman"/>
          <w:sz w:val="18"/>
          <w:szCs w:val="18"/>
          <w:color w:val="auto"/>
        </w:rPr>
        <w:t>and the total proceeds to us, before expenses, will be $</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11240"/>
          </w:cols>
          <w:pgMar w:left="320" w:top="765" w:right="339" w:bottom="1440" w:gutter="0" w:footer="0" w:header="0"/>
        </w:sectPr>
      </w:pP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8"/>
          <w:szCs w:val="28"/>
          <w:b w:val="1"/>
          <w:bCs w:val="1"/>
          <w:color w:val="auto"/>
        </w:rPr>
        <w:t>J.P. Morgan</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Morgan Stanley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BofA Securities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Cowen</w:t>
      </w:r>
    </w:p>
    <w:p>
      <w:pPr>
        <w:spacing w:after="0" w:line="200" w:lineRule="exact"/>
        <w:rPr>
          <w:sz w:val="20"/>
          <w:szCs w:val="20"/>
          <w:color w:val="auto"/>
        </w:rPr>
      </w:pPr>
    </w:p>
    <w:p>
      <w:pPr>
        <w:sectPr>
          <w:pgSz w:w="11900" w:h="16838" w:orient="portrait"/>
          <w:cols w:equalWidth="0" w:num="4">
            <w:col w:w="2540" w:space="720"/>
            <w:col w:w="2600" w:space="720"/>
            <w:col w:w="3080" w:space="720"/>
            <w:col w:w="860"/>
          </w:cols>
          <w:pgMar w:left="320" w:top="765" w:right="339" w:bottom="1440" w:gutter="0" w:footer="0" w:header="0"/>
          <w:type w:val="continuous"/>
        </w:sectPr>
      </w:pPr>
    </w:p>
    <w:p>
      <w:pPr>
        <w:spacing w:after="0" w:line="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Prospectus dated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2020</w:t>
      </w:r>
    </w:p>
    <w:p>
      <w:pPr>
        <w:sectPr>
          <w:pgSz w:w="11900" w:h="16838" w:orient="portrait"/>
          <w:cols w:equalWidth="0" w:num="2">
            <w:col w:w="6240" w:space="720"/>
            <w:col w:w="4280"/>
          </w:cols>
          <w:pgMar w:left="320" w:top="765" w:right="339" w:bottom="1440" w:gutter="0" w:footer="0" w:header="0"/>
          <w:type w:val="continuous"/>
        </w:sectPr>
      </w:pPr>
    </w:p>
    <w:bookmarkStart w:id="2" w:name="page3"/>
    <w:bookmarkEnd w:id="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2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5"/>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PROSPECTUS SUMMARY</w:t>
              </w:r>
            </w:hyperlink>
          </w:p>
        </w:tc>
        <w:tc>
          <w:tcPr>
            <w:tcW w:w="480" w:type="dxa"/>
            <w:vAlign w:val="bottom"/>
            <w:gridSpan w:val="2"/>
          </w:tcPr>
          <w:p>
            <w:pPr>
              <w:jc w:val="center"/>
              <w:ind w:left="151"/>
              <w:spacing w:after="0"/>
              <w:rPr>
                <w:rFonts w:ascii="Times New Roman" w:cs="Times New Roman" w:eastAsia="Times New Roman" w:hAnsi="Times New Roman"/>
                <w:sz w:val="18"/>
                <w:szCs w:val="18"/>
                <w:u w:val="single" w:color="auto"/>
                <w:color w:val="0000FF"/>
                <w:w w:val="88"/>
              </w:rPr>
            </w:pPr>
            <w:hyperlink w:anchor="page3">
              <w:r>
                <w:rPr>
                  <w:rFonts w:ascii="Times New Roman" w:cs="Times New Roman" w:eastAsia="Times New Roman" w:hAnsi="Times New Roman"/>
                  <w:sz w:val="18"/>
                  <w:szCs w:val="18"/>
                  <w:u w:val="single" w:color="auto"/>
                  <w:color w:val="0000FF"/>
                  <w:w w:val="88"/>
                </w:rPr>
                <w:t>1</w:t>
              </w:r>
            </w:hyperlink>
          </w:p>
        </w:tc>
        <w:tc>
          <w:tcPr>
            <w:tcW w:w="240" w:type="dxa"/>
            <w:vAlign w:val="bottom"/>
          </w:tcPr>
          <w:p>
            <w:pPr>
              <w:spacing w:after="0"/>
              <w:rPr>
                <w:sz w:val="19"/>
                <w:szCs w:val="19"/>
                <w:color w:val="auto"/>
              </w:rPr>
            </w:pPr>
          </w:p>
        </w:tc>
      </w:tr>
      <w:tr>
        <w:trPr>
          <w:trHeight w:val="230"/>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18">
              <w:r>
                <w:rPr>
                  <w:rFonts w:ascii="Times New Roman" w:cs="Times New Roman" w:eastAsia="Times New Roman" w:hAnsi="Times New Roman"/>
                  <w:sz w:val="18"/>
                  <w:szCs w:val="18"/>
                  <w:u w:val="single" w:color="auto"/>
                  <w:color w:val="0000FF"/>
                </w:rPr>
                <w:t>GLOSSARY</w:t>
              </w:r>
            </w:hyperlink>
          </w:p>
        </w:tc>
        <w:tc>
          <w:tcPr>
            <w:tcW w:w="480" w:type="dxa"/>
            <w:vAlign w:val="bottom"/>
            <w:gridSpan w:val="2"/>
          </w:tcPr>
          <w:p>
            <w:pPr>
              <w:jc w:val="center"/>
              <w:ind w:left="131"/>
              <w:spacing w:after="0"/>
              <w:rPr>
                <w:rFonts w:ascii="Times New Roman" w:cs="Times New Roman" w:eastAsia="Times New Roman" w:hAnsi="Times New Roman"/>
                <w:sz w:val="18"/>
                <w:szCs w:val="18"/>
                <w:u w:val="single" w:color="auto"/>
                <w:color w:val="0000FF"/>
                <w:w w:val="99"/>
              </w:rPr>
            </w:pPr>
            <w:hyperlink w:anchor="page18">
              <w:r>
                <w:rPr>
                  <w:rFonts w:ascii="Times New Roman" w:cs="Times New Roman" w:eastAsia="Times New Roman" w:hAnsi="Times New Roman"/>
                  <w:sz w:val="18"/>
                  <w:szCs w:val="18"/>
                  <w:u w:val="single" w:color="auto"/>
                  <w:color w:val="0000FF"/>
                  <w:w w:val="99"/>
                </w:rPr>
                <w:t>16</w:t>
              </w:r>
            </w:hyperlink>
          </w:p>
        </w:tc>
        <w:tc>
          <w:tcPr>
            <w:tcW w:w="240" w:type="dxa"/>
            <w:vAlign w:val="bottom"/>
          </w:tcPr>
          <w:p>
            <w:pPr>
              <w:spacing w:after="0"/>
              <w:rPr>
                <w:sz w:val="19"/>
                <w:szCs w:val="19"/>
                <w:color w:val="auto"/>
              </w:rPr>
            </w:pPr>
          </w:p>
        </w:tc>
      </w:tr>
      <w:tr>
        <w:trPr>
          <w:trHeight w:val="229"/>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RISK FACTORS</w:t>
              </w:r>
            </w:hyperlink>
          </w:p>
        </w:tc>
        <w:tc>
          <w:tcPr>
            <w:tcW w:w="480" w:type="dxa"/>
            <w:vAlign w:val="bottom"/>
            <w:gridSpan w:val="2"/>
          </w:tcPr>
          <w:p>
            <w:pPr>
              <w:jc w:val="center"/>
              <w:ind w:left="131"/>
              <w:spacing w:after="0"/>
              <w:rPr>
                <w:rFonts w:ascii="Times New Roman" w:cs="Times New Roman" w:eastAsia="Times New Roman" w:hAnsi="Times New Roman"/>
                <w:sz w:val="18"/>
                <w:szCs w:val="18"/>
                <w:u w:val="single" w:color="auto"/>
                <w:color w:val="0000FF"/>
                <w:w w:val="99"/>
              </w:rPr>
            </w:pPr>
            <w:hyperlink w:anchor="page21">
              <w:r>
                <w:rPr>
                  <w:rFonts w:ascii="Times New Roman" w:cs="Times New Roman" w:eastAsia="Times New Roman" w:hAnsi="Times New Roman"/>
                  <w:sz w:val="18"/>
                  <w:szCs w:val="18"/>
                  <w:u w:val="single" w:color="auto"/>
                  <w:color w:val="0000FF"/>
                  <w:w w:val="99"/>
                </w:rPr>
                <w:t>19</w:t>
              </w:r>
            </w:hyperlink>
          </w:p>
        </w:tc>
        <w:tc>
          <w:tcPr>
            <w:tcW w:w="240" w:type="dxa"/>
            <w:vAlign w:val="bottom"/>
          </w:tcPr>
          <w:p>
            <w:pPr>
              <w:spacing w:after="0"/>
              <w:rPr>
                <w:sz w:val="19"/>
                <w:szCs w:val="19"/>
                <w:color w:val="auto"/>
              </w:rPr>
            </w:pPr>
          </w:p>
        </w:tc>
      </w:tr>
      <w:tr>
        <w:trPr>
          <w:trHeight w:val="229"/>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SPECIAL NOTE REGARDING FORWARD-LOOKING STATEMENTS</w:t>
              </w:r>
            </w:hyperlink>
          </w:p>
        </w:tc>
        <w:tc>
          <w:tcPr>
            <w:tcW w:w="480" w:type="dxa"/>
            <w:vAlign w:val="bottom"/>
            <w:gridSpan w:val="2"/>
          </w:tcPr>
          <w:p>
            <w:pPr>
              <w:jc w:val="center"/>
              <w:ind w:left="131"/>
              <w:spacing w:after="0"/>
              <w:rPr>
                <w:rFonts w:ascii="Times New Roman" w:cs="Times New Roman" w:eastAsia="Times New Roman" w:hAnsi="Times New Roman"/>
                <w:sz w:val="18"/>
                <w:szCs w:val="18"/>
                <w:u w:val="single" w:color="auto"/>
                <w:color w:val="0000FF"/>
                <w:w w:val="99"/>
              </w:rPr>
            </w:pPr>
            <w:hyperlink w:anchor="page63">
              <w:r>
                <w:rPr>
                  <w:rFonts w:ascii="Times New Roman" w:cs="Times New Roman" w:eastAsia="Times New Roman" w:hAnsi="Times New Roman"/>
                  <w:sz w:val="18"/>
                  <w:szCs w:val="18"/>
                  <w:u w:val="single" w:color="auto"/>
                  <w:color w:val="0000FF"/>
                  <w:w w:val="99"/>
                </w:rPr>
                <w:t>61</w:t>
              </w:r>
            </w:hyperlink>
          </w:p>
        </w:tc>
        <w:tc>
          <w:tcPr>
            <w:tcW w:w="240" w:type="dxa"/>
            <w:vAlign w:val="bottom"/>
          </w:tcPr>
          <w:p>
            <w:pPr>
              <w:spacing w:after="0"/>
              <w:rPr>
                <w:sz w:val="19"/>
                <w:szCs w:val="19"/>
                <w:color w:val="auto"/>
              </w:rPr>
            </w:pPr>
          </w:p>
        </w:tc>
      </w:tr>
      <w:tr>
        <w:trPr>
          <w:trHeight w:val="230"/>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MARKET, INDUSTRY AND OTHER DATA</w:t>
              </w:r>
            </w:hyperlink>
          </w:p>
        </w:tc>
        <w:tc>
          <w:tcPr>
            <w:tcW w:w="480" w:type="dxa"/>
            <w:vAlign w:val="bottom"/>
            <w:gridSpan w:val="2"/>
          </w:tcPr>
          <w:p>
            <w:pPr>
              <w:jc w:val="center"/>
              <w:ind w:left="131"/>
              <w:spacing w:after="0"/>
              <w:rPr>
                <w:rFonts w:ascii="Times New Roman" w:cs="Times New Roman" w:eastAsia="Times New Roman" w:hAnsi="Times New Roman"/>
                <w:sz w:val="18"/>
                <w:szCs w:val="18"/>
                <w:u w:val="single" w:color="auto"/>
                <w:color w:val="0000FF"/>
                <w:w w:val="99"/>
              </w:rPr>
            </w:pPr>
            <w:hyperlink w:anchor="page65">
              <w:r>
                <w:rPr>
                  <w:rFonts w:ascii="Times New Roman" w:cs="Times New Roman" w:eastAsia="Times New Roman" w:hAnsi="Times New Roman"/>
                  <w:sz w:val="18"/>
                  <w:szCs w:val="18"/>
                  <w:u w:val="single" w:color="auto"/>
                  <w:color w:val="0000FF"/>
                  <w:w w:val="99"/>
                </w:rPr>
                <w:t>63</w:t>
              </w:r>
            </w:hyperlink>
          </w:p>
        </w:tc>
        <w:tc>
          <w:tcPr>
            <w:tcW w:w="240" w:type="dxa"/>
            <w:vAlign w:val="bottom"/>
          </w:tcPr>
          <w:p>
            <w:pPr>
              <w:spacing w:after="0"/>
              <w:rPr>
                <w:sz w:val="19"/>
                <w:szCs w:val="19"/>
                <w:color w:val="auto"/>
              </w:rPr>
            </w:pPr>
          </w:p>
        </w:tc>
      </w:tr>
      <w:tr>
        <w:trPr>
          <w:trHeight w:val="229"/>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USE OF PROCEEDS</w:t>
              </w:r>
            </w:hyperlink>
          </w:p>
        </w:tc>
        <w:tc>
          <w:tcPr>
            <w:tcW w:w="480" w:type="dxa"/>
            <w:vAlign w:val="bottom"/>
            <w:gridSpan w:val="2"/>
          </w:tcPr>
          <w:p>
            <w:pPr>
              <w:jc w:val="center"/>
              <w:ind w:left="131"/>
              <w:spacing w:after="0"/>
              <w:rPr>
                <w:rFonts w:ascii="Times New Roman" w:cs="Times New Roman" w:eastAsia="Times New Roman" w:hAnsi="Times New Roman"/>
                <w:sz w:val="18"/>
                <w:szCs w:val="18"/>
                <w:u w:val="single" w:color="auto"/>
                <w:color w:val="0000FF"/>
                <w:w w:val="99"/>
              </w:rPr>
            </w:pPr>
            <w:hyperlink w:anchor="page66">
              <w:r>
                <w:rPr>
                  <w:rFonts w:ascii="Times New Roman" w:cs="Times New Roman" w:eastAsia="Times New Roman" w:hAnsi="Times New Roman"/>
                  <w:sz w:val="18"/>
                  <w:szCs w:val="18"/>
                  <w:u w:val="single" w:color="auto"/>
                  <w:color w:val="0000FF"/>
                  <w:w w:val="99"/>
                </w:rPr>
                <w:t>64</w:t>
              </w:r>
            </w:hyperlink>
          </w:p>
        </w:tc>
        <w:tc>
          <w:tcPr>
            <w:tcW w:w="240" w:type="dxa"/>
            <w:vAlign w:val="bottom"/>
          </w:tcPr>
          <w:p>
            <w:pPr>
              <w:spacing w:after="0"/>
              <w:rPr>
                <w:sz w:val="19"/>
                <w:szCs w:val="19"/>
                <w:color w:val="auto"/>
              </w:rPr>
            </w:pPr>
          </w:p>
        </w:tc>
      </w:tr>
      <w:tr>
        <w:trPr>
          <w:trHeight w:val="230"/>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DIVIDEND POLICY</w:t>
              </w:r>
            </w:hyperlink>
          </w:p>
        </w:tc>
        <w:tc>
          <w:tcPr>
            <w:tcW w:w="480" w:type="dxa"/>
            <w:vAlign w:val="bottom"/>
            <w:gridSpan w:val="2"/>
          </w:tcPr>
          <w:p>
            <w:pPr>
              <w:jc w:val="center"/>
              <w:ind w:left="131"/>
              <w:spacing w:after="0"/>
              <w:rPr>
                <w:rFonts w:ascii="Times New Roman" w:cs="Times New Roman" w:eastAsia="Times New Roman" w:hAnsi="Times New Roman"/>
                <w:sz w:val="18"/>
                <w:szCs w:val="18"/>
                <w:u w:val="single" w:color="auto"/>
                <w:color w:val="0000FF"/>
                <w:w w:val="99"/>
              </w:rPr>
            </w:pPr>
            <w:hyperlink w:anchor="page67">
              <w:r>
                <w:rPr>
                  <w:rFonts w:ascii="Times New Roman" w:cs="Times New Roman" w:eastAsia="Times New Roman" w:hAnsi="Times New Roman"/>
                  <w:sz w:val="18"/>
                  <w:szCs w:val="18"/>
                  <w:u w:val="single" w:color="auto"/>
                  <w:color w:val="0000FF"/>
                  <w:w w:val="99"/>
                </w:rPr>
                <w:t>65</w:t>
              </w:r>
            </w:hyperlink>
          </w:p>
        </w:tc>
        <w:tc>
          <w:tcPr>
            <w:tcW w:w="240" w:type="dxa"/>
            <w:vAlign w:val="bottom"/>
          </w:tcPr>
          <w:p>
            <w:pPr>
              <w:spacing w:after="0"/>
              <w:rPr>
                <w:sz w:val="19"/>
                <w:szCs w:val="19"/>
                <w:color w:val="auto"/>
              </w:rPr>
            </w:pPr>
          </w:p>
        </w:tc>
      </w:tr>
      <w:tr>
        <w:trPr>
          <w:trHeight w:val="229"/>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CAPITALIZATION</w:t>
              </w:r>
            </w:hyperlink>
          </w:p>
        </w:tc>
        <w:tc>
          <w:tcPr>
            <w:tcW w:w="480" w:type="dxa"/>
            <w:vAlign w:val="bottom"/>
            <w:gridSpan w:val="2"/>
          </w:tcPr>
          <w:p>
            <w:pPr>
              <w:jc w:val="center"/>
              <w:ind w:left="131"/>
              <w:spacing w:after="0"/>
              <w:rPr>
                <w:rFonts w:ascii="Times New Roman" w:cs="Times New Roman" w:eastAsia="Times New Roman" w:hAnsi="Times New Roman"/>
                <w:sz w:val="18"/>
                <w:szCs w:val="18"/>
                <w:u w:val="single" w:color="auto"/>
                <w:color w:val="0000FF"/>
                <w:w w:val="99"/>
              </w:rPr>
            </w:pPr>
            <w:hyperlink w:anchor="page68">
              <w:r>
                <w:rPr>
                  <w:rFonts w:ascii="Times New Roman" w:cs="Times New Roman" w:eastAsia="Times New Roman" w:hAnsi="Times New Roman"/>
                  <w:sz w:val="18"/>
                  <w:szCs w:val="18"/>
                  <w:u w:val="single" w:color="auto"/>
                  <w:color w:val="0000FF"/>
                  <w:w w:val="99"/>
                </w:rPr>
                <w:t>66</w:t>
              </w:r>
            </w:hyperlink>
          </w:p>
        </w:tc>
        <w:tc>
          <w:tcPr>
            <w:tcW w:w="240" w:type="dxa"/>
            <w:vAlign w:val="bottom"/>
          </w:tcPr>
          <w:p>
            <w:pPr>
              <w:spacing w:after="0"/>
              <w:rPr>
                <w:sz w:val="19"/>
                <w:szCs w:val="19"/>
                <w:color w:val="auto"/>
              </w:rPr>
            </w:pPr>
          </w:p>
        </w:tc>
      </w:tr>
      <w:tr>
        <w:trPr>
          <w:trHeight w:val="229"/>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DILUTION</w:t>
              </w:r>
            </w:hyperlink>
          </w:p>
        </w:tc>
        <w:tc>
          <w:tcPr>
            <w:tcW w:w="480" w:type="dxa"/>
            <w:vAlign w:val="bottom"/>
            <w:gridSpan w:val="2"/>
          </w:tcPr>
          <w:p>
            <w:pPr>
              <w:jc w:val="center"/>
              <w:ind w:left="131"/>
              <w:spacing w:after="0"/>
              <w:rPr>
                <w:rFonts w:ascii="Times New Roman" w:cs="Times New Roman" w:eastAsia="Times New Roman" w:hAnsi="Times New Roman"/>
                <w:sz w:val="18"/>
                <w:szCs w:val="18"/>
                <w:u w:val="single" w:color="auto"/>
                <w:color w:val="0000FF"/>
                <w:w w:val="99"/>
              </w:rPr>
            </w:pPr>
            <w:hyperlink w:anchor="page71">
              <w:r>
                <w:rPr>
                  <w:rFonts w:ascii="Times New Roman" w:cs="Times New Roman" w:eastAsia="Times New Roman" w:hAnsi="Times New Roman"/>
                  <w:sz w:val="18"/>
                  <w:szCs w:val="18"/>
                  <w:u w:val="single" w:color="auto"/>
                  <w:color w:val="0000FF"/>
                  <w:w w:val="99"/>
                </w:rPr>
                <w:t>69</w:t>
              </w:r>
            </w:hyperlink>
          </w:p>
        </w:tc>
        <w:tc>
          <w:tcPr>
            <w:tcW w:w="240" w:type="dxa"/>
            <w:vAlign w:val="bottom"/>
          </w:tcPr>
          <w:p>
            <w:pPr>
              <w:spacing w:after="0"/>
              <w:rPr>
                <w:sz w:val="19"/>
                <w:szCs w:val="19"/>
                <w:color w:val="auto"/>
              </w:rPr>
            </w:pPr>
          </w:p>
        </w:tc>
      </w:tr>
      <w:tr>
        <w:trPr>
          <w:trHeight w:val="194"/>
        </w:trPr>
        <w:tc>
          <w:tcPr>
            <w:tcW w:w="244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8"/>
              </w:rPr>
            </w:pPr>
            <w:hyperlink w:anchor="page74">
              <w:r>
                <w:rPr>
                  <w:rFonts w:ascii="Times New Roman" w:cs="Times New Roman" w:eastAsia="Times New Roman" w:hAnsi="Times New Roman"/>
                  <w:sz w:val="18"/>
                  <w:szCs w:val="18"/>
                  <w:color w:val="0000FF"/>
                  <w:w w:val="98"/>
                </w:rPr>
                <w:t>SELECTED FINANCIAL DATA</w:t>
              </w:r>
            </w:hyperlink>
          </w:p>
        </w:tc>
        <w:tc>
          <w:tcPr>
            <w:tcW w:w="8060" w:type="dxa"/>
            <w:vAlign w:val="bottom"/>
            <w:gridSpan w:val="2"/>
          </w:tcPr>
          <w:p>
            <w:pPr>
              <w:spacing w:after="0"/>
              <w:rPr>
                <w:sz w:val="16"/>
                <w:szCs w:val="16"/>
                <w:color w:val="auto"/>
              </w:rPr>
            </w:pPr>
          </w:p>
        </w:tc>
        <w:tc>
          <w:tcPr>
            <w:tcW w:w="480" w:type="dxa"/>
            <w:vAlign w:val="bottom"/>
            <w:gridSpan w:val="2"/>
          </w:tcPr>
          <w:p>
            <w:pPr>
              <w:jc w:val="center"/>
              <w:ind w:left="131"/>
              <w:spacing w:after="0" w:line="194" w:lineRule="exact"/>
              <w:rPr>
                <w:rFonts w:ascii="Times New Roman" w:cs="Times New Roman" w:eastAsia="Times New Roman" w:hAnsi="Times New Roman"/>
                <w:sz w:val="18"/>
                <w:szCs w:val="18"/>
                <w:u w:val="single" w:color="auto"/>
                <w:color w:val="0000FF"/>
                <w:w w:val="99"/>
              </w:rPr>
            </w:pPr>
            <w:hyperlink w:anchor="page74">
              <w:r>
                <w:rPr>
                  <w:rFonts w:ascii="Times New Roman" w:cs="Times New Roman" w:eastAsia="Times New Roman" w:hAnsi="Times New Roman"/>
                  <w:sz w:val="18"/>
                  <w:szCs w:val="18"/>
                  <w:u w:val="single" w:color="auto"/>
                  <w:color w:val="0000FF"/>
                  <w:w w:val="99"/>
                </w:rPr>
                <w:t>72</w:t>
              </w:r>
            </w:hyperlink>
          </w:p>
        </w:tc>
        <w:tc>
          <w:tcPr>
            <w:tcW w:w="240" w:type="dxa"/>
            <w:vAlign w:val="bottom"/>
          </w:tcPr>
          <w:p>
            <w:pPr>
              <w:spacing w:after="0"/>
              <w:rPr>
                <w:sz w:val="16"/>
                <w:szCs w:val="16"/>
                <w:color w:val="auto"/>
              </w:rPr>
            </w:pPr>
          </w:p>
        </w:tc>
      </w:tr>
      <w:tr>
        <w:trPr>
          <w:trHeight w:val="245"/>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480" w:type="dxa"/>
            <w:vAlign w:val="bottom"/>
            <w:gridSpan w:val="2"/>
          </w:tcPr>
          <w:p>
            <w:pPr>
              <w:jc w:val="center"/>
              <w:ind w:left="131"/>
              <w:spacing w:after="0"/>
              <w:rPr>
                <w:rFonts w:ascii="Times New Roman" w:cs="Times New Roman" w:eastAsia="Times New Roman" w:hAnsi="Times New Roman"/>
                <w:sz w:val="18"/>
                <w:szCs w:val="18"/>
                <w:u w:val="single" w:color="auto"/>
                <w:color w:val="0000FF"/>
                <w:w w:val="99"/>
              </w:rPr>
            </w:pPr>
            <w:hyperlink w:anchor="page76">
              <w:r>
                <w:rPr>
                  <w:rFonts w:ascii="Times New Roman" w:cs="Times New Roman" w:eastAsia="Times New Roman" w:hAnsi="Times New Roman"/>
                  <w:sz w:val="18"/>
                  <w:szCs w:val="18"/>
                  <w:u w:val="single" w:color="auto"/>
                  <w:color w:val="0000FF"/>
                  <w:w w:val="99"/>
                </w:rPr>
                <w:t>74</w:t>
              </w:r>
            </w:hyperlink>
          </w:p>
        </w:tc>
        <w:tc>
          <w:tcPr>
            <w:tcW w:w="240" w:type="dxa"/>
            <w:vAlign w:val="bottom"/>
          </w:tcPr>
          <w:p>
            <w:pPr>
              <w:spacing w:after="0"/>
              <w:rPr>
                <w:sz w:val="21"/>
                <w:szCs w:val="21"/>
                <w:color w:val="auto"/>
              </w:rPr>
            </w:pPr>
          </w:p>
        </w:tc>
      </w:tr>
      <w:tr>
        <w:trPr>
          <w:trHeight w:val="230"/>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BUSINESS</w:t>
              </w:r>
            </w:hyperlink>
          </w:p>
        </w:tc>
        <w:tc>
          <w:tcPr>
            <w:tcW w:w="480" w:type="dxa"/>
            <w:vAlign w:val="bottom"/>
            <w:gridSpan w:val="2"/>
          </w:tcPr>
          <w:p>
            <w:pPr>
              <w:jc w:val="center"/>
              <w:ind w:left="131"/>
              <w:spacing w:after="0"/>
              <w:rPr>
                <w:rFonts w:ascii="Times New Roman" w:cs="Times New Roman" w:eastAsia="Times New Roman" w:hAnsi="Times New Roman"/>
                <w:sz w:val="18"/>
                <w:szCs w:val="18"/>
                <w:u w:val="single" w:color="auto"/>
                <w:color w:val="0000FF"/>
                <w:w w:val="99"/>
              </w:rPr>
            </w:pPr>
            <w:hyperlink w:anchor="page91">
              <w:r>
                <w:rPr>
                  <w:rFonts w:ascii="Times New Roman" w:cs="Times New Roman" w:eastAsia="Times New Roman" w:hAnsi="Times New Roman"/>
                  <w:sz w:val="18"/>
                  <w:szCs w:val="18"/>
                  <w:u w:val="single" w:color="auto"/>
                  <w:color w:val="0000FF"/>
                  <w:w w:val="99"/>
                </w:rPr>
                <w:t>89</w:t>
              </w:r>
            </w:hyperlink>
          </w:p>
        </w:tc>
        <w:tc>
          <w:tcPr>
            <w:tcW w:w="240" w:type="dxa"/>
            <w:vAlign w:val="bottom"/>
          </w:tcPr>
          <w:p>
            <w:pPr>
              <w:spacing w:after="0"/>
              <w:rPr>
                <w:sz w:val="19"/>
                <w:szCs w:val="19"/>
                <w:color w:val="auto"/>
              </w:rPr>
            </w:pPr>
          </w:p>
        </w:tc>
      </w:tr>
      <w:tr>
        <w:trPr>
          <w:trHeight w:val="229"/>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128">
              <w:r>
                <w:rPr>
                  <w:rFonts w:ascii="Times New Roman" w:cs="Times New Roman" w:eastAsia="Times New Roman" w:hAnsi="Times New Roman"/>
                  <w:sz w:val="18"/>
                  <w:szCs w:val="18"/>
                  <w:u w:val="single" w:color="auto"/>
                  <w:color w:val="0000FF"/>
                </w:rPr>
                <w:t>MANAGEMENT</w:t>
              </w:r>
            </w:hyperlink>
          </w:p>
        </w:tc>
        <w:tc>
          <w:tcPr>
            <w:tcW w:w="720" w:type="dxa"/>
            <w:vAlign w:val="bottom"/>
            <w:gridSpan w:val="3"/>
          </w:tcPr>
          <w:p>
            <w:pPr>
              <w:jc w:val="center"/>
              <w:spacing w:after="0"/>
              <w:rPr>
                <w:rFonts w:ascii="Times New Roman" w:cs="Times New Roman" w:eastAsia="Times New Roman" w:hAnsi="Times New Roman"/>
                <w:sz w:val="18"/>
                <w:szCs w:val="18"/>
                <w:u w:val="single" w:color="auto"/>
                <w:color w:val="0000FF"/>
              </w:rPr>
            </w:pPr>
            <w:hyperlink w:anchor="page128">
              <w:r>
                <w:rPr>
                  <w:rFonts w:ascii="Times New Roman" w:cs="Times New Roman" w:eastAsia="Times New Roman" w:hAnsi="Times New Roman"/>
                  <w:sz w:val="18"/>
                  <w:szCs w:val="18"/>
                  <w:u w:val="single" w:color="auto"/>
                  <w:color w:val="0000FF"/>
                </w:rPr>
                <w:t>126</w:t>
              </w:r>
            </w:hyperlink>
          </w:p>
        </w:tc>
      </w:tr>
      <w:tr>
        <w:trPr>
          <w:trHeight w:val="229"/>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138">
              <w:r>
                <w:rPr>
                  <w:rFonts w:ascii="Times New Roman" w:cs="Times New Roman" w:eastAsia="Times New Roman" w:hAnsi="Times New Roman"/>
                  <w:sz w:val="18"/>
                  <w:szCs w:val="18"/>
                  <w:u w:val="single" w:color="auto"/>
                  <w:color w:val="0000FF"/>
                </w:rPr>
                <w:t>EXECUTIVE COMPENSATION</w:t>
              </w:r>
            </w:hyperlink>
          </w:p>
        </w:tc>
        <w:tc>
          <w:tcPr>
            <w:tcW w:w="720" w:type="dxa"/>
            <w:vAlign w:val="bottom"/>
            <w:gridSpan w:val="3"/>
          </w:tcPr>
          <w:p>
            <w:pPr>
              <w:jc w:val="center"/>
              <w:spacing w:after="0"/>
              <w:rPr>
                <w:rFonts w:ascii="Times New Roman" w:cs="Times New Roman" w:eastAsia="Times New Roman" w:hAnsi="Times New Roman"/>
                <w:sz w:val="18"/>
                <w:szCs w:val="18"/>
                <w:u w:val="single" w:color="auto"/>
                <w:color w:val="0000FF"/>
              </w:rPr>
            </w:pPr>
            <w:hyperlink w:anchor="page138">
              <w:r>
                <w:rPr>
                  <w:rFonts w:ascii="Times New Roman" w:cs="Times New Roman" w:eastAsia="Times New Roman" w:hAnsi="Times New Roman"/>
                  <w:sz w:val="18"/>
                  <w:szCs w:val="18"/>
                  <w:u w:val="single" w:color="auto"/>
                  <w:color w:val="0000FF"/>
                </w:rPr>
                <w:t>136</w:t>
              </w:r>
            </w:hyperlink>
          </w:p>
        </w:tc>
      </w:tr>
      <w:tr>
        <w:trPr>
          <w:trHeight w:val="230"/>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154">
              <w:r>
                <w:rPr>
                  <w:rFonts w:ascii="Times New Roman" w:cs="Times New Roman" w:eastAsia="Times New Roman" w:hAnsi="Times New Roman"/>
                  <w:sz w:val="18"/>
                  <w:szCs w:val="18"/>
                  <w:u w:val="single" w:color="auto"/>
                  <w:color w:val="0000FF"/>
                </w:rPr>
                <w:t>CERTAIN RELATIONSHIPS AND RELATED-PARTY TRANSACTIONS</w:t>
              </w:r>
            </w:hyperlink>
          </w:p>
        </w:tc>
        <w:tc>
          <w:tcPr>
            <w:tcW w:w="720" w:type="dxa"/>
            <w:vAlign w:val="bottom"/>
            <w:gridSpan w:val="3"/>
          </w:tcPr>
          <w:p>
            <w:pPr>
              <w:jc w:val="center"/>
              <w:spacing w:after="0"/>
              <w:rPr>
                <w:rFonts w:ascii="Times New Roman" w:cs="Times New Roman" w:eastAsia="Times New Roman" w:hAnsi="Times New Roman"/>
                <w:sz w:val="18"/>
                <w:szCs w:val="18"/>
                <w:u w:val="single" w:color="auto"/>
                <w:color w:val="0000FF"/>
              </w:rPr>
            </w:pPr>
            <w:hyperlink w:anchor="page154">
              <w:r>
                <w:rPr>
                  <w:rFonts w:ascii="Times New Roman" w:cs="Times New Roman" w:eastAsia="Times New Roman" w:hAnsi="Times New Roman"/>
                  <w:sz w:val="18"/>
                  <w:szCs w:val="18"/>
                  <w:u w:val="single" w:color="auto"/>
                  <w:color w:val="0000FF"/>
                </w:rPr>
                <w:t>152</w:t>
              </w:r>
            </w:hyperlink>
          </w:p>
        </w:tc>
      </w:tr>
      <w:tr>
        <w:trPr>
          <w:trHeight w:val="229"/>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160">
              <w:r>
                <w:rPr>
                  <w:rFonts w:ascii="Times New Roman" w:cs="Times New Roman" w:eastAsia="Times New Roman" w:hAnsi="Times New Roman"/>
                  <w:sz w:val="18"/>
                  <w:szCs w:val="18"/>
                  <w:u w:val="single" w:color="auto"/>
                  <w:color w:val="0000FF"/>
                </w:rPr>
                <w:t>PRINCIPAL STOCKHOLDERS</w:t>
              </w:r>
            </w:hyperlink>
          </w:p>
        </w:tc>
        <w:tc>
          <w:tcPr>
            <w:tcW w:w="720" w:type="dxa"/>
            <w:vAlign w:val="bottom"/>
            <w:gridSpan w:val="3"/>
          </w:tcPr>
          <w:p>
            <w:pPr>
              <w:jc w:val="center"/>
              <w:spacing w:after="0"/>
              <w:rPr>
                <w:rFonts w:ascii="Times New Roman" w:cs="Times New Roman" w:eastAsia="Times New Roman" w:hAnsi="Times New Roman"/>
                <w:sz w:val="18"/>
                <w:szCs w:val="18"/>
                <w:u w:val="single" w:color="auto"/>
                <w:color w:val="0000FF"/>
              </w:rPr>
            </w:pPr>
            <w:hyperlink w:anchor="page160">
              <w:r>
                <w:rPr>
                  <w:rFonts w:ascii="Times New Roman" w:cs="Times New Roman" w:eastAsia="Times New Roman" w:hAnsi="Times New Roman"/>
                  <w:sz w:val="18"/>
                  <w:szCs w:val="18"/>
                  <w:u w:val="single" w:color="auto"/>
                  <w:color w:val="0000FF"/>
                </w:rPr>
                <w:t>158</w:t>
              </w:r>
            </w:hyperlink>
          </w:p>
        </w:tc>
      </w:tr>
      <w:tr>
        <w:trPr>
          <w:trHeight w:val="229"/>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163">
              <w:r>
                <w:rPr>
                  <w:rFonts w:ascii="Times New Roman" w:cs="Times New Roman" w:eastAsia="Times New Roman" w:hAnsi="Times New Roman"/>
                  <w:sz w:val="18"/>
                  <w:szCs w:val="18"/>
                  <w:u w:val="single" w:color="auto"/>
                  <w:color w:val="0000FF"/>
                </w:rPr>
                <w:t>DESCRIPTION OF CAPITAL STOCK</w:t>
              </w:r>
            </w:hyperlink>
          </w:p>
        </w:tc>
        <w:tc>
          <w:tcPr>
            <w:tcW w:w="720" w:type="dxa"/>
            <w:vAlign w:val="bottom"/>
            <w:gridSpan w:val="3"/>
          </w:tcPr>
          <w:p>
            <w:pPr>
              <w:jc w:val="center"/>
              <w:spacing w:after="0"/>
              <w:rPr>
                <w:rFonts w:ascii="Times New Roman" w:cs="Times New Roman" w:eastAsia="Times New Roman" w:hAnsi="Times New Roman"/>
                <w:sz w:val="18"/>
                <w:szCs w:val="18"/>
                <w:u w:val="single" w:color="auto"/>
                <w:color w:val="0000FF"/>
              </w:rPr>
            </w:pPr>
            <w:hyperlink w:anchor="page163">
              <w:r>
                <w:rPr>
                  <w:rFonts w:ascii="Times New Roman" w:cs="Times New Roman" w:eastAsia="Times New Roman" w:hAnsi="Times New Roman"/>
                  <w:sz w:val="18"/>
                  <w:szCs w:val="18"/>
                  <w:u w:val="single" w:color="auto"/>
                  <w:color w:val="0000FF"/>
                </w:rPr>
                <w:t>161</w:t>
              </w:r>
            </w:hyperlink>
          </w:p>
        </w:tc>
      </w:tr>
      <w:tr>
        <w:trPr>
          <w:trHeight w:val="230"/>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169">
              <w:r>
                <w:rPr>
                  <w:rFonts w:ascii="Times New Roman" w:cs="Times New Roman" w:eastAsia="Times New Roman" w:hAnsi="Times New Roman"/>
                  <w:sz w:val="18"/>
                  <w:szCs w:val="18"/>
                  <w:u w:val="single" w:color="auto"/>
                  <w:color w:val="0000FF"/>
                </w:rPr>
                <w:t>SHARES ELIGIBLE FOR FUTURE SALE</w:t>
              </w:r>
            </w:hyperlink>
          </w:p>
        </w:tc>
        <w:tc>
          <w:tcPr>
            <w:tcW w:w="720" w:type="dxa"/>
            <w:vAlign w:val="bottom"/>
            <w:gridSpan w:val="3"/>
          </w:tcPr>
          <w:p>
            <w:pPr>
              <w:jc w:val="center"/>
              <w:spacing w:after="0"/>
              <w:rPr>
                <w:rFonts w:ascii="Times New Roman" w:cs="Times New Roman" w:eastAsia="Times New Roman" w:hAnsi="Times New Roman"/>
                <w:sz w:val="18"/>
                <w:szCs w:val="18"/>
                <w:u w:val="single" w:color="auto"/>
                <w:color w:val="0000FF"/>
              </w:rPr>
            </w:pPr>
            <w:hyperlink w:anchor="page169">
              <w:r>
                <w:rPr>
                  <w:rFonts w:ascii="Times New Roman" w:cs="Times New Roman" w:eastAsia="Times New Roman" w:hAnsi="Times New Roman"/>
                  <w:sz w:val="18"/>
                  <w:szCs w:val="18"/>
                  <w:u w:val="single" w:color="auto"/>
                  <w:color w:val="0000FF"/>
                </w:rPr>
                <w:t>167</w:t>
              </w:r>
            </w:hyperlink>
          </w:p>
        </w:tc>
      </w:tr>
      <w:tr>
        <w:trPr>
          <w:trHeight w:val="229"/>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172">
              <w:r>
                <w:rPr>
                  <w:rFonts w:ascii="Times New Roman" w:cs="Times New Roman" w:eastAsia="Times New Roman" w:hAnsi="Times New Roman"/>
                  <w:sz w:val="18"/>
                  <w:szCs w:val="18"/>
                  <w:u w:val="single" w:color="auto"/>
                  <w:color w:val="0000FF"/>
                </w:rPr>
                <w:t>MATERIAL U.S. FEDERAL INCOME AND TAX CONSIDERATIONS FOR NON-U.S. HOLDERS OF OUR COMMON STOCK</w:t>
              </w:r>
            </w:hyperlink>
          </w:p>
        </w:tc>
        <w:tc>
          <w:tcPr>
            <w:tcW w:w="720" w:type="dxa"/>
            <w:vAlign w:val="bottom"/>
            <w:gridSpan w:val="3"/>
          </w:tcPr>
          <w:p>
            <w:pPr>
              <w:jc w:val="center"/>
              <w:spacing w:after="0"/>
              <w:rPr>
                <w:rFonts w:ascii="Times New Roman" w:cs="Times New Roman" w:eastAsia="Times New Roman" w:hAnsi="Times New Roman"/>
                <w:sz w:val="18"/>
                <w:szCs w:val="18"/>
                <w:u w:val="single" w:color="auto"/>
                <w:color w:val="0000FF"/>
              </w:rPr>
            </w:pPr>
            <w:hyperlink w:anchor="page172">
              <w:r>
                <w:rPr>
                  <w:rFonts w:ascii="Times New Roman" w:cs="Times New Roman" w:eastAsia="Times New Roman" w:hAnsi="Times New Roman"/>
                  <w:sz w:val="18"/>
                  <w:szCs w:val="18"/>
                  <w:u w:val="single" w:color="auto"/>
                  <w:color w:val="0000FF"/>
                </w:rPr>
                <w:t>170</w:t>
              </w:r>
            </w:hyperlink>
          </w:p>
        </w:tc>
      </w:tr>
      <w:tr>
        <w:trPr>
          <w:trHeight w:val="230"/>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176">
              <w:r>
                <w:rPr>
                  <w:rFonts w:ascii="Times New Roman" w:cs="Times New Roman" w:eastAsia="Times New Roman" w:hAnsi="Times New Roman"/>
                  <w:sz w:val="18"/>
                  <w:szCs w:val="18"/>
                  <w:u w:val="single" w:color="auto"/>
                  <w:color w:val="0000FF"/>
                </w:rPr>
                <w:t>UNDERWRITING</w:t>
              </w:r>
            </w:hyperlink>
          </w:p>
        </w:tc>
        <w:tc>
          <w:tcPr>
            <w:tcW w:w="720" w:type="dxa"/>
            <w:vAlign w:val="bottom"/>
            <w:gridSpan w:val="3"/>
          </w:tcPr>
          <w:p>
            <w:pPr>
              <w:jc w:val="center"/>
              <w:spacing w:after="0"/>
              <w:rPr>
                <w:rFonts w:ascii="Times New Roman" w:cs="Times New Roman" w:eastAsia="Times New Roman" w:hAnsi="Times New Roman"/>
                <w:sz w:val="18"/>
                <w:szCs w:val="18"/>
                <w:u w:val="single" w:color="auto"/>
                <w:color w:val="0000FF"/>
              </w:rPr>
            </w:pPr>
            <w:hyperlink w:anchor="page176">
              <w:r>
                <w:rPr>
                  <w:rFonts w:ascii="Times New Roman" w:cs="Times New Roman" w:eastAsia="Times New Roman" w:hAnsi="Times New Roman"/>
                  <w:sz w:val="18"/>
                  <w:szCs w:val="18"/>
                  <w:u w:val="single" w:color="auto"/>
                  <w:color w:val="0000FF"/>
                </w:rPr>
                <w:t>174</w:t>
              </w:r>
            </w:hyperlink>
          </w:p>
        </w:tc>
      </w:tr>
      <w:tr>
        <w:trPr>
          <w:trHeight w:val="230"/>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186">
              <w:r>
                <w:rPr>
                  <w:rFonts w:ascii="Times New Roman" w:cs="Times New Roman" w:eastAsia="Times New Roman" w:hAnsi="Times New Roman"/>
                  <w:sz w:val="18"/>
                  <w:szCs w:val="18"/>
                  <w:u w:val="single" w:color="auto"/>
                  <w:color w:val="0000FF"/>
                </w:rPr>
                <w:t>CONCURRENT PRIVATE PLACEMENT</w:t>
              </w:r>
            </w:hyperlink>
          </w:p>
        </w:tc>
        <w:tc>
          <w:tcPr>
            <w:tcW w:w="720" w:type="dxa"/>
            <w:vAlign w:val="bottom"/>
            <w:gridSpan w:val="3"/>
          </w:tcPr>
          <w:p>
            <w:pPr>
              <w:jc w:val="center"/>
              <w:spacing w:after="0"/>
              <w:rPr>
                <w:rFonts w:ascii="Times New Roman" w:cs="Times New Roman" w:eastAsia="Times New Roman" w:hAnsi="Times New Roman"/>
                <w:sz w:val="18"/>
                <w:szCs w:val="18"/>
                <w:u w:val="single" w:color="auto"/>
                <w:color w:val="0000FF"/>
              </w:rPr>
            </w:pPr>
            <w:hyperlink w:anchor="page186">
              <w:r>
                <w:rPr>
                  <w:rFonts w:ascii="Times New Roman" w:cs="Times New Roman" w:eastAsia="Times New Roman" w:hAnsi="Times New Roman"/>
                  <w:sz w:val="18"/>
                  <w:szCs w:val="18"/>
                  <w:u w:val="single" w:color="auto"/>
                  <w:color w:val="0000FF"/>
                </w:rPr>
                <w:t>184</w:t>
              </w:r>
            </w:hyperlink>
          </w:p>
        </w:tc>
      </w:tr>
      <w:tr>
        <w:trPr>
          <w:trHeight w:val="230"/>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187">
              <w:r>
                <w:rPr>
                  <w:rFonts w:ascii="Times New Roman" w:cs="Times New Roman" w:eastAsia="Times New Roman" w:hAnsi="Times New Roman"/>
                  <w:sz w:val="18"/>
                  <w:szCs w:val="18"/>
                  <w:u w:val="single" w:color="auto"/>
                  <w:color w:val="0000FF"/>
                </w:rPr>
                <w:t>LEGAL MATTERS</w:t>
              </w:r>
            </w:hyperlink>
          </w:p>
        </w:tc>
        <w:tc>
          <w:tcPr>
            <w:tcW w:w="720" w:type="dxa"/>
            <w:vAlign w:val="bottom"/>
            <w:gridSpan w:val="3"/>
          </w:tcPr>
          <w:p>
            <w:pPr>
              <w:jc w:val="center"/>
              <w:spacing w:after="0"/>
              <w:rPr>
                <w:rFonts w:ascii="Times New Roman" w:cs="Times New Roman" w:eastAsia="Times New Roman" w:hAnsi="Times New Roman"/>
                <w:sz w:val="18"/>
                <w:szCs w:val="18"/>
                <w:u w:val="single" w:color="auto"/>
                <w:color w:val="0000FF"/>
              </w:rPr>
            </w:pPr>
            <w:hyperlink w:anchor="page187">
              <w:r>
                <w:rPr>
                  <w:rFonts w:ascii="Times New Roman" w:cs="Times New Roman" w:eastAsia="Times New Roman" w:hAnsi="Times New Roman"/>
                  <w:sz w:val="18"/>
                  <w:szCs w:val="18"/>
                  <w:u w:val="single" w:color="auto"/>
                  <w:color w:val="0000FF"/>
                </w:rPr>
                <w:t>185</w:t>
              </w:r>
            </w:hyperlink>
          </w:p>
        </w:tc>
      </w:tr>
      <w:tr>
        <w:trPr>
          <w:trHeight w:val="229"/>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188">
              <w:r>
                <w:rPr>
                  <w:rFonts w:ascii="Times New Roman" w:cs="Times New Roman" w:eastAsia="Times New Roman" w:hAnsi="Times New Roman"/>
                  <w:sz w:val="18"/>
                  <w:szCs w:val="18"/>
                  <w:u w:val="single" w:color="auto"/>
                  <w:color w:val="0000FF"/>
                </w:rPr>
                <w:t>EXPERTS</w:t>
              </w:r>
            </w:hyperlink>
          </w:p>
        </w:tc>
        <w:tc>
          <w:tcPr>
            <w:tcW w:w="720" w:type="dxa"/>
            <w:vAlign w:val="bottom"/>
            <w:gridSpan w:val="3"/>
          </w:tcPr>
          <w:p>
            <w:pPr>
              <w:jc w:val="center"/>
              <w:spacing w:after="0"/>
              <w:rPr>
                <w:rFonts w:ascii="Times New Roman" w:cs="Times New Roman" w:eastAsia="Times New Roman" w:hAnsi="Times New Roman"/>
                <w:sz w:val="18"/>
                <w:szCs w:val="18"/>
                <w:u w:val="single" w:color="auto"/>
                <w:color w:val="0000FF"/>
              </w:rPr>
            </w:pPr>
            <w:hyperlink w:anchor="page188">
              <w:r>
                <w:rPr>
                  <w:rFonts w:ascii="Times New Roman" w:cs="Times New Roman" w:eastAsia="Times New Roman" w:hAnsi="Times New Roman"/>
                  <w:sz w:val="18"/>
                  <w:szCs w:val="18"/>
                  <w:u w:val="single" w:color="auto"/>
                  <w:color w:val="0000FF"/>
                </w:rPr>
                <w:t>185</w:t>
              </w:r>
            </w:hyperlink>
          </w:p>
        </w:tc>
      </w:tr>
      <w:tr>
        <w:trPr>
          <w:trHeight w:val="230"/>
        </w:trPr>
        <w:tc>
          <w:tcPr>
            <w:tcW w:w="10500" w:type="dxa"/>
            <w:vAlign w:val="bottom"/>
            <w:gridSpan w:val="3"/>
          </w:tcPr>
          <w:p>
            <w:pPr>
              <w:spacing w:after="0"/>
              <w:rPr>
                <w:rFonts w:ascii="Times New Roman" w:cs="Times New Roman" w:eastAsia="Times New Roman" w:hAnsi="Times New Roman"/>
                <w:sz w:val="18"/>
                <w:szCs w:val="18"/>
                <w:u w:val="single" w:color="auto"/>
                <w:color w:val="0000FF"/>
              </w:rPr>
            </w:pPr>
            <w:hyperlink w:anchor="page188">
              <w:r>
                <w:rPr>
                  <w:rFonts w:ascii="Times New Roman" w:cs="Times New Roman" w:eastAsia="Times New Roman" w:hAnsi="Times New Roman"/>
                  <w:sz w:val="18"/>
                  <w:szCs w:val="18"/>
                  <w:u w:val="single" w:color="auto"/>
                  <w:color w:val="0000FF"/>
                </w:rPr>
                <w:t>WHERE YOU CAN FIND ADDITIONAL INFORMATION</w:t>
              </w:r>
            </w:hyperlink>
          </w:p>
        </w:tc>
        <w:tc>
          <w:tcPr>
            <w:tcW w:w="720" w:type="dxa"/>
            <w:vAlign w:val="bottom"/>
            <w:gridSpan w:val="3"/>
          </w:tcPr>
          <w:p>
            <w:pPr>
              <w:jc w:val="center"/>
              <w:spacing w:after="0"/>
              <w:rPr>
                <w:rFonts w:ascii="Times New Roman" w:cs="Times New Roman" w:eastAsia="Times New Roman" w:hAnsi="Times New Roman"/>
                <w:sz w:val="18"/>
                <w:szCs w:val="18"/>
                <w:u w:val="single" w:color="auto"/>
                <w:color w:val="0000FF"/>
              </w:rPr>
            </w:pPr>
            <w:hyperlink w:anchor="page188">
              <w:r>
                <w:rPr>
                  <w:rFonts w:ascii="Times New Roman" w:cs="Times New Roman" w:eastAsia="Times New Roman" w:hAnsi="Times New Roman"/>
                  <w:sz w:val="18"/>
                  <w:szCs w:val="18"/>
                  <w:u w:val="single" w:color="auto"/>
                  <w:color w:val="0000FF"/>
                </w:rPr>
                <w:t>185</w:t>
              </w:r>
            </w:hyperlink>
          </w:p>
        </w:tc>
      </w:tr>
      <w:tr>
        <w:trPr>
          <w:trHeight w:val="194"/>
        </w:trPr>
        <w:tc>
          <w:tcPr>
            <w:tcW w:w="10500" w:type="dxa"/>
            <w:vAlign w:val="bottom"/>
            <w:gridSpan w:val="3"/>
          </w:tcPr>
          <w:p>
            <w:pPr>
              <w:spacing w:after="0" w:line="194" w:lineRule="exact"/>
              <w:rPr>
                <w:rFonts w:ascii="Times New Roman" w:cs="Times New Roman" w:eastAsia="Times New Roman" w:hAnsi="Times New Roman"/>
                <w:sz w:val="18"/>
                <w:szCs w:val="18"/>
                <w:color w:val="0000FF"/>
              </w:rPr>
            </w:pPr>
            <w:hyperlink w:anchor="page188">
              <w:r>
                <w:rPr>
                  <w:rFonts w:ascii="Times New Roman" w:cs="Times New Roman" w:eastAsia="Times New Roman" w:hAnsi="Times New Roman"/>
                  <w:sz w:val="18"/>
                  <w:szCs w:val="18"/>
                  <w:color w:val="0000FF"/>
                </w:rPr>
                <w:t>INDEX TO FINANCIAL STATEMENTS</w:t>
              </w:r>
            </w:hyperlink>
          </w:p>
        </w:tc>
        <w:tc>
          <w:tcPr>
            <w:tcW w:w="720" w:type="dxa"/>
            <w:vAlign w:val="bottom"/>
            <w:gridSpan w:val="3"/>
          </w:tcPr>
          <w:p>
            <w:pPr>
              <w:jc w:val="center"/>
              <w:spacing w:after="0" w:line="194" w:lineRule="exact"/>
              <w:rPr>
                <w:rFonts w:ascii="Times New Roman" w:cs="Times New Roman" w:eastAsia="Times New Roman" w:hAnsi="Times New Roman"/>
                <w:sz w:val="18"/>
                <w:szCs w:val="18"/>
                <w:color w:val="0000FF"/>
                <w:w w:val="95"/>
              </w:rPr>
            </w:pPr>
            <w:hyperlink w:anchor="page188">
              <w:r>
                <w:rPr>
                  <w:rFonts w:ascii="Times New Roman" w:cs="Times New Roman" w:eastAsia="Times New Roman" w:hAnsi="Times New Roman"/>
                  <w:sz w:val="18"/>
                  <w:szCs w:val="18"/>
                  <w:color w:val="0000FF"/>
                  <w:w w:val="95"/>
                </w:rPr>
                <w:t>F-1</w:t>
              </w:r>
            </w:hyperlink>
          </w:p>
        </w:tc>
      </w:tr>
      <w:tr>
        <w:trPr>
          <w:trHeight w:val="20"/>
        </w:trPr>
        <w:tc>
          <w:tcPr>
            <w:tcW w:w="2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 2020 (the 25th day after the date of this prospectus), all dealers that effect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and the underwriters have not authorized anyone to provide you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of this prospectus unless the information specifically indicates that another date applies, regardless of the time of delivery of this prospectus or of any sale of the shares of Class A common stock offered hereby. Our business, financial condition, results of operations and prospects may have changed since that date.</w:t>
      </w:r>
    </w:p>
    <w:p>
      <w:pPr>
        <w:spacing w:after="0" w:line="13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ectPr>
          <w:pgSz w:w="11900" w:h="16838" w:orient="portrait"/>
          <w:cols w:equalWidth="0" w:num="1">
            <w:col w:w="11240"/>
          </w:cols>
          <w:pgMar w:left="320" w:top="1440"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806450</wp:posOffset>
            </wp:positionV>
            <wp:extent cx="7136130" cy="6030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03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left="340" w:right="4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and is qualified in its entirety by the more detailed information and financial statements included elsewhere in this prospectus. It does not contain all of the information that may be important to you and your investment decision. You should carefully read this entire prospectus, including the sections titled “Risk Factors” and “Management’s Discussion and Analysis of Financial Condition and Results of Operations,” and our financial statements and related notes. In this prospectus, unless the context requires otherwise, references to “we,” “us,” “our,” “Seer,” or “the Company” refer to Seer, Inc. A summary of key terms used in this prospectus can be found in the section titled “Glossary” located after this Prospectus Summary.</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340" w:firstLine="324"/>
        <w:spacing w:after="0" w:line="253" w:lineRule="auto"/>
        <w:rPr>
          <w:sz w:val="20"/>
          <w:szCs w:val="20"/>
          <w:color w:val="auto"/>
        </w:rPr>
      </w:pPr>
      <w:r>
        <w:rPr>
          <w:rFonts w:ascii="Times New Roman" w:cs="Times New Roman" w:eastAsia="Times New Roman" w:hAnsi="Times New Roman"/>
          <w:sz w:val="18"/>
          <w:szCs w:val="18"/>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36" w:lineRule="exact"/>
        <w:rPr>
          <w:sz w:val="20"/>
          <w:szCs w:val="20"/>
          <w:color w:val="auto"/>
        </w:rPr>
      </w:pPr>
    </w:p>
    <w:p>
      <w:pPr>
        <w:ind w:left="340"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Proteins are the functional units of all forms of life. While deoxyribonucleic acid (DNA) may be used as a static indicator of health risk, proteins are dynamic indicators of physiology and may be used to track health over time, gauge disease progression and monitor therapeutic response. Despite the central role proteins play in biology, the proteome is relatively unexplored compared to the genome, particularly the rich functional content that could be derived from large-scale proteomics studies. We believe large-scale characterization of the proteome has not been feasible with existing proteomics approaches, which broadly fall into two categories: (i) unbiased but not scalable, or (ii) scalable but biased. Current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or unbiased, approaches require complex, lengthy, and labor- and capital-intensive workflows, which limit their scalability to small, under-powered studies, and require significant processing expertise. On the other hand, targeted or biased methods only enable interrogation of a limited number of known proteins per sample. Although biased approaches are scalable, they lack the breadth and depth necessary to appropriately characterize the proteome and catalog its many protein variants. Thus, we believe that proteomics researchers are forced into an unattractive trade-off between the number of samples in a study and the depth and breadth of the analysis. These trade-offs limit researchers’ abilities to advance characterization of the proteome to match the current characterization of the genome. We believe large-scale proteomic analysis is needed for a more complete understanding of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200"/>
          </w:cols>
          <w:pgMar w:left="660" w:top="117" w:right="1039" w:bottom="1440" w:gutter="0" w:footer="0" w:header="0"/>
        </w:sectPr>
      </w:pPr>
    </w:p>
    <w:bookmarkStart w:id="4" w:name="page5"/>
    <w:bookmarkEnd w:id="4"/>
    <w:p>
      <w:pPr>
        <w:spacing w:after="0"/>
        <w:rPr>
          <w:rFonts w:ascii="Times New Roman" w:cs="Times New Roman" w:eastAsia="Times New Roman" w:hAnsi="Times New Roman"/>
          <w:sz w:val="17"/>
          <w:szCs w:val="17"/>
          <w:b w:val="1"/>
          <w:bCs w:val="1"/>
          <w:u w:val="single" w:color="auto"/>
          <w:color w:val="0000FF"/>
        </w:rPr>
      </w:pPr>
      <w:hyperlink w:anchor="page2">
        <w:r>
          <w:rPr>
            <w:rFonts w:ascii="Times New Roman" w:cs="Times New Roman" w:eastAsia="Times New Roman" w:hAnsi="Times New Roman"/>
            <w:sz w:val="17"/>
            <w:szCs w:val="17"/>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814070</wp:posOffset>
            </wp:positionV>
            <wp:extent cx="7136130" cy="7505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ectPr>
          <w:pgSz w:w="11900" w:h="16838" w:orient="portrait"/>
          <w:cols w:equalWidth="0" w:num="1">
            <w:col w:w="10220"/>
          </w:cols>
          <w:pgMar w:left="660" w:top="1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right="20" w:firstLine="324"/>
        <w:spacing w:after="0" w:line="252" w:lineRule="auto"/>
        <w:rPr>
          <w:sz w:val="20"/>
          <w:szCs w:val="20"/>
          <w:color w:val="auto"/>
        </w:rPr>
      </w:pPr>
      <w:r>
        <w:rPr>
          <w:rFonts w:ascii="Times New Roman" w:cs="Times New Roman" w:eastAsia="Times New Roman" w:hAnsi="Times New Roman"/>
          <w:sz w:val="18"/>
          <w:szCs w:val="18"/>
          <w:color w:val="auto"/>
        </w:rPr>
        <w:t>We plan to initially focus on research applications for our Proteograph Product Suite and will sell and market our Proteograph for research use only (RUO).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Our first Proteograph was delivered to one of our first collaborators in October 2020, and we expect to place another Proteograph with a second collaborator before the end of 2020, pending any COVID-19-related delays. In consideration of our initial collaborators’ significant contributions to the development of our Proteograph Product Suite, including providing us with helpful data and feedback on our Proteograph, we have offered our early collaborators a special discount program for consumables that is not reflective of our expected commercial pricing. Additionally, we have provided these early collaborators with the ability to purchase our Proteograph automation instrument at a discount following the completion of the the first phase of our commercialization plan.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 During the second and third phases, we expect to sell our Proteograph at list prices though we may offer volume-based discounts on consumables, consistent with industry practice. We believe by following this approach we can appropriately scale our operations, deliver exceptional customer experiences, foster publications and develop a robust pipeline of customers to drive our revenue growth.</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Challenges of Accessing the Proteome</w:t>
      </w:r>
    </w:p>
    <w:p>
      <w:pPr>
        <w:spacing w:after="0" w:line="175" w:lineRule="exact"/>
        <w:rPr>
          <w:sz w:val="20"/>
          <w:szCs w:val="20"/>
          <w:color w:val="auto"/>
        </w:rPr>
      </w:pPr>
    </w:p>
    <w:p>
      <w:pPr>
        <w:ind w:left="340" w:firstLine="324"/>
        <w:spacing w:after="0" w:line="253" w:lineRule="auto"/>
        <w:rPr>
          <w:sz w:val="20"/>
          <w:szCs w:val="20"/>
          <w:color w:val="auto"/>
        </w:rPr>
      </w:pPr>
      <w:r>
        <w:rPr>
          <w:rFonts w:ascii="Times New Roman" w:cs="Times New Roman" w:eastAsia="Times New Roman" w:hAnsi="Times New Roman"/>
          <w:sz w:val="18"/>
          <w:szCs w:val="18"/>
          <w:color w:val="auto"/>
        </w:rPr>
        <w:t>The human proteome is dynamic and far more complex and diverse in structure, composition and number of variants than either the genome or transcriptome. Starting from the genome, there are multiple biological steps that take place to arrive at the proteome, each step driving increasing complexity and diversity. The human genome of approximately 20,000 genes is estimated to give rise to 1,000,000 or more protein variants, in part because a single gene produces distinct ribonucleic acid (RNA) isoforms through the process of transcription and a myriad of structurally distinct proteins through the process of translation. Biological processes can further chemically modify these proteins in unique ways, resulting in a large number of protein variants through post-translational modifications. Overall, these processes result in many levels of protein diversity, from amino acid sequence and structural variations, to post-translational modifications (PTMs), to functional changes due to interactions between the proteins themselves, known as protein-protein interactions (PPIs). In addition, all of these forms of diversity can differ between states of health and disease. We believe the fundamental challenge with existing proteomics methods is their inability to measure the breadth and depth of the proteome’s complexity, rapidly and at scale.</w:t>
      </w:r>
    </w:p>
    <w:p>
      <w:pPr>
        <w:sectPr>
          <w:pgSz w:w="11900" w:h="16838" w:orient="portrait"/>
          <w:cols w:equalWidth="0" w:num="1">
            <w:col w:w="10220"/>
          </w:cols>
          <w:pgMar w:left="660" w:top="117"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220"/>
          </w:cols>
          <w:pgMar w:left="660" w:top="117" w:right="101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806450</wp:posOffset>
            </wp:positionV>
            <wp:extent cx="7136130" cy="6819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81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Background of Massively Parallel Sampling</w:t>
      </w:r>
    </w:p>
    <w:p>
      <w:pPr>
        <w:spacing w:after="0" w:line="175" w:lineRule="exact"/>
        <w:rPr>
          <w:sz w:val="20"/>
          <w:szCs w:val="20"/>
          <w:color w:val="auto"/>
        </w:rPr>
      </w:pPr>
    </w:p>
    <w:p>
      <w:pPr>
        <w:ind w:left="340" w:firstLine="324"/>
        <w:spacing w:after="0" w:line="253" w:lineRule="auto"/>
        <w:rPr>
          <w:sz w:val="20"/>
          <w:szCs w:val="20"/>
          <w:color w:val="auto"/>
        </w:rPr>
      </w:pPr>
      <w:r>
        <w:rPr>
          <w:rFonts w:ascii="Times New Roman" w:cs="Times New Roman" w:eastAsia="Times New Roman" w:hAnsi="Times New Roman"/>
          <w:sz w:val="18"/>
          <w:szCs w:val="18"/>
          <w:color w:val="auto"/>
        </w:rPr>
        <w:t>The ability to perform massively parallel sampling in biology has been transformational to researchers’ ability to perform large-scale and unbiased biological analysis. For example, before NGS, genomic approaches were not scalable to either read the entire genome or process very large numbers of samples. Researchers could only sequence hundreds of fragments of DNA or RNA at a time, and not easily in parallel. Genetic analysis was limited to biased, shallow genetic studies that were time-consuming and not scalable. As a result, researchers in genomics faced similar challenges that researchers currently face in proteomics. The introduction of NGS enabled massively parallel sampling of small fragments of DNA, allowing researchers to, in parallel, sequence tens of millions, and, through subsequent innovations, currently tens of billions, of fragments of DNA per sample. This transformative approach to sampling enabled genomic sequencing technologies to scale and created the path to genomic end-market opportunities, including basic research and discovery, translational research and clinical applications, including early cancer detection, recurrence monitoring and non-invasive prenatal testing. While there are no assurances that our Proteograph will have the same effect on the proteomics market as NGS technologies have had on the genomics market, given the utility of proteins for measuring function, health and disease, we believe the same, if not a greater, market opportunity exists for providing unbiased, deep, rapid and scalable access to the proteome.</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Engineered Nanoparticle Technology</w:t>
      </w:r>
    </w:p>
    <w:p>
      <w:pPr>
        <w:spacing w:after="0" w:line="175" w:lineRule="exact"/>
        <w:rPr>
          <w:sz w:val="20"/>
          <w:szCs w:val="20"/>
          <w:color w:val="auto"/>
        </w:rPr>
      </w:pPr>
    </w:p>
    <w:p>
      <w:pPr>
        <w:ind w:left="340" w:firstLine="324"/>
        <w:spacing w:after="0" w:line="277" w:lineRule="auto"/>
        <w:rPr>
          <w:sz w:val="20"/>
          <w:szCs w:val="20"/>
          <w:color w:val="auto"/>
        </w:rPr>
      </w:pPr>
      <w:r>
        <w:rPr>
          <w:rFonts w:ascii="Times New Roman" w:cs="Times New Roman" w:eastAsia="Times New Roman" w:hAnsi="Times New Roman"/>
          <w:sz w:val="17"/>
          <w:szCs w:val="17"/>
          <w:color w:val="auto"/>
        </w:rPr>
        <w:t>Our proprietary engineered NP technology overcomes the limitations of existing methods and is the foundation for our Proteograph Product Suite’s easy-to-use workflow for unbiased, deep, rapid and scalable proteomic analysis. Our approach is based on proprietary engineered NPs that enable unbiased and massively parallel sampling of intact proteins across the proteome, capturing a myriad of molecular information at the level of protein variants as well as PPIs. Our NPs are designed to eliminate the need for complex workflows required by other unbiased approaches, which we believe will make proteomics more accessible to the broader scientific community.</w:t>
      </w:r>
    </w:p>
    <w:p>
      <w:pPr>
        <w:spacing w:after="0" w:line="114" w:lineRule="exact"/>
        <w:rPr>
          <w:sz w:val="20"/>
          <w:szCs w:val="20"/>
          <w:color w:val="auto"/>
        </w:rPr>
      </w:pPr>
    </w:p>
    <w:p>
      <w:pPr>
        <w:ind w:left="340" w:right="80" w:firstLine="324"/>
        <w:spacing w:after="0" w:line="254" w:lineRule="auto"/>
        <w:rPr>
          <w:sz w:val="20"/>
          <w:szCs w:val="20"/>
          <w:color w:val="auto"/>
        </w:rPr>
      </w:pPr>
      <w:r>
        <w:rPr>
          <w:rFonts w:ascii="Times New Roman" w:cs="Times New Roman" w:eastAsia="Times New Roman" w:hAnsi="Times New Roman"/>
          <w:sz w:val="18"/>
          <w:szCs w:val="18"/>
          <w:color w:val="auto"/>
        </w:rPr>
        <w:t>The diameter of a nanoparticle is typically in the tens to hundreds of nanometers. As a reference, the diameter of the human hair is 80,000 nanometers. When nanoparticles are placed in contact with a biological sample, a thin layer of intact proteins rapidly, selectively and reproducibly adsorbs onto the surface of a nanoparticle upon contact, forming what is called a protein “corona.” Additional intact proteins can also join the corona layer by binding directly to a protein that has already attached to the nanoparticle through PPIs and intact protein complexes may also attach to the nanoparticle directly. Our NPs’ ability to capture whole and intact proteins and their many diverse variants provides access to protein structural information, including information on PPIs. At binding equilibrium, which occurs within minutes after our NPs come into contact with the protein, the selective sampling of proteins by our NPs is robust and highly reproducible.</w:t>
      </w:r>
    </w:p>
    <w:p>
      <w:pPr>
        <w:spacing w:after="0" w:line="138" w:lineRule="exact"/>
        <w:rPr>
          <w:sz w:val="20"/>
          <w:szCs w:val="20"/>
          <w:color w:val="auto"/>
        </w:rPr>
      </w:pPr>
    </w:p>
    <w:p>
      <w:pPr>
        <w:ind w:left="340" w:right="40" w:firstLine="324"/>
        <w:spacing w:after="0" w:line="253" w:lineRule="auto"/>
        <w:rPr>
          <w:sz w:val="20"/>
          <w:szCs w:val="20"/>
          <w:color w:val="auto"/>
        </w:rPr>
      </w:pPr>
      <w:r>
        <w:rPr>
          <w:rFonts w:ascii="Times New Roman" w:cs="Times New Roman" w:eastAsia="Times New Roman" w:hAnsi="Times New Roman"/>
          <w:sz w:val="18"/>
          <w:szCs w:val="18"/>
          <w:color w:val="auto"/>
        </w:rPr>
        <w:t>The protein sampling and binding of proteins to the nanoparticle surface are driven by three primary factors: (i) affinity of a given protein for a given nanoparticle’s physicochemical surface; (ii) concentration of a given protein in a biological sample; and (iii) affinity of the proteins for other proteins on the surface of the nanoparticle, forming PPIs. We can use a variety of different methods and materials to design and create different nanoparticles. Each nanoparticle can have distinct physicochemical properties that generate a unique protein corona pattern and a unique proteomic fingerprint. We can combine nanoparticles into panels to provide a representative and thorough sampling across the dynamic range of the proteome, from high to low abundance proteins. In effect, the properties of protein binding to a panel of nanoparticles are functionally equivalent to, and can replace, complex, biochemical laboratory workflows for the preparation of samples for deep, unbiased mass spectrometry (MS), and which enable the capture of thousands of proteins from biofluids for large-scale proteomics studies. Virtually any solubilized biological sample can be interrogated with nanoparticles, including cell or tissue homogenates, blood or blood components (such as plasma or serum, urine), saliva, cerebrospinal fluid and synovial fluid. The versatility of nanoparticles provides the opportunity to use a vast universe of different nanoparticles with different physicochemical properties to selectively, reproducibly and deeply sample the proteome in an unbiased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20"/>
          </w:cols>
          <w:pgMar w:left="660" w:top="117" w:right="1019" w:bottom="1440" w:gutter="0" w:footer="0" w:header="0"/>
        </w:sectPr>
      </w:pPr>
    </w:p>
    <w:bookmarkStart w:id="6" w:name="page7"/>
    <w:bookmarkEnd w:id="6"/>
    <w:p>
      <w:pPr>
        <w:spacing w:after="0"/>
        <w:rPr>
          <w:rFonts w:ascii="Times New Roman" w:cs="Times New Roman" w:eastAsia="Times New Roman" w:hAnsi="Times New Roman"/>
          <w:sz w:val="17"/>
          <w:szCs w:val="17"/>
          <w:b w:val="1"/>
          <w:bCs w:val="1"/>
          <w:u w:val="single" w:color="auto"/>
          <w:color w:val="0000FF"/>
        </w:rPr>
      </w:pPr>
      <w:hyperlink w:anchor="page2">
        <w:r>
          <w:rPr>
            <w:rFonts w:ascii="Times New Roman" w:cs="Times New Roman" w:eastAsia="Times New Roman" w:hAnsi="Times New Roman"/>
            <w:sz w:val="17"/>
            <w:szCs w:val="17"/>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814070</wp:posOffset>
            </wp:positionV>
            <wp:extent cx="7136130" cy="7736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736205"/>
                    </a:xfrm>
                    <a:prstGeom prst="rect">
                      <a:avLst/>
                    </a:prstGeom>
                    <a:noFill/>
                  </pic:spPr>
                </pic:pic>
              </a:graphicData>
            </a:graphic>
          </wp:anchor>
        </w:drawing>
      </w:r>
    </w:p>
    <w:p>
      <w:pPr>
        <w:sectPr>
          <w:pgSz w:w="11900" w:h="16838" w:orient="portrait"/>
          <w:cols w:equalWidth="0" w:num="1">
            <w:col w:w="10240"/>
          </w:cols>
          <w:pgMar w:left="660" w:top="1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NPs enable the unique capabilities of our Proteograph Product Suite, including the ability to:</w:t>
      </w:r>
    </w:p>
    <w:p>
      <w:pPr>
        <w:spacing w:after="0" w:line="171" w:lineRule="exact"/>
        <w:rPr>
          <w:sz w:val="20"/>
          <w:szCs w:val="20"/>
          <w:color w:val="auto"/>
        </w:rPr>
      </w:pPr>
    </w:p>
    <w:p>
      <w:pPr>
        <w:ind w:left="980" w:hanging="32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complex biofluid processing workflows required by other unbiased proteomic approaches;</w:t>
      </w:r>
    </w:p>
    <w:p>
      <w:pPr>
        <w:spacing w:after="0" w:line="171" w:lineRule="exact"/>
        <w:rPr>
          <w:rFonts w:ascii="Times New Roman" w:cs="Times New Roman" w:eastAsia="Times New Roman" w:hAnsi="Times New Roman"/>
          <w:sz w:val="18"/>
          <w:szCs w:val="18"/>
          <w:color w:val="auto"/>
        </w:rPr>
      </w:pPr>
    </w:p>
    <w:p>
      <w:pPr>
        <w:ind w:left="980" w:right="20" w:hanging="322"/>
        <w:spacing w:after="0" w:line="312" w:lineRule="auto"/>
        <w:tabs>
          <w:tab w:leader="none" w:pos="97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sample in an unbiased manner across the dynamic range of the proteome in a variety of biological samples, including cell or tissue homogenates, blood or blood components (such as plasma or serum), urine, saliva, cerebrospinal fluid, and synovial fluid;</w:t>
      </w:r>
    </w:p>
    <w:p>
      <w:pPr>
        <w:spacing w:after="0" w:line="85" w:lineRule="exact"/>
        <w:rPr>
          <w:rFonts w:ascii="Times New Roman" w:cs="Times New Roman" w:eastAsia="Times New Roman" w:hAnsi="Times New Roman"/>
          <w:sz w:val="17"/>
          <w:szCs w:val="17"/>
          <w:color w:val="auto"/>
        </w:rPr>
      </w:pPr>
    </w:p>
    <w:p>
      <w:pPr>
        <w:ind w:left="980" w:hanging="32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distinguish protein variants at the peptide level;</w:t>
      </w:r>
    </w:p>
    <w:p>
      <w:pPr>
        <w:spacing w:after="0" w:line="171" w:lineRule="exact"/>
        <w:rPr>
          <w:rFonts w:ascii="Times New Roman" w:cs="Times New Roman" w:eastAsia="Times New Roman" w:hAnsi="Times New Roman"/>
          <w:sz w:val="18"/>
          <w:szCs w:val="18"/>
          <w:color w:val="auto"/>
        </w:rPr>
      </w:pPr>
    </w:p>
    <w:p>
      <w:pPr>
        <w:ind w:left="980" w:hanging="32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quantify protein variants and PPIs;</w:t>
      </w:r>
    </w:p>
    <w:p>
      <w:pPr>
        <w:spacing w:after="0" w:line="171" w:lineRule="exact"/>
        <w:rPr>
          <w:rFonts w:ascii="Times New Roman" w:cs="Times New Roman" w:eastAsia="Times New Roman" w:hAnsi="Times New Roman"/>
          <w:sz w:val="18"/>
          <w:szCs w:val="18"/>
          <w:color w:val="auto"/>
        </w:rPr>
      </w:pPr>
    </w:p>
    <w:p>
      <w:pPr>
        <w:ind w:left="980" w:right="100" w:hanging="322"/>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machine learning to design, synthesize and select different NPs and NP panels to create multiple products and applications; and</w:t>
      </w:r>
    </w:p>
    <w:p>
      <w:pPr>
        <w:spacing w:after="0" w:line="107" w:lineRule="exact"/>
        <w:rPr>
          <w:rFonts w:ascii="Times New Roman" w:cs="Times New Roman" w:eastAsia="Times New Roman" w:hAnsi="Times New Roman"/>
          <w:sz w:val="18"/>
          <w:szCs w:val="18"/>
          <w:color w:val="auto"/>
        </w:rPr>
      </w:pPr>
    </w:p>
    <w:p>
      <w:pPr>
        <w:ind w:left="980" w:right="600" w:hanging="322"/>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compatible across a wide range of laboratory workflows, automation equipment and sample processing and detection methods, lowering the hurdle for product adoption.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Proteograph Product Suite</w:t>
      </w:r>
    </w:p>
    <w:p>
      <w:pPr>
        <w:spacing w:after="0" w:line="175" w:lineRule="exact"/>
        <w:rPr>
          <w:sz w:val="20"/>
          <w:szCs w:val="20"/>
          <w:color w:val="auto"/>
        </w:rPr>
      </w:pPr>
    </w:p>
    <w:p>
      <w:pPr>
        <w:ind w:left="340" w:firstLine="324"/>
        <w:spacing w:after="0" w:line="261" w:lineRule="auto"/>
        <w:rPr>
          <w:sz w:val="20"/>
          <w:szCs w:val="20"/>
          <w:color w:val="auto"/>
        </w:rPr>
      </w:pPr>
      <w:r>
        <w:rPr>
          <w:rFonts w:ascii="Times New Roman" w:cs="Times New Roman" w:eastAsia="Times New Roman" w:hAnsi="Times New Roman"/>
          <w:sz w:val="18"/>
          <w:szCs w:val="18"/>
          <w:color w:val="auto"/>
        </w:rPr>
        <w:t>Our proprietary engineered NP technology forms the basis for our first product, the Proteograph Product Suite. Our Proteograph is an integrated solution consisting of consumables, an automation instrument and software to perform unbiased, deep proteomic analysis at scale in a matter of hours. We designed our Proteograph to be efficient and easy-to-use, and to leverage broadly-used laboratory instrumentation to enable adoption in both decentralized and centralized settings and be widely available to life sciences researchers.</w:t>
      </w:r>
    </w:p>
    <w:p>
      <w:pPr>
        <w:sectPr>
          <w:pgSz w:w="11900" w:h="16838" w:orient="portrait"/>
          <w:cols w:equalWidth="0" w:num="1">
            <w:col w:w="10240"/>
          </w:cols>
          <w:pgMar w:left="660" w:top="117"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240"/>
          </w:cols>
          <w:pgMar w:left="660" w:top="117" w:right="99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806450</wp:posOffset>
            </wp:positionV>
            <wp:extent cx="7136130" cy="7470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Proteograph’s key components are the following:</w:t>
      </w:r>
    </w:p>
    <w:p>
      <w:pPr>
        <w:spacing w:after="0" w:line="171" w:lineRule="exact"/>
        <w:rPr>
          <w:sz w:val="20"/>
          <w:szCs w:val="20"/>
          <w:color w:val="auto"/>
        </w:rPr>
      </w:pPr>
    </w:p>
    <w:p>
      <w:pPr>
        <w:ind w:left="980" w:right="140" w:hanging="322"/>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Consumables: Our Proteograph consumables consist of our NP panel and all other consumables necessary to assay samples on our automation instrument.</w:t>
      </w:r>
    </w:p>
    <w:p>
      <w:pPr>
        <w:spacing w:after="0" w:line="107" w:lineRule="exact"/>
        <w:rPr>
          <w:rFonts w:ascii="Times New Roman" w:cs="Times New Roman" w:eastAsia="Times New Roman" w:hAnsi="Times New Roman"/>
          <w:sz w:val="18"/>
          <w:szCs w:val="18"/>
          <w:color w:val="auto"/>
        </w:rPr>
      </w:pPr>
    </w:p>
    <w:p>
      <w:pPr>
        <w:ind w:left="980" w:hanging="322"/>
        <w:spacing w:after="0" w:line="261"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Automation Instrument: Our Proteograph automation instrument is custom-configured for researchers to assay samples in approximately seven hours, which includes thirty minutes of set-up time and six and a half hours of automated instrument time. The output from our automation instrument is peptides ready to be processed on an MS instrument, which is a widely-accessible platform for protein detection.</w:t>
      </w:r>
    </w:p>
    <w:p>
      <w:pPr>
        <w:spacing w:after="0" w:line="125" w:lineRule="exact"/>
        <w:rPr>
          <w:rFonts w:ascii="Times New Roman" w:cs="Times New Roman" w:eastAsia="Times New Roman" w:hAnsi="Times New Roman"/>
          <w:sz w:val="18"/>
          <w:szCs w:val="18"/>
          <w:color w:val="auto"/>
        </w:rPr>
      </w:pPr>
    </w:p>
    <w:p>
      <w:pPr>
        <w:ind w:left="980" w:hanging="322"/>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Our Proteograph software was designed for ease-of-use and was developed to help users arrive at insights quickly and efficiently following peptide detection by an MS instrument.</w:t>
      </w:r>
    </w:p>
    <w:p>
      <w:pPr>
        <w:spacing w:after="0" w:line="108" w:lineRule="exact"/>
        <w:rPr>
          <w:sz w:val="20"/>
          <w:szCs w:val="20"/>
          <w:color w:val="auto"/>
        </w:rPr>
      </w:pPr>
    </w:p>
    <w:p>
      <w:pPr>
        <w:ind w:left="340" w:right="160" w:firstLine="324"/>
        <w:spacing w:after="0" w:line="256" w:lineRule="auto"/>
        <w:rPr>
          <w:sz w:val="20"/>
          <w:szCs w:val="20"/>
          <w:color w:val="auto"/>
        </w:rPr>
      </w:pPr>
      <w:r>
        <w:rPr>
          <w:rFonts w:ascii="Times New Roman" w:cs="Times New Roman" w:eastAsia="Times New Roman" w:hAnsi="Times New Roman"/>
          <w:sz w:val="18"/>
          <w:szCs w:val="18"/>
          <w:color w:val="auto"/>
        </w:rPr>
        <w:t>The output from our automation instrument is peptides ready to be processed on an MS instrument, which is a widely-accessible platform for protein detection. The Proteograph Product Suite is detector agnostic and, therefore, we believe, will be adaptable to other protein detection instruments in the future. The MS component of our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by researchers.</w:t>
      </w:r>
    </w:p>
    <w:p>
      <w:pPr>
        <w:spacing w:after="0" w:line="133" w:lineRule="exact"/>
        <w:rPr>
          <w:sz w:val="20"/>
          <w:szCs w:val="20"/>
          <w:color w:val="auto"/>
        </w:rPr>
      </w:pPr>
    </w:p>
    <w:p>
      <w:pPr>
        <w:ind w:left="340" w:right="40" w:firstLine="324"/>
        <w:spacing w:after="0" w:line="261" w:lineRule="auto"/>
        <w:rPr>
          <w:sz w:val="20"/>
          <w:szCs w:val="20"/>
          <w:color w:val="auto"/>
        </w:rPr>
      </w:pPr>
      <w:r>
        <w:rPr>
          <w:rFonts w:ascii="Times New Roman" w:cs="Times New Roman" w:eastAsia="Times New Roman" w:hAnsi="Times New Roman"/>
          <w:sz w:val="18"/>
          <w:szCs w:val="18"/>
          <w:color w:val="auto"/>
        </w:rPr>
        <w:t>For our first Proteograph assay, we will employ a panel of five NPs. We designed the performance specifications of our Proteograph to meet the core needs of the market in terms of protein coverage and sample throughput required for proteomic experiments that are unbiased and at-scale. The product will allow for the interrogation and processing of up to 16 samples by our five proprietary engineered NPs in parallel on a single 96-well plate in approximately seven hours.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Proteograph Product Suite Performance</w:t>
      </w:r>
    </w:p>
    <w:p>
      <w:pPr>
        <w:spacing w:after="0" w:line="173" w:lineRule="exact"/>
        <w:rPr>
          <w:sz w:val="20"/>
          <w:szCs w:val="20"/>
          <w:color w:val="auto"/>
        </w:rPr>
      </w:pPr>
    </w:p>
    <w:p>
      <w:pPr>
        <w:ind w:left="340" w:right="120" w:firstLine="324"/>
        <w:spacing w:after="0" w:line="261" w:lineRule="auto"/>
        <w:rPr>
          <w:sz w:val="20"/>
          <w:szCs w:val="20"/>
          <w:color w:val="auto"/>
        </w:rPr>
      </w:pPr>
      <w:r>
        <w:rPr>
          <w:rFonts w:ascii="Times New Roman" w:cs="Times New Roman" w:eastAsia="Times New Roman" w:hAnsi="Times New Roman"/>
          <w:sz w:val="18"/>
          <w:szCs w:val="18"/>
          <w:color w:val="auto"/>
        </w:rPr>
        <w:t>The four key technical attributes of our Proteograph Product Suite are its breadth of protein sampling, depth of coverage, accuracy and precision of measurement. In addition to its technical performance, our Proteograph automation instrument’s rapid throughput is an important characteristic to scale the number of samples assayed. We believe that our Proteograph Product Suite is the only product to provide these technical and operational capabilities in an integrated solution to enable large-scale proteomic analysis.</w:t>
      </w:r>
    </w:p>
    <w:p>
      <w:pPr>
        <w:spacing w:after="0" w:line="122" w:lineRule="exact"/>
        <w:rPr>
          <w:sz w:val="20"/>
          <w:szCs w:val="20"/>
          <w:color w:val="auto"/>
        </w:rPr>
      </w:pPr>
    </w:p>
    <w:p>
      <w:pPr>
        <w:ind w:left="980" w:right="20" w:hanging="322"/>
        <w:spacing w:after="0" w:line="25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Breadth of protein sampling. </w:t>
      </w:r>
      <w:r>
        <w:rPr>
          <w:rFonts w:ascii="Times New Roman" w:cs="Times New Roman" w:eastAsia="Times New Roman" w:hAnsi="Times New Roman"/>
          <w:sz w:val="18"/>
          <w:szCs w:val="18"/>
          <w:color w:val="auto"/>
        </w:rPr>
        <w:t>Breadth of protein sampling refers to our Proteograph Product Suite’s ability to conduct unbiased,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highly parallel sampling of the proteome across its entire dynamic range, from high to low abundant proteins. Given the unique characteristics of our NPs, our Proteograph Product Suite allows for the unbiased highly parallel sampling of the proteome, and it does this across its entire dynamic range from high to low abundant proteins. Each uniquely engineered NP selectively captures hundreds of distinct intact proteins from a biosample based on their abundance and affinity for the NP surface. Our Proteograph leverages a panel of unique NPs to capture significantly more proteins and protein variants than current methods of unbiased proteomic analysis.</w:t>
      </w:r>
    </w:p>
    <w:p>
      <w:pPr>
        <w:spacing w:after="0" w:line="128" w:lineRule="exact"/>
        <w:rPr>
          <w:rFonts w:ascii="Times New Roman" w:cs="Times New Roman" w:eastAsia="Times New Roman" w:hAnsi="Times New Roman"/>
          <w:sz w:val="18"/>
          <w:szCs w:val="18"/>
          <w:color w:val="auto"/>
        </w:rPr>
      </w:pPr>
    </w:p>
    <w:p>
      <w:pPr>
        <w:ind w:left="980" w:right="40" w:hanging="322"/>
        <w:spacing w:after="0" w:line="257"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Depth of coverage. </w:t>
      </w:r>
      <w:r>
        <w:rPr>
          <w:rFonts w:ascii="Times New Roman" w:cs="Times New Roman" w:eastAsia="Times New Roman" w:hAnsi="Times New Roman"/>
          <w:sz w:val="18"/>
          <w:szCs w:val="18"/>
          <w:color w:val="auto"/>
        </w:rPr>
        <w:t>Depth of coverage refers to our Proteograph’s ability to evaluate the proteome across the wide dynamic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range of abundance of proteins. The range from the most abundant to the least abundant protein in biological samples can vary greatly. In plasma, this range is estimated to be at least ten orders of magnitude, and the rich diversity of biology resides outside the most abundant proteins. Sampling across the entire dynamic range has been one of the seminal challenges in the field of proteomics. Conventional approaches to address this challenge have employed laborious depletion and fractionation methods, which can be avoided with the automated and scalable workflow of our Proteograph Product Suite.</w:t>
      </w:r>
    </w:p>
    <w:p>
      <w:pPr>
        <w:spacing w:after="0" w:line="128" w:lineRule="exact"/>
        <w:rPr>
          <w:rFonts w:ascii="Times New Roman" w:cs="Times New Roman" w:eastAsia="Times New Roman" w:hAnsi="Times New Roman"/>
          <w:sz w:val="18"/>
          <w:szCs w:val="18"/>
          <w:color w:val="auto"/>
        </w:rPr>
      </w:pPr>
    </w:p>
    <w:p>
      <w:pPr>
        <w:ind w:left="980" w:right="100" w:hanging="322"/>
        <w:spacing w:after="0" w:line="268"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Accuracy of measurement. </w:t>
      </w:r>
      <w:r>
        <w:rPr>
          <w:rFonts w:ascii="Times New Roman" w:cs="Times New Roman" w:eastAsia="Times New Roman" w:hAnsi="Times New Roman"/>
          <w:sz w:val="18"/>
          <w:szCs w:val="18"/>
          <w:color w:val="auto"/>
        </w:rPr>
        <w:t>Accuracy refers to how close the measured abundance of a protein is to the true abundance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sample. Accuracy of protein abundance measurement can be demonstrated by MS signal intensity of the proteins sampled with our Proteograph, and comparing these values with measurements</w:t>
      </w:r>
    </w:p>
    <w:p>
      <w:pPr>
        <w:sectPr>
          <w:pgSz w:w="11900" w:h="16838" w:orient="portrait"/>
          <w:cols w:equalWidth="0" w:num="1">
            <w:col w:w="10220"/>
          </w:cols>
          <w:pgMar w:left="660" w:top="1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220"/>
          </w:cols>
          <w:pgMar w:left="660" w:top="117" w:right="101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806450</wp:posOffset>
            </wp:positionV>
            <wp:extent cx="7136130" cy="6819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81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80" w:right="640"/>
        <w:spacing w:after="0" w:line="282" w:lineRule="auto"/>
        <w:rPr>
          <w:sz w:val="20"/>
          <w:szCs w:val="20"/>
          <w:color w:val="auto"/>
        </w:rPr>
      </w:pPr>
      <w:r>
        <w:rPr>
          <w:rFonts w:ascii="Times New Roman" w:cs="Times New Roman" w:eastAsia="Times New Roman" w:hAnsi="Times New Roman"/>
          <w:sz w:val="18"/>
          <w:szCs w:val="18"/>
          <w:color w:val="auto"/>
        </w:rPr>
        <w:t>obtained directly by immuno-assay (ELISA). Our Proteograph assay can distinguish changes in protein abundance with significant accuracy.</w:t>
      </w:r>
    </w:p>
    <w:p>
      <w:pPr>
        <w:spacing w:after="0" w:line="104" w:lineRule="exact"/>
        <w:rPr>
          <w:sz w:val="20"/>
          <w:szCs w:val="20"/>
          <w:color w:val="auto"/>
        </w:rPr>
      </w:pPr>
    </w:p>
    <w:p>
      <w:pPr>
        <w:ind w:left="980" w:hanging="322"/>
        <w:spacing w:after="0" w:line="257"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Precision of measurement. </w:t>
      </w:r>
      <w:r>
        <w:rPr>
          <w:rFonts w:ascii="Times New Roman" w:cs="Times New Roman" w:eastAsia="Times New Roman" w:hAnsi="Times New Roman"/>
          <w:sz w:val="18"/>
          <w:szCs w:val="18"/>
          <w:color w:val="auto"/>
        </w:rPr>
        <w:t>Precision refers to how close several measurements of protein abundance in the same sample are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other. Less precision in the measurement of a protein adds noise to an experiment, requiring a larger number of samples in the study to observe a true difference. Precision is typically measured as the coefficient of variation (CV%), or standard deviation divided by the mean times 100. Therefore, a lower CV% represents a more precise outcome. Our Proteograph analysis shows lower CV%s than fractionation and depletion methods, which is notable since we achieve lower CV%s while concurrently sampling significantly more proteins.</w:t>
      </w:r>
    </w:p>
    <w:p>
      <w:pPr>
        <w:spacing w:after="0" w:line="128" w:lineRule="exact"/>
        <w:rPr>
          <w:rFonts w:ascii="Times New Roman" w:cs="Times New Roman" w:eastAsia="Times New Roman" w:hAnsi="Times New Roman"/>
          <w:sz w:val="18"/>
          <w:szCs w:val="18"/>
          <w:color w:val="auto"/>
        </w:rPr>
      </w:pPr>
    </w:p>
    <w:p>
      <w:pPr>
        <w:ind w:left="980" w:right="120" w:hanging="322"/>
        <w:spacing w:after="0" w:line="26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Rapid and large-scale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Proteograph enables rapid and large-scale proteomic sample processing in a seven-hour workflow,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other unbiased solutions that can take days to weeks. We believe this increased throughput will enable researchers to perform large-scale proteomics studies that were not previously accessible, but are needed for a more complete characterization of the proteome, and thus biology.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175" w:lineRule="exact"/>
        <w:rPr>
          <w:sz w:val="20"/>
          <w:szCs w:val="20"/>
          <w:color w:val="auto"/>
        </w:rPr>
      </w:pPr>
    </w:p>
    <w:p>
      <w:pPr>
        <w:ind w:left="340" w:right="40" w:firstLine="324"/>
        <w:spacing w:after="0" w:line="254" w:lineRule="auto"/>
        <w:rPr>
          <w:sz w:val="20"/>
          <w:szCs w:val="20"/>
          <w:color w:val="auto"/>
        </w:rPr>
      </w:pPr>
      <w:r>
        <w:rPr>
          <w:rFonts w:ascii="Times New Roman" w:cs="Times New Roman" w:eastAsia="Times New Roman" w:hAnsi="Times New Roman"/>
          <w:sz w:val="18"/>
          <w:szCs w:val="18"/>
          <w:color w:val="auto"/>
        </w:rPr>
        <w:t>The proteome comprises millions of protein variants whose expression varies by cell, tissue, organ and system, as well as across time, and whose interaction with other proteins and biomolecules are essential to driving health and disease. No commercial product has existed that enables researchers to assess the proteome deeply, broadly, rapidly and at scale across thousands of samples. Despite this limitation, researchers rely on laborious, expensive and complex methods to survey as much of the proteome as they can. While NGS transformed life sciences end-markets through massively parallel access to the genome, lack of similar unbiased, deep, rapid and large-scale capabilities has to date evaded the field of proteomics. We believe our Proteograph enables such access to the proteome, and will allow researchers to undertake the scale of studies we believe are needed to understand the complexity of the proteome, and by extension biology.</w:t>
      </w:r>
    </w:p>
    <w:p>
      <w:pPr>
        <w:spacing w:after="0" w:line="138" w:lineRule="exact"/>
        <w:rPr>
          <w:sz w:val="20"/>
          <w:szCs w:val="20"/>
          <w:color w:val="auto"/>
        </w:rPr>
      </w:pPr>
    </w:p>
    <w:p>
      <w:pPr>
        <w:ind w:left="340" w:right="100" w:firstLine="324"/>
        <w:spacing w:after="0" w:line="252" w:lineRule="auto"/>
        <w:rPr>
          <w:sz w:val="20"/>
          <w:szCs w:val="20"/>
          <w:color w:val="auto"/>
        </w:rPr>
      </w:pPr>
      <w:r>
        <w:rPr>
          <w:rFonts w:ascii="Times New Roman" w:cs="Times New Roman" w:eastAsia="Times New Roman" w:hAnsi="Times New Roman"/>
          <w:sz w:val="18"/>
          <w:szCs w:val="18"/>
          <w:color w:val="auto"/>
        </w:rPr>
        <w:t>We believe the two primary near-term markets for our Proteograph are the proteomics market, which was $32 billion in 2019, according to Allied Market Research, and the genomics market, which was $21 billion in 2019, according to Technavio. Within these markets, potential applications of our Proteograph span basic research and discovery, translational research, diagnostics and applied applications. Of the $32 billion proteomics market, $25 billion is estimated to be spent on reagents, $5 billion on instruments, and $2 billion on services. In the near-term, we believe we will compete in both the proteomics reagent and instrument markets. Furthermore, the $21 billion genomics market consists of approximately $13 billion spent on products and $7 billion spent on services. In the near-term, we believe we will be able to garner spend from both products and services as genomic customers link genotype to phenotype by supplementing existing genomic data with proteomics data. While we initially plan to sell and market our Proteograph for RUO, we believe that the capabilities of our Proteograph Product Suite may enable our customers to use our Proteograph in other applications. While we currently do not intend to pursue clinical diagnostics applications, we may in the future seek premarket approval or clearance for our Proteograph in order to allow our customers to use our Proteograph in other product offerings. We believe that our Proteograph’s unique value proposition will resonate with proteomics researchers who already value deep and unbiased proteomic information, and who desire to scale experiments to far greater sample sizes at a fraction of the time and cost of current approaches. We also believe that as more genomics researchers incorporate other -omics approaches to elucidate key genomic findings, our Proteograph will uniquely provide large-scale, unbiased and deep proteomic information to complement genomic information, and enable researchers to gain a clearer picture of biology and a deeper understanding of genomic risk factors. Longer-term, we believe that the capabilities offered by our Proteograph and future products may potentially lead to new end-markets, applications, and business models that complement existing proteomics and genomics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40"/>
          </w:cols>
          <w:pgMar w:left="660" w:top="117" w:right="9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806450</wp:posOffset>
            </wp:positionV>
            <wp:extent cx="7136130" cy="7573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 Advantages of Our Proteograph Product Suite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our proprietary engineered NP technology and Proteograph Product Suite have the following advantages:</w:t>
      </w:r>
    </w:p>
    <w:p>
      <w:pPr>
        <w:spacing w:after="0" w:line="171" w:lineRule="exact"/>
        <w:rPr>
          <w:sz w:val="20"/>
          <w:szCs w:val="20"/>
          <w:color w:val="auto"/>
        </w:rPr>
      </w:pPr>
    </w:p>
    <w:p>
      <w:pPr>
        <w:ind w:left="980" w:right="540" w:hanging="322"/>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Proteograph Product Suite is expected to be the first commercially available solution to provide the combination of unbiased, deep, rapid and large-scale access to the proteome.</w:t>
      </w:r>
    </w:p>
    <w:p>
      <w:pPr>
        <w:spacing w:after="0" w:line="107" w:lineRule="exact"/>
        <w:rPr>
          <w:rFonts w:ascii="Times New Roman" w:cs="Times New Roman" w:eastAsia="Times New Roman" w:hAnsi="Times New Roman"/>
          <w:sz w:val="18"/>
          <w:szCs w:val="18"/>
          <w:color w:val="auto"/>
        </w:rPr>
      </w:pPr>
    </w:p>
    <w:p>
      <w:pPr>
        <w:ind w:left="980" w:right="100" w:hanging="322"/>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Proteograph Product Suite provides insight into protein variation and PPIs at a depth and scale that we believe sets a new standard for unbiased and deep proteomics, and is unattainable with other existing approaches.</w:t>
      </w:r>
    </w:p>
    <w:p>
      <w:pPr>
        <w:spacing w:after="0" w:line="107" w:lineRule="exact"/>
        <w:rPr>
          <w:rFonts w:ascii="Times New Roman" w:cs="Times New Roman" w:eastAsia="Times New Roman" w:hAnsi="Times New Roman"/>
          <w:sz w:val="18"/>
          <w:szCs w:val="18"/>
          <w:color w:val="auto"/>
        </w:rPr>
      </w:pPr>
    </w:p>
    <w:p>
      <w:pPr>
        <w:ind w:left="980" w:hanging="322"/>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Proteograph Product Suite was designed to enable broad adoption across a wide variety of customers in both decentralized and centralized settings.</w:t>
      </w:r>
    </w:p>
    <w:p>
      <w:pPr>
        <w:spacing w:after="0" w:line="107" w:lineRule="exact"/>
        <w:rPr>
          <w:rFonts w:ascii="Times New Roman" w:cs="Times New Roman" w:eastAsia="Times New Roman" w:hAnsi="Times New Roman"/>
          <w:sz w:val="18"/>
          <w:szCs w:val="18"/>
          <w:color w:val="auto"/>
        </w:rPr>
      </w:pPr>
    </w:p>
    <w:p>
      <w:pPr>
        <w:ind w:left="980" w:right="520" w:hanging="322"/>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engineered NPs are a core technology from which we can develop a range of products, applications and platforms.</w:t>
      </w:r>
    </w:p>
    <w:p>
      <w:pPr>
        <w:spacing w:after="0" w:line="107" w:lineRule="exact"/>
        <w:rPr>
          <w:rFonts w:ascii="Times New Roman" w:cs="Times New Roman" w:eastAsia="Times New Roman" w:hAnsi="Times New Roman"/>
          <w:sz w:val="18"/>
          <w:szCs w:val="18"/>
          <w:color w:val="auto"/>
        </w:rPr>
      </w:pPr>
    </w:p>
    <w:p>
      <w:pPr>
        <w:ind w:left="980" w:right="440" w:hanging="322"/>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NP technology inherently provides significant operational leverage in research and development, manufacturing and commercialization.</w:t>
      </w:r>
    </w:p>
    <w:p>
      <w:pPr>
        <w:spacing w:after="0" w:line="107" w:lineRule="exact"/>
        <w:rPr>
          <w:rFonts w:ascii="Times New Roman" w:cs="Times New Roman" w:eastAsia="Times New Roman" w:hAnsi="Times New Roman"/>
          <w:sz w:val="18"/>
          <w:szCs w:val="18"/>
          <w:color w:val="auto"/>
        </w:rPr>
      </w:pPr>
    </w:p>
    <w:p>
      <w:pPr>
        <w:ind w:left="980" w:hanging="32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Proteograph Product Suite has the potential to provide sustainable differentiation.</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left="340" w:right="400" w:firstLine="324"/>
        <w:spacing w:after="0" w:line="282" w:lineRule="auto"/>
        <w:rPr>
          <w:sz w:val="20"/>
          <w:szCs w:val="20"/>
          <w:color w:val="auto"/>
        </w:rPr>
      </w:pPr>
      <w:r>
        <w:rPr>
          <w:rFonts w:ascii="Times New Roman" w:cs="Times New Roman" w:eastAsia="Times New Roman" w:hAnsi="Times New Roman"/>
          <w:sz w:val="18"/>
          <w:szCs w:val="18"/>
          <w:color w:val="auto"/>
        </w:rPr>
        <w:t>We aim to enable exceptional scientific outcomes by commercializing transformative products for researchers to unlock deep, unbiased biological information. Our growth strategy is to:</w:t>
      </w:r>
    </w:p>
    <w:p>
      <w:pPr>
        <w:spacing w:after="0" w:line="108" w:lineRule="exact"/>
        <w:rPr>
          <w:sz w:val="20"/>
          <w:szCs w:val="20"/>
          <w:color w:val="auto"/>
        </w:rPr>
      </w:pPr>
    </w:p>
    <w:p>
      <w:pPr>
        <w:ind w:left="980" w:right="220" w:hanging="322"/>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adoption of our Proteograph Product Suite to enable researchers to create large-scale unbiased proteomic datasets that generate transformative scientific insights.</w:t>
      </w:r>
    </w:p>
    <w:p>
      <w:pPr>
        <w:spacing w:after="0" w:line="107" w:lineRule="exact"/>
        <w:rPr>
          <w:rFonts w:ascii="Times New Roman" w:cs="Times New Roman" w:eastAsia="Times New Roman" w:hAnsi="Times New Roman"/>
          <w:sz w:val="18"/>
          <w:szCs w:val="18"/>
          <w:color w:val="auto"/>
        </w:rPr>
      </w:pPr>
    </w:p>
    <w:p>
      <w:pPr>
        <w:ind w:left="980" w:hanging="322"/>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market development activities to increase awareness of the importance of large-scale proteomic data and the ability to access it.</w:t>
      </w:r>
    </w:p>
    <w:p>
      <w:pPr>
        <w:spacing w:after="0" w:line="107" w:lineRule="exact"/>
        <w:rPr>
          <w:rFonts w:ascii="Times New Roman" w:cs="Times New Roman" w:eastAsia="Times New Roman" w:hAnsi="Times New Roman"/>
          <w:sz w:val="18"/>
          <w:szCs w:val="18"/>
          <w:color w:val="auto"/>
        </w:rPr>
      </w:pPr>
    </w:p>
    <w:p>
      <w:pPr>
        <w:ind w:left="980" w:right="140" w:hanging="322"/>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Continually innovate to develop and commercialize additional transformative products to access the proteome and accelerate our understanding of biology.</w:t>
      </w:r>
    </w:p>
    <w:p>
      <w:pPr>
        <w:spacing w:after="0" w:line="107" w:lineRule="exact"/>
        <w:rPr>
          <w:rFonts w:ascii="Times New Roman" w:cs="Times New Roman" w:eastAsia="Times New Roman" w:hAnsi="Times New Roman"/>
          <w:sz w:val="18"/>
          <w:szCs w:val="18"/>
          <w:color w:val="auto"/>
        </w:rPr>
      </w:pPr>
    </w:p>
    <w:p>
      <w:pPr>
        <w:ind w:left="980" w:right="240" w:hanging="322"/>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build our commercial infrastructure and NP manufacturing capabilities to provide for our commercial launch in the United States and internationally.</w:t>
      </w:r>
    </w:p>
    <w:p>
      <w:pPr>
        <w:spacing w:after="0" w:line="107" w:lineRule="exact"/>
        <w:rPr>
          <w:rFonts w:ascii="Times New Roman" w:cs="Times New Roman" w:eastAsia="Times New Roman" w:hAnsi="Times New Roman"/>
          <w:sz w:val="18"/>
          <w:szCs w:val="18"/>
          <w:color w:val="auto"/>
        </w:rPr>
      </w:pPr>
    </w:p>
    <w:p>
      <w:pPr>
        <w:ind w:left="980" w:right="240" w:hanging="322"/>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the creation of an ecosystem of customers, partners and collaborators whose expertise and offerings complement and enhance the power and utility of our products.</w:t>
      </w:r>
    </w:p>
    <w:p>
      <w:pPr>
        <w:spacing w:after="0" w:line="107" w:lineRule="exact"/>
        <w:rPr>
          <w:rFonts w:ascii="Times New Roman" w:cs="Times New Roman" w:eastAsia="Times New Roman" w:hAnsi="Times New Roman"/>
          <w:sz w:val="18"/>
          <w:szCs w:val="18"/>
          <w:color w:val="auto"/>
        </w:rPr>
      </w:pPr>
    </w:p>
    <w:p>
      <w:pPr>
        <w:ind w:left="980" w:hanging="32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proprietary engineered NP technology to analyze molecules beyond proteins.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75" w:lineRule="exact"/>
        <w:rPr>
          <w:sz w:val="20"/>
          <w:szCs w:val="20"/>
          <w:color w:val="auto"/>
        </w:rPr>
      </w:pPr>
    </w:p>
    <w:p>
      <w:pPr>
        <w:ind w:left="340" w:right="20" w:firstLine="324"/>
        <w:spacing w:after="0" w:line="312"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86" w:lineRule="exact"/>
        <w:rPr>
          <w:sz w:val="20"/>
          <w:szCs w:val="20"/>
          <w:color w:val="auto"/>
        </w:rPr>
      </w:pPr>
    </w:p>
    <w:p>
      <w:pPr>
        <w:ind w:left="980" w:right="40" w:hanging="322"/>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07" w:lineRule="exact"/>
        <w:rPr>
          <w:rFonts w:ascii="Times New Roman" w:cs="Times New Roman" w:eastAsia="Times New Roman" w:hAnsi="Times New Roman"/>
          <w:sz w:val="18"/>
          <w:szCs w:val="18"/>
          <w:color w:val="auto"/>
        </w:rPr>
      </w:pPr>
    </w:p>
    <w:p>
      <w:pPr>
        <w:ind w:left="980" w:right="180" w:hanging="322"/>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the prospects for our future viability and predict our future performance.</w:t>
      </w:r>
    </w:p>
    <w:p>
      <w:pPr>
        <w:sectPr>
          <w:pgSz w:w="11900" w:h="16838" w:orient="portrait"/>
          <w:cols w:equalWidth="0" w:num="1">
            <w:col w:w="10120"/>
          </w:cols>
          <w:pgMar w:left="660" w:top="117"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120"/>
          </w:cols>
          <w:pgMar w:left="660" w:top="117" w:right="111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806450</wp:posOffset>
            </wp:positionV>
            <wp:extent cx="7136130" cy="7402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80" w:right="140" w:hanging="322"/>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7" w:lineRule="exact"/>
        <w:rPr>
          <w:rFonts w:ascii="Times New Roman" w:cs="Times New Roman" w:eastAsia="Times New Roman" w:hAnsi="Times New Roman"/>
          <w:sz w:val="18"/>
          <w:szCs w:val="18"/>
          <w:color w:val="auto"/>
        </w:rPr>
      </w:pPr>
    </w:p>
    <w:p>
      <w:pPr>
        <w:ind w:left="980" w:right="260" w:hanging="322"/>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07" w:lineRule="exact"/>
        <w:rPr>
          <w:rFonts w:ascii="Times New Roman" w:cs="Times New Roman" w:eastAsia="Times New Roman" w:hAnsi="Times New Roman"/>
          <w:sz w:val="18"/>
          <w:szCs w:val="18"/>
          <w:color w:val="auto"/>
        </w:rPr>
      </w:pPr>
    </w:p>
    <w:p>
      <w:pPr>
        <w:ind w:left="980" w:right="180" w:hanging="322"/>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commercially launched our Proteograph Product Suite, and we may not be able to successfully commercially launch our Proteograph as planned.</w:t>
      </w:r>
    </w:p>
    <w:p>
      <w:pPr>
        <w:spacing w:after="0" w:line="107" w:lineRule="exact"/>
        <w:rPr>
          <w:rFonts w:ascii="Times New Roman" w:cs="Times New Roman" w:eastAsia="Times New Roman" w:hAnsi="Times New Roman"/>
          <w:sz w:val="18"/>
          <w:szCs w:val="18"/>
          <w:color w:val="auto"/>
        </w:rPr>
      </w:pPr>
    </w:p>
    <w:p>
      <w:pPr>
        <w:ind w:left="980" w:right="60" w:hanging="322"/>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commercially launch our Proteograph Product Suite, our success depends on broad scientific and market acceptance of our Proteograph, which we may fail to achieve.</w:t>
      </w:r>
    </w:p>
    <w:p>
      <w:pPr>
        <w:spacing w:after="0" w:line="107" w:lineRule="exact"/>
        <w:rPr>
          <w:rFonts w:ascii="Times New Roman" w:cs="Times New Roman" w:eastAsia="Times New Roman" w:hAnsi="Times New Roman"/>
          <w:sz w:val="18"/>
          <w:szCs w:val="18"/>
          <w:color w:val="auto"/>
        </w:rPr>
      </w:pPr>
    </w:p>
    <w:p>
      <w:pPr>
        <w:ind w:left="980" w:right="400" w:hanging="322"/>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07" w:lineRule="exact"/>
        <w:rPr>
          <w:rFonts w:ascii="Times New Roman" w:cs="Times New Roman" w:eastAsia="Times New Roman" w:hAnsi="Times New Roman"/>
          <w:sz w:val="18"/>
          <w:szCs w:val="18"/>
          <w:color w:val="auto"/>
        </w:rPr>
      </w:pPr>
    </w:p>
    <w:p>
      <w:pPr>
        <w:ind w:left="980" w:right="180" w:hanging="322"/>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efforts to reduce its spread have adversely impacted, and are expected to continue to materially and adversely impact, our business and operations.</w:t>
      </w:r>
    </w:p>
    <w:p>
      <w:pPr>
        <w:spacing w:after="0" w:line="107" w:lineRule="exact"/>
        <w:rPr>
          <w:rFonts w:ascii="Times New Roman" w:cs="Times New Roman" w:eastAsia="Times New Roman" w:hAnsi="Times New Roman"/>
          <w:sz w:val="18"/>
          <w:szCs w:val="18"/>
          <w:color w:val="auto"/>
        </w:rPr>
      </w:pPr>
    </w:p>
    <w:p>
      <w:pPr>
        <w:ind w:left="980" w:right="420" w:hanging="322"/>
        <w:spacing w:after="0" w:line="261"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5" w:lineRule="exact"/>
        <w:rPr>
          <w:rFonts w:ascii="Times New Roman" w:cs="Times New Roman" w:eastAsia="Times New Roman" w:hAnsi="Times New Roman"/>
          <w:sz w:val="18"/>
          <w:szCs w:val="18"/>
          <w:color w:val="auto"/>
        </w:rPr>
      </w:pPr>
    </w:p>
    <w:p>
      <w:pPr>
        <w:ind w:left="980" w:right="80" w:hanging="322"/>
        <w:spacing w:after="0" w:line="261"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Corporate Information and History</w:t>
      </w:r>
    </w:p>
    <w:p>
      <w:pPr>
        <w:spacing w:after="0" w:line="175" w:lineRule="exact"/>
        <w:rPr>
          <w:sz w:val="20"/>
          <w:szCs w:val="20"/>
          <w:color w:val="auto"/>
        </w:rPr>
      </w:pPr>
    </w:p>
    <w:p>
      <w:pPr>
        <w:ind w:left="340" w:right="20" w:firstLine="324"/>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on March 16, 2017, under the name Seer Biosciences, Inc., and changed our name to Seer, Inc. on July 16, 2018. Our principal executive offices are located at 3800 Bridge Parkway, Suite 102, Redwood City, California 94065. Our telephone number is 650-543-0000. Our website address is http://seer.bio. Information contained on, or that can be accessed through, our website is not incorporated by reference into this prospectus and should not be considered to be part of this prospectus.</w:t>
      </w:r>
    </w:p>
    <w:p>
      <w:pPr>
        <w:spacing w:after="0" w:line="126" w:lineRule="exact"/>
        <w:rPr>
          <w:sz w:val="20"/>
          <w:szCs w:val="20"/>
          <w:color w:val="auto"/>
        </w:rPr>
      </w:pPr>
    </w:p>
    <w:p>
      <w:pPr>
        <w:ind w:left="340" w:firstLine="324"/>
        <w:spacing w:after="0" w:line="256" w:lineRule="auto"/>
        <w:rPr>
          <w:sz w:val="20"/>
          <w:szCs w:val="20"/>
          <w:color w:val="auto"/>
        </w:rPr>
      </w:pPr>
      <w:r>
        <w:rPr>
          <w:rFonts w:ascii="Times New Roman" w:cs="Times New Roman" w:eastAsia="Times New Roman" w:hAnsi="Times New Roman"/>
          <w:sz w:val="18"/>
          <w:szCs w:val="18"/>
          <w:color w:val="auto"/>
        </w:rPr>
        <w:t>We use Seer and Proteograph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75" w:lineRule="exact"/>
        <w:rPr>
          <w:sz w:val="20"/>
          <w:szCs w:val="20"/>
          <w:color w:val="auto"/>
        </w:rPr>
      </w:pPr>
    </w:p>
    <w:p>
      <w:pPr>
        <w:ind w:left="340"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or the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w:t>
      </w:r>
    </w:p>
    <w:p>
      <w:pPr>
        <w:sectPr>
          <w:pgSz w:w="11900" w:h="16838" w:orient="portrait"/>
          <w:cols w:equalWidth="0" w:num="1">
            <w:col w:w="10220"/>
          </w:cols>
          <w:pgMar w:left="660" w:top="1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220"/>
          </w:cols>
          <w:pgMar w:left="660" w:top="117" w:right="101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806450</wp:posOffset>
            </wp:positionV>
            <wp:extent cx="7136130" cy="2704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2704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requirements in our future filings with the Securities and Exchange Commission. In particular, in this prospectus, we have provided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134" w:lineRule="exact"/>
        <w:rPr>
          <w:sz w:val="20"/>
          <w:szCs w:val="20"/>
          <w:color w:val="auto"/>
        </w:rPr>
      </w:pPr>
    </w:p>
    <w:p>
      <w:pPr>
        <w:ind w:left="340" w:right="240" w:firstLine="324"/>
        <w:spacing w:after="0" w:line="266" w:lineRule="auto"/>
        <w:rPr>
          <w:sz w:val="20"/>
          <w:szCs w:val="20"/>
          <w:color w:val="auto"/>
        </w:rPr>
      </w:pPr>
      <w:r>
        <w:rPr>
          <w:rFonts w:ascii="Times New Roman" w:cs="Times New Roman" w:eastAsia="Times New Roman" w:hAnsi="Times New Roman"/>
          <w:sz w:val="18"/>
          <w:szCs w:val="18"/>
          <w:color w:val="auto"/>
        </w:rPr>
        <w:t>To the extent that we continue to qualify as a "smaller reporting company," as such term is defined in Rule 12b-2 under the Securities Exchange Act of 1934, after we cease to qualify as an emerging growth company, we will continue to be permitted to make certain reduced disclosures in our periodic reports and other documents that we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20"/>
          </w:cols>
          <w:pgMar w:left="660" w:top="117" w:right="10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806450</wp:posOffset>
            </wp:positionV>
            <wp:extent cx="7136130" cy="671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71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200"/>
          </w:cols>
          <w:pgMar w:left="660" w:top="117" w:right="1039" w:bottom="1440" w:gutter="0" w:footer="0" w:header="0"/>
        </w:sectPr>
      </w:pP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Class A common stock offered by us in this offering</w:t>
      </w:r>
    </w:p>
    <w:p>
      <w:pPr>
        <w:spacing w:after="0" w:line="77" w:lineRule="exact"/>
        <w:rPr>
          <w:sz w:val="20"/>
          <w:szCs w:val="20"/>
          <w:color w:val="auto"/>
        </w:rPr>
      </w:pPr>
    </w:p>
    <w:p>
      <w:pPr>
        <w:ind w:left="520" w:hanging="161"/>
        <w:spacing w:after="0" w:line="237" w:lineRule="auto"/>
        <w:rPr>
          <w:sz w:val="20"/>
          <w:szCs w:val="20"/>
          <w:color w:val="auto"/>
        </w:rPr>
      </w:pPr>
      <w:r>
        <w:rPr>
          <w:rFonts w:ascii="Times New Roman" w:cs="Times New Roman" w:eastAsia="Times New Roman" w:hAnsi="Times New Roman"/>
          <w:sz w:val="18"/>
          <w:szCs w:val="18"/>
          <w:color w:val="auto"/>
        </w:rPr>
        <w:t>Underwriter’s option to purchase additional shares of Class A common stock from us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8,825,000 shares</w:t>
      </w:r>
    </w:p>
    <w:p>
      <w:pPr>
        <w:spacing w:after="0" w:line="77" w:lineRule="exact"/>
        <w:rPr>
          <w:sz w:val="20"/>
          <w:szCs w:val="20"/>
          <w:color w:val="auto"/>
        </w:rPr>
      </w:pPr>
    </w:p>
    <w:p>
      <w:pPr>
        <w:jc w:val="both"/>
        <w:ind w:right="240"/>
        <w:spacing w:after="0" w:line="226" w:lineRule="auto"/>
        <w:rPr>
          <w:sz w:val="20"/>
          <w:szCs w:val="20"/>
          <w:color w:val="auto"/>
        </w:rPr>
      </w:pPr>
      <w:r>
        <w:rPr>
          <w:rFonts w:ascii="Times New Roman" w:cs="Times New Roman" w:eastAsia="Times New Roman" w:hAnsi="Times New Roman"/>
          <w:sz w:val="18"/>
          <w:szCs w:val="18"/>
          <w:color w:val="auto"/>
        </w:rPr>
        <w:t>The underwriters have been granted an option to purchase up to 1,323,750 additional shares of Class A common stock from us at any time within 30 days from the date of this prospectus.</w:t>
      </w:r>
    </w:p>
    <w:p>
      <w:pPr>
        <w:spacing w:after="0" w:line="50" w:lineRule="exact"/>
        <w:rPr>
          <w:sz w:val="20"/>
          <w:szCs w:val="20"/>
          <w:color w:val="auto"/>
        </w:rPr>
      </w:pPr>
    </w:p>
    <w:p>
      <w:pPr>
        <w:sectPr>
          <w:pgSz w:w="11900" w:h="16838" w:orient="portrait"/>
          <w:cols w:equalWidth="0" w:num="2">
            <w:col w:w="4800" w:space="500"/>
            <w:col w:w="4900"/>
          </w:cols>
          <w:pgMar w:left="660" w:top="117" w:right="10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Class A common stock to be sold in concurrent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0" w:hanging="161"/>
        <w:spacing w:after="0" w:line="237" w:lineRule="auto"/>
        <w:rPr>
          <w:sz w:val="20"/>
          <w:szCs w:val="20"/>
          <w:color w:val="auto"/>
        </w:rPr>
      </w:pPr>
      <w:r>
        <w:rPr>
          <w:rFonts w:ascii="Times New Roman" w:cs="Times New Roman" w:eastAsia="Times New Roman" w:hAnsi="Times New Roman"/>
          <w:sz w:val="18"/>
          <w:szCs w:val="18"/>
          <w:color w:val="auto"/>
        </w:rPr>
        <w:t>Voluntary conversion of certain shares of Class B common stock to Class A common stock</w:t>
      </w:r>
    </w:p>
    <w:p>
      <w:pPr>
        <w:spacing w:after="0" w:line="20" w:lineRule="exact"/>
        <w:rPr>
          <w:sz w:val="20"/>
          <w:szCs w:val="20"/>
          <w:color w:val="auto"/>
        </w:rPr>
      </w:pPr>
      <w:r>
        <w:rPr>
          <w:sz w:val="20"/>
          <w:szCs w:val="20"/>
          <w:color w:val="auto"/>
        </w:rPr>
        <w:br w:type="column"/>
      </w:r>
    </w:p>
    <w:p>
      <w:pPr>
        <w:spacing w:after="0" w:line="217" w:lineRule="auto"/>
        <w:rPr>
          <w:sz w:val="20"/>
          <w:szCs w:val="20"/>
          <w:color w:val="auto"/>
        </w:rPr>
      </w:pPr>
      <w:r>
        <w:rPr>
          <w:rFonts w:ascii="Times New Roman" w:cs="Times New Roman" w:eastAsia="Times New Roman" w:hAnsi="Times New Roman"/>
          <w:sz w:val="17"/>
          <w:szCs w:val="17"/>
          <w:color w:val="auto"/>
        </w:rPr>
        <w:t>Immediately subsequent to the closing of this offering, each of Fidelity Management &amp; Research Company LLC, SoftBank, certain funds and accounts advised by T. Rowe Price Associates, Inc. and aMoon Fund will purchase from us, severally and not jointly, in a private placement $135.0 million of our Class A common stock at a price per share equal to the initial public offering price. Based on an assumed initial public offering price of $17.00 per share, which is the midpoint of the price range set forth on the cover page of this prospectus, each of Fidelity Management &amp; Research Company LLC, SoftBank and certain funds and accounts advised by T. Rowe Price Associates, Inc. would each purchase 2,352,941 shares of our Class A common stock and aMoon Fund would</w:t>
      </w:r>
    </w:p>
    <w:p>
      <w:pPr>
        <w:spacing w:after="0" w:line="5" w:lineRule="exact"/>
        <w:rPr>
          <w:sz w:val="20"/>
          <w:szCs w:val="20"/>
          <w:color w:val="auto"/>
        </w:rPr>
      </w:pPr>
    </w:p>
    <w:p>
      <w:pPr>
        <w:spacing w:after="0" w:line="206" w:lineRule="auto"/>
        <w:rPr>
          <w:sz w:val="20"/>
          <w:szCs w:val="20"/>
          <w:color w:val="auto"/>
        </w:rPr>
      </w:pPr>
      <w:r>
        <w:rPr>
          <w:rFonts w:ascii="Times New Roman" w:cs="Times New Roman" w:eastAsia="Times New Roman" w:hAnsi="Times New Roman"/>
          <w:sz w:val="18"/>
          <w:szCs w:val="18"/>
          <w:color w:val="auto"/>
        </w:rPr>
        <w:t>purchase 882,352 shares of our Class A common stock, for an aggregate of 7,941,175 shares of our Class A common stock. We will pay J.P. Morgan Securities LLC, Morgan Stanley &amp; Co. LLC, BofA Securities Inc. and Cowen and Company, LLC an aggregate commission of $4.725 million with respect to the shares that are sold in the private placement. The sale of the shares in the private placement is contingent upon the completion of this offering. The sale of these shares will not be registered in this offering and will be subject to a lock-up agreement with the underwriters for a period of 180 days after the date of this prospectus. See “Shares Eligible for Future Sale—Lock-Up and Market Standoff Agreements” for additional information regarding such restrictions. We refer to the private placement of these shares of Class A common stock as the concurrent private placement.</w:t>
      </w:r>
    </w:p>
    <w:p>
      <w:pPr>
        <w:spacing w:after="0" w:line="220"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8"/>
          <w:szCs w:val="18"/>
          <w:color w:val="auto"/>
        </w:rPr>
        <w:t>In addition, SoftBank has agreed to purchase 588,235 shares of our Class A common stock from Dynamics Group LLC, for which our Chief Executive Officer, Omid Farokhzad, M.D., is the sole member, at a price per share equal to the initial public offering price, which will concurrently close with the private placement. We refer to the sale of these shares of Class A common stock by Dynamics Group LLC as the secondary transaction.</w:t>
      </w:r>
    </w:p>
    <w:p>
      <w:pPr>
        <w:spacing w:after="0" w:line="294" w:lineRule="exact"/>
        <w:rPr>
          <w:sz w:val="20"/>
          <w:szCs w:val="20"/>
          <w:color w:val="auto"/>
        </w:rPr>
      </w:pPr>
    </w:p>
    <w:p>
      <w:pPr>
        <w:ind w:right="80"/>
        <w:spacing w:after="0" w:line="213" w:lineRule="auto"/>
        <w:rPr>
          <w:sz w:val="20"/>
          <w:szCs w:val="20"/>
          <w:color w:val="auto"/>
        </w:rPr>
      </w:pPr>
      <w:r>
        <w:rPr>
          <w:rFonts w:ascii="Times New Roman" w:cs="Times New Roman" w:eastAsia="Times New Roman" w:hAnsi="Times New Roman"/>
          <w:sz w:val="18"/>
          <w:szCs w:val="18"/>
          <w:color w:val="auto"/>
        </w:rPr>
        <w:t>OCF 2014 Trust, an entity affiliated with Dr. Farokhzad intends to convert 2,803,737 shares of Class B common stock (based upon an assumed initial public offering price of $17.00 per share, which is the midpoint of the price range set forth on the cover page of this prospectus) to an equal amount of Class A common stock contingent upon, and immediately prior to, the completion of this offering. We refer to this conversion as the voluntary conversion.</w:t>
      </w:r>
    </w:p>
    <w:p>
      <w:pPr>
        <w:spacing w:after="0" w:line="200" w:lineRule="exact"/>
        <w:rPr>
          <w:sz w:val="20"/>
          <w:szCs w:val="20"/>
          <w:color w:val="auto"/>
        </w:rPr>
      </w:pPr>
    </w:p>
    <w:p>
      <w:pPr>
        <w:sectPr>
          <w:pgSz w:w="11900" w:h="16838" w:orient="portrait"/>
          <w:cols w:equalWidth="0" w:num="2">
            <w:col w:w="5200" w:space="100"/>
            <w:col w:w="4900"/>
          </w:cols>
          <w:pgMar w:left="660" w:top="117"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00"/>
          </w:cols>
          <w:pgMar w:left="660" w:top="117" w:right="1039" w:bottom="1440" w:gutter="0" w:footer="0" w:header="0"/>
          <w:type w:val="continuous"/>
        </w:sectPr>
      </w:pPr>
    </w:p>
    <w:bookmarkStart w:id="13" w:name="page14"/>
    <w:bookmarkEnd w:id="13"/>
    <w:p>
      <w:pPr>
        <w:spacing w:after="0"/>
        <w:rPr>
          <w:rFonts w:ascii="Times New Roman" w:cs="Times New Roman" w:eastAsia="Times New Roman" w:hAnsi="Times New Roman"/>
          <w:sz w:val="17"/>
          <w:szCs w:val="17"/>
          <w:b w:val="1"/>
          <w:bCs w:val="1"/>
          <w:u w:val="single" w:color="auto"/>
          <w:color w:val="0000FF"/>
        </w:rPr>
      </w:pPr>
      <w:hyperlink w:anchor="page2">
        <w:r>
          <w:rPr>
            <w:rFonts w:ascii="Times New Roman" w:cs="Times New Roman" w:eastAsia="Times New Roman" w:hAnsi="Times New Roman"/>
            <w:sz w:val="17"/>
            <w:szCs w:val="17"/>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814070</wp:posOffset>
            </wp:positionV>
            <wp:extent cx="7136130" cy="5781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781675"/>
                    </a:xfrm>
                    <a:prstGeom prst="rect">
                      <a:avLst/>
                    </a:prstGeom>
                    <a:noFill/>
                  </pic:spPr>
                </pic:pic>
              </a:graphicData>
            </a:graphic>
          </wp:anchor>
        </w:drawing>
      </w:r>
    </w:p>
    <w:p>
      <w:pPr>
        <w:sectPr>
          <w:pgSz w:w="11900" w:h="16838" w:orient="portrait"/>
          <w:cols w:equalWidth="0" w:num="1">
            <w:col w:w="10200"/>
          </w:cols>
          <w:pgMar w:left="660" w:top="11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0" w:hanging="161"/>
        <w:spacing w:after="0" w:line="226" w:lineRule="auto"/>
        <w:rPr>
          <w:sz w:val="20"/>
          <w:szCs w:val="20"/>
          <w:color w:val="auto"/>
        </w:rPr>
      </w:pPr>
      <w:r>
        <w:rPr>
          <w:rFonts w:ascii="Times New Roman" w:cs="Times New Roman" w:eastAsia="Times New Roman" w:hAnsi="Times New Roman"/>
          <w:sz w:val="18"/>
          <w:szCs w:val="18"/>
          <w:color w:val="auto"/>
        </w:rPr>
        <w:t>Class A common stock to be outstanding after this offering and the concurrent private placement, secondary transaction and voluntary conversion</w:t>
      </w:r>
    </w:p>
    <w:p>
      <w:pPr>
        <w:spacing w:after="0" w:line="50" w:lineRule="exact"/>
        <w:rPr>
          <w:sz w:val="20"/>
          <w:szCs w:val="20"/>
          <w:color w:val="auto"/>
        </w:rPr>
      </w:pPr>
    </w:p>
    <w:p>
      <w:pPr>
        <w:ind w:left="520" w:right="20" w:hanging="161"/>
        <w:spacing w:after="0" w:line="226" w:lineRule="auto"/>
        <w:rPr>
          <w:sz w:val="20"/>
          <w:szCs w:val="20"/>
          <w:color w:val="auto"/>
        </w:rPr>
      </w:pPr>
      <w:r>
        <w:rPr>
          <w:rFonts w:ascii="Times New Roman" w:cs="Times New Roman" w:eastAsia="Times New Roman" w:hAnsi="Times New Roman"/>
          <w:sz w:val="18"/>
          <w:szCs w:val="18"/>
          <w:color w:val="auto"/>
        </w:rPr>
        <w:t>Class B common stock to be outstanding after this offering and the concurrent private placement, secondary transaction and voluntary conversion</w:t>
      </w:r>
    </w:p>
    <w:p>
      <w:pPr>
        <w:spacing w:after="0" w:line="50" w:lineRule="exact"/>
        <w:rPr>
          <w:sz w:val="20"/>
          <w:szCs w:val="20"/>
          <w:color w:val="auto"/>
        </w:rPr>
      </w:pPr>
    </w:p>
    <w:p>
      <w:pPr>
        <w:ind w:left="520" w:right="340" w:hanging="161"/>
        <w:spacing w:after="0" w:line="226" w:lineRule="auto"/>
        <w:rPr>
          <w:sz w:val="20"/>
          <w:szCs w:val="20"/>
          <w:color w:val="auto"/>
        </w:rPr>
      </w:pPr>
      <w:r>
        <w:rPr>
          <w:rFonts w:ascii="Times New Roman" w:cs="Times New Roman" w:eastAsia="Times New Roman" w:hAnsi="Times New Roman"/>
          <w:sz w:val="18"/>
          <w:szCs w:val="18"/>
          <w:color w:val="auto"/>
        </w:rPr>
        <w:t>Total Class A common stock and Class B common stock to be outstanding after this offering and the concurrent private placement, secondary transaction and voluntary conversion</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52,481,490 shares (or 53,805,240 shares if the underwriters exercise their option to purchase additional shares in full)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5,953,812 shares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58,435,302 shares</w:t>
      </w:r>
    </w:p>
    <w:p>
      <w:pPr>
        <w:spacing w:after="0" w:line="77" w:lineRule="exact"/>
        <w:rPr>
          <w:sz w:val="20"/>
          <w:szCs w:val="20"/>
          <w:color w:val="auto"/>
        </w:rPr>
      </w:pPr>
    </w:p>
    <w:p>
      <w:pPr>
        <w:ind w:right="80"/>
        <w:spacing w:after="0" w:line="212"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and the concurrent private placement will be approximately $266.7 million (or approximately $287.7 million if the underwriters exercise their option to purchase additional shares in full), based upon the assumed initial public offering price of $17.00 per share, which is the midpoint of the price range set forth on the cover page of this prospectus, after deducting the underwriting discounts and commissions and estimated offering expenses payable by us.</w:t>
      </w:r>
    </w:p>
    <w:p>
      <w:pPr>
        <w:spacing w:after="0" w:line="49"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8"/>
          <w:szCs w:val="18"/>
          <w:color w:val="auto"/>
        </w:rPr>
        <w:t>The principal purposes of this offering and the concurrent private placement are to obtain additional capital to support our operations, establish a public market for our Class A common stock and facilitate our future access to the public capital markets.</w:t>
      </w:r>
    </w:p>
    <w:p>
      <w:pPr>
        <w:spacing w:after="0" w:line="51"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and the concurrent private placement, together with our existing cash, to commercialize our Proteograph Product Suite through our ongoing sales and marketing activities, and for other development work associated with advancing our Proteograph Product Suite, research and development and general corporate purposes.</w:t>
      </w:r>
    </w:p>
    <w:p>
      <w:pPr>
        <w:spacing w:after="0" w:line="162" w:lineRule="exact"/>
        <w:rPr>
          <w:sz w:val="20"/>
          <w:szCs w:val="20"/>
          <w:color w:val="auto"/>
        </w:rPr>
      </w:pPr>
    </w:p>
    <w:p>
      <w:pPr>
        <w:ind w:right="120"/>
        <w:spacing w:after="0" w:line="214" w:lineRule="auto"/>
        <w:rPr>
          <w:sz w:val="20"/>
          <w:szCs w:val="20"/>
          <w:color w:val="auto"/>
        </w:rPr>
      </w:pPr>
      <w:r>
        <w:rPr>
          <w:rFonts w:ascii="Times New Roman" w:cs="Times New Roman" w:eastAsia="Times New Roman" w:hAnsi="Times New Roman"/>
          <w:sz w:val="18"/>
          <w:szCs w:val="18"/>
          <w:color w:val="auto"/>
        </w:rPr>
        <w:t>We may also use a portion of the proceeds to in-license, acquire or invest in additional businesses, technologies, products or assets. Although we have no specific agreements, commitments or understandings with respect to any in-licensing activity or acquisitions, we evaluate these opportunities and engage in related discussions with other companies from time-to-time.</w:t>
      </w:r>
    </w:p>
    <w:p>
      <w:pPr>
        <w:spacing w:after="0" w:line="16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8"/>
          <w:szCs w:val="18"/>
          <w:color w:val="auto"/>
        </w:rPr>
        <w:t>See “Risk Factors” beginning on page 19 and other information included in this prospectus for a discussion of factors that you should consider carefully before deciding to invest in our Class A common stock.</w:t>
      </w:r>
    </w:p>
    <w:p>
      <w:pPr>
        <w:spacing w:after="0" w:line="200" w:lineRule="exact"/>
        <w:rPr>
          <w:sz w:val="20"/>
          <w:szCs w:val="20"/>
          <w:color w:val="auto"/>
        </w:rPr>
      </w:pPr>
    </w:p>
    <w:p>
      <w:pPr>
        <w:sectPr>
          <w:pgSz w:w="11900" w:h="16838" w:orient="portrait"/>
          <w:cols w:equalWidth="0" w:num="2">
            <w:col w:w="5180" w:space="120"/>
            <w:col w:w="4900"/>
          </w:cols>
          <w:pgMar w:left="660" w:top="117"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200"/>
          </w:cols>
          <w:pgMar w:left="660" w:top="117" w:right="10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806450</wp:posOffset>
            </wp:positionV>
            <wp:extent cx="7136130" cy="7093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0"/>
        <w:spacing w:after="0"/>
        <w:tabs>
          <w:tab w:leader="none" w:pos="5280" w:val="left"/>
        </w:tabs>
        <w:rPr>
          <w:sz w:val="20"/>
          <w:szCs w:val="20"/>
          <w:color w:val="auto"/>
        </w:rPr>
      </w:pPr>
      <w:r>
        <w:rPr>
          <w:rFonts w:ascii="Times New Roman" w:cs="Times New Roman" w:eastAsia="Times New Roman" w:hAnsi="Times New Roman"/>
          <w:sz w:val="18"/>
          <w:szCs w:val="18"/>
          <w:color w:val="auto"/>
        </w:rPr>
        <w:t>Voting rights</w:t>
      </w:r>
      <w:r>
        <w:rPr>
          <w:sz w:val="20"/>
          <w:szCs w:val="20"/>
          <w:color w:val="auto"/>
        </w:rPr>
        <w:tab/>
      </w:r>
      <w:r>
        <w:rPr>
          <w:rFonts w:ascii="Times New Roman" w:cs="Times New Roman" w:eastAsia="Times New Roman" w:hAnsi="Times New Roman"/>
          <w:sz w:val="17"/>
          <w:szCs w:val="17"/>
          <w:color w:val="auto"/>
        </w:rPr>
        <w:t>Shares of Class A common stock are entitled to one vote per share.</w:t>
      </w:r>
    </w:p>
    <w:p>
      <w:pPr>
        <w:spacing w:after="0" w:line="1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Shares of Class B common stock are entitled to ten votes per share.</w:t>
      </w:r>
    </w:p>
    <w:p>
      <w:pPr>
        <w:spacing w:after="0" w:line="11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Holders of our Class A common stock and Class B common stock</w:t>
      </w:r>
    </w:p>
    <w:p>
      <w:pPr>
        <w:ind w:left="5300"/>
        <w:spacing w:after="0" w:line="203" w:lineRule="auto"/>
        <w:rPr>
          <w:sz w:val="20"/>
          <w:szCs w:val="20"/>
          <w:color w:val="auto"/>
        </w:rPr>
      </w:pPr>
      <w:r>
        <w:rPr>
          <w:rFonts w:ascii="Times New Roman" w:cs="Times New Roman" w:eastAsia="Times New Roman" w:hAnsi="Times New Roman"/>
          <w:sz w:val="18"/>
          <w:szCs w:val="18"/>
          <w:color w:val="auto"/>
        </w:rPr>
        <w:t>will generally vote together as a single class, unless otherwise</w:t>
      </w:r>
    </w:p>
    <w:p>
      <w:pPr>
        <w:ind w:left="5300"/>
        <w:spacing w:after="0" w:line="203" w:lineRule="auto"/>
        <w:rPr>
          <w:sz w:val="20"/>
          <w:szCs w:val="20"/>
          <w:color w:val="auto"/>
        </w:rPr>
      </w:pPr>
      <w:r>
        <w:rPr>
          <w:rFonts w:ascii="Times New Roman" w:cs="Times New Roman" w:eastAsia="Times New Roman" w:hAnsi="Times New Roman"/>
          <w:sz w:val="18"/>
          <w:szCs w:val="18"/>
          <w:color w:val="auto"/>
        </w:rPr>
        <w:t>required by law or our amended and restated certificate of</w:t>
      </w:r>
    </w:p>
    <w:p>
      <w:pPr>
        <w:ind w:left="5300"/>
        <w:spacing w:after="0" w:line="204" w:lineRule="auto"/>
        <w:rPr>
          <w:sz w:val="20"/>
          <w:szCs w:val="20"/>
          <w:color w:val="auto"/>
        </w:rPr>
      </w:pPr>
      <w:r>
        <w:rPr>
          <w:rFonts w:ascii="Times New Roman" w:cs="Times New Roman" w:eastAsia="Times New Roman" w:hAnsi="Times New Roman"/>
          <w:sz w:val="18"/>
          <w:szCs w:val="18"/>
          <w:color w:val="auto"/>
        </w:rPr>
        <w:t>incorporation. Upon completion of this offering, the concurrent</w:t>
      </w:r>
    </w:p>
    <w:p>
      <w:pPr>
        <w:ind w:left="5300"/>
        <w:spacing w:after="0" w:line="203" w:lineRule="auto"/>
        <w:rPr>
          <w:sz w:val="20"/>
          <w:szCs w:val="20"/>
          <w:color w:val="auto"/>
        </w:rPr>
      </w:pPr>
      <w:r>
        <w:rPr>
          <w:rFonts w:ascii="Times New Roman" w:cs="Times New Roman" w:eastAsia="Times New Roman" w:hAnsi="Times New Roman"/>
          <w:sz w:val="18"/>
          <w:szCs w:val="18"/>
          <w:color w:val="auto"/>
        </w:rPr>
        <w:t>private placement, the secondary transaction and the voluntary</w:t>
      </w:r>
    </w:p>
    <w:p>
      <w:pPr>
        <w:ind w:left="5300"/>
        <w:spacing w:after="0" w:line="204" w:lineRule="auto"/>
        <w:rPr>
          <w:sz w:val="20"/>
          <w:szCs w:val="20"/>
          <w:color w:val="auto"/>
        </w:rPr>
      </w:pPr>
      <w:r>
        <w:rPr>
          <w:rFonts w:ascii="Times New Roman" w:cs="Times New Roman" w:eastAsia="Times New Roman" w:hAnsi="Times New Roman"/>
          <w:sz w:val="18"/>
          <w:szCs w:val="18"/>
          <w:color w:val="auto"/>
        </w:rPr>
        <w:t>conversion, holders of our outstanding Class B common stock,</w:t>
      </w:r>
    </w:p>
    <w:p>
      <w:pPr>
        <w:ind w:left="5300"/>
        <w:spacing w:after="0" w:line="203" w:lineRule="auto"/>
        <w:rPr>
          <w:sz w:val="20"/>
          <w:szCs w:val="20"/>
          <w:color w:val="auto"/>
        </w:rPr>
      </w:pPr>
      <w:r>
        <w:rPr>
          <w:rFonts w:ascii="Times New Roman" w:cs="Times New Roman" w:eastAsia="Times New Roman" w:hAnsi="Times New Roman"/>
          <w:sz w:val="18"/>
          <w:szCs w:val="18"/>
          <w:color w:val="auto"/>
        </w:rPr>
        <w:t>which includes our Chief Executive Officer, will hold</w:t>
      </w:r>
    </w:p>
    <w:p>
      <w:pPr>
        <w:ind w:left="5300"/>
        <w:spacing w:after="0" w:line="204" w:lineRule="auto"/>
        <w:rPr>
          <w:sz w:val="20"/>
          <w:szCs w:val="20"/>
          <w:color w:val="auto"/>
        </w:rPr>
      </w:pPr>
      <w:r>
        <w:rPr>
          <w:rFonts w:ascii="Times New Roman" w:cs="Times New Roman" w:eastAsia="Times New Roman" w:hAnsi="Times New Roman"/>
          <w:sz w:val="18"/>
          <w:szCs w:val="18"/>
          <w:color w:val="auto"/>
        </w:rPr>
        <w:t>approximately 53.1% of the voting power of our outstanding capital</w:t>
      </w:r>
    </w:p>
    <w:p>
      <w:pPr>
        <w:ind w:left="5300"/>
        <w:spacing w:after="0" w:line="203" w:lineRule="auto"/>
        <w:rPr>
          <w:sz w:val="20"/>
          <w:szCs w:val="20"/>
          <w:color w:val="auto"/>
        </w:rPr>
      </w:pPr>
      <w:r>
        <w:rPr>
          <w:rFonts w:ascii="Times New Roman" w:cs="Times New Roman" w:eastAsia="Times New Roman" w:hAnsi="Times New Roman"/>
          <w:sz w:val="18"/>
          <w:szCs w:val="18"/>
          <w:color w:val="auto"/>
        </w:rPr>
        <w:t>stock and will have the ability to control the outcome of matters</w:t>
      </w:r>
    </w:p>
    <w:p>
      <w:pPr>
        <w:ind w:left="5300"/>
        <w:spacing w:after="0" w:line="204" w:lineRule="auto"/>
        <w:rPr>
          <w:sz w:val="20"/>
          <w:szCs w:val="20"/>
          <w:color w:val="auto"/>
        </w:rPr>
      </w:pPr>
      <w:r>
        <w:rPr>
          <w:rFonts w:ascii="Times New Roman" w:cs="Times New Roman" w:eastAsia="Times New Roman" w:hAnsi="Times New Roman"/>
          <w:sz w:val="18"/>
          <w:szCs w:val="18"/>
          <w:color w:val="auto"/>
        </w:rPr>
        <w:t>submitted to our stockholders for approval, including the election of</w:t>
      </w:r>
    </w:p>
    <w:p>
      <w:pPr>
        <w:ind w:left="5300"/>
        <w:spacing w:after="0" w:line="203" w:lineRule="auto"/>
        <w:rPr>
          <w:sz w:val="20"/>
          <w:szCs w:val="20"/>
          <w:color w:val="auto"/>
        </w:rPr>
      </w:pPr>
      <w:r>
        <w:rPr>
          <w:rFonts w:ascii="Times New Roman" w:cs="Times New Roman" w:eastAsia="Times New Roman" w:hAnsi="Times New Roman"/>
          <w:sz w:val="18"/>
          <w:szCs w:val="18"/>
          <w:color w:val="auto"/>
        </w:rPr>
        <w:t>our directors, amendments of our organizational documents and any</w:t>
      </w:r>
    </w:p>
    <w:p>
      <w:pPr>
        <w:ind w:left="5300"/>
        <w:spacing w:after="0" w:line="204" w:lineRule="auto"/>
        <w:rPr>
          <w:sz w:val="20"/>
          <w:szCs w:val="20"/>
          <w:color w:val="auto"/>
        </w:rPr>
      </w:pPr>
      <w:r>
        <w:rPr>
          <w:rFonts w:ascii="Times New Roman" w:cs="Times New Roman" w:eastAsia="Times New Roman" w:hAnsi="Times New Roman"/>
          <w:sz w:val="18"/>
          <w:szCs w:val="18"/>
          <w:color w:val="auto"/>
        </w:rPr>
        <w:t>merger, consolidation, sale of all or substantially all of our assets or</w:t>
      </w:r>
    </w:p>
    <w:p>
      <w:pPr>
        <w:ind w:left="5300"/>
        <w:spacing w:after="0" w:line="203" w:lineRule="auto"/>
        <w:rPr>
          <w:sz w:val="20"/>
          <w:szCs w:val="20"/>
          <w:color w:val="auto"/>
        </w:rPr>
      </w:pPr>
      <w:r>
        <w:rPr>
          <w:rFonts w:ascii="Times New Roman" w:cs="Times New Roman" w:eastAsia="Times New Roman" w:hAnsi="Times New Roman"/>
          <w:sz w:val="18"/>
          <w:szCs w:val="18"/>
          <w:color w:val="auto"/>
        </w:rPr>
        <w:t>other major corporate transactions. See the sections titled “Principal</w:t>
      </w:r>
    </w:p>
    <w:p>
      <w:pPr>
        <w:ind w:left="5300"/>
        <w:spacing w:after="0" w:line="204" w:lineRule="auto"/>
        <w:rPr>
          <w:sz w:val="20"/>
          <w:szCs w:val="20"/>
          <w:color w:val="auto"/>
        </w:rPr>
      </w:pPr>
      <w:r>
        <w:rPr>
          <w:rFonts w:ascii="Times New Roman" w:cs="Times New Roman" w:eastAsia="Times New Roman" w:hAnsi="Times New Roman"/>
          <w:sz w:val="18"/>
          <w:szCs w:val="18"/>
          <w:color w:val="auto"/>
        </w:rPr>
        <w:t>Stockholders” and “Description of Capital Stock” for additional</w:t>
      </w:r>
    </w:p>
    <w:p>
      <w:pPr>
        <w:ind w:left="5300"/>
        <w:spacing w:after="0"/>
        <w:rPr>
          <w:sz w:val="20"/>
          <w:szCs w:val="20"/>
          <w:color w:val="auto"/>
        </w:rPr>
      </w:pPr>
      <w:r>
        <w:rPr>
          <w:rFonts w:ascii="Times New Roman" w:cs="Times New Roman" w:eastAsia="Times New Roman" w:hAnsi="Times New Roman"/>
          <w:sz w:val="18"/>
          <w:szCs w:val="18"/>
          <w:color w:val="auto"/>
        </w:rPr>
        <w:t>information.</w:t>
      </w:r>
    </w:p>
    <w:p>
      <w:pPr>
        <w:spacing w:after="0" w:line="57" w:lineRule="exact"/>
        <w:rPr>
          <w:sz w:val="20"/>
          <w:szCs w:val="20"/>
          <w:color w:val="auto"/>
        </w:rPr>
      </w:pPr>
    </w:p>
    <w:p>
      <w:pPr>
        <w:ind w:left="360"/>
        <w:spacing w:after="0"/>
        <w:tabs>
          <w:tab w:leader="none" w:pos="5280" w:val="left"/>
        </w:tabs>
        <w:rPr>
          <w:sz w:val="20"/>
          <w:szCs w:val="20"/>
          <w:color w:val="auto"/>
        </w:rPr>
      </w:pPr>
      <w:r>
        <w:rPr>
          <w:rFonts w:ascii="Times New Roman" w:cs="Times New Roman" w:eastAsia="Times New Roman" w:hAnsi="Times New Roman"/>
          <w:sz w:val="18"/>
          <w:szCs w:val="18"/>
          <w:color w:val="auto"/>
        </w:rPr>
        <w:t>Proposed Nasdaq Global Select Market trading symbol</w:t>
      </w:r>
      <w:r>
        <w:rPr>
          <w:sz w:val="20"/>
          <w:szCs w:val="20"/>
          <w:color w:val="auto"/>
        </w:rPr>
        <w:tab/>
      </w:r>
      <w:r>
        <w:rPr>
          <w:rFonts w:ascii="Times New Roman" w:cs="Times New Roman" w:eastAsia="Times New Roman" w:hAnsi="Times New Roman"/>
          <w:sz w:val="18"/>
          <w:szCs w:val="18"/>
          <w:color w:val="auto"/>
        </w:rPr>
        <w:t>“SEER”</w:t>
      </w:r>
    </w:p>
    <w:p>
      <w:pPr>
        <w:spacing w:after="0" w:line="171" w:lineRule="exact"/>
        <w:rPr>
          <w:sz w:val="20"/>
          <w:szCs w:val="20"/>
          <w:color w:val="auto"/>
        </w:rPr>
      </w:pPr>
    </w:p>
    <w:p>
      <w:pPr>
        <w:ind w:left="340" w:right="220" w:firstLine="324"/>
        <w:spacing w:after="0" w:line="261"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the concurrent private placement, the secondary transaction and voluntary conversion is based on 32,323,343 shares of our Class A common stock (after giving effect to the conversion of all of our shares of convertible preferred stock) and 9,345,784 shares of our Class B common stock outstanding as of September 30, 2020, and excludes the following:</w:t>
      </w:r>
    </w:p>
    <w:p>
      <w:pPr>
        <w:spacing w:after="0" w:line="126" w:lineRule="exact"/>
        <w:rPr>
          <w:sz w:val="20"/>
          <w:szCs w:val="20"/>
          <w:color w:val="auto"/>
        </w:rPr>
      </w:pPr>
    </w:p>
    <w:p>
      <w:pPr>
        <w:ind w:left="980" w:right="20" w:hanging="322"/>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7,553,500 shares of our Class A common stock issuable upon the exercise of options to purchase shares of our Class A common stock outstanding as of September 30, 2020, with a weighted-average exercise price of $2.51 per share;</w:t>
      </w:r>
    </w:p>
    <w:p>
      <w:pPr>
        <w:spacing w:after="0" w:line="107" w:lineRule="exact"/>
        <w:rPr>
          <w:rFonts w:ascii="Times New Roman" w:cs="Times New Roman" w:eastAsia="Times New Roman" w:hAnsi="Times New Roman"/>
          <w:sz w:val="18"/>
          <w:szCs w:val="18"/>
          <w:color w:val="auto"/>
        </w:rPr>
      </w:pPr>
    </w:p>
    <w:p>
      <w:pPr>
        <w:ind w:left="980" w:right="140" w:hanging="322"/>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940,646 shares of our Class A common stock issuable upon the exercise of options to purchase shares of our Class A common stock granted after September 30, 2020, with an exercise price of $7.97 per share;</w:t>
      </w:r>
    </w:p>
    <w:p>
      <w:pPr>
        <w:spacing w:after="0" w:line="107" w:lineRule="exact"/>
        <w:rPr>
          <w:rFonts w:ascii="Times New Roman" w:cs="Times New Roman" w:eastAsia="Times New Roman" w:hAnsi="Times New Roman"/>
          <w:sz w:val="18"/>
          <w:szCs w:val="18"/>
          <w:color w:val="auto"/>
        </w:rPr>
      </w:pPr>
    </w:p>
    <w:p>
      <w:pPr>
        <w:ind w:left="980" w:right="520" w:hanging="322"/>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335,194 shares of our Class A common stock issuable upon the vesting of restricted stock units (RSUs) outstanding as of September 30, 2020;</w:t>
      </w:r>
    </w:p>
    <w:p>
      <w:pPr>
        <w:spacing w:after="0" w:line="107" w:lineRule="exact"/>
        <w:rPr>
          <w:rFonts w:ascii="Times New Roman" w:cs="Times New Roman" w:eastAsia="Times New Roman" w:hAnsi="Times New Roman"/>
          <w:sz w:val="18"/>
          <w:szCs w:val="18"/>
          <w:color w:val="auto"/>
        </w:rPr>
      </w:pPr>
    </w:p>
    <w:p>
      <w:pPr>
        <w:ind w:left="980" w:hanging="32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46,728 shares of our Class A common stock issuable upon the vesting of RSUs granted after September 30, 2020; and</w:t>
      </w:r>
    </w:p>
    <w:p>
      <w:pPr>
        <w:spacing w:after="0" w:line="171" w:lineRule="exact"/>
        <w:rPr>
          <w:rFonts w:ascii="Times New Roman" w:cs="Times New Roman" w:eastAsia="Times New Roman" w:hAnsi="Times New Roman"/>
          <w:sz w:val="18"/>
          <w:szCs w:val="18"/>
          <w:color w:val="auto"/>
        </w:rPr>
      </w:pPr>
    </w:p>
    <w:p>
      <w:pPr>
        <w:ind w:left="980" w:hanging="32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6,386,892 shares of our Class A common stock reserved for future issuance under our equity compensation plans, consisting of:</w:t>
      </w:r>
    </w:p>
    <w:p>
      <w:pPr>
        <w:spacing w:after="0" w:line="171" w:lineRule="exact"/>
        <w:rPr>
          <w:rFonts w:ascii="Times New Roman" w:cs="Times New Roman" w:eastAsia="Times New Roman" w:hAnsi="Times New Roman"/>
          <w:sz w:val="18"/>
          <w:szCs w:val="18"/>
          <w:color w:val="auto"/>
        </w:rPr>
      </w:pPr>
    </w:p>
    <w:p>
      <w:pPr>
        <w:ind w:left="1300" w:hanging="318"/>
        <w:spacing w:after="0" w:line="261" w:lineRule="auto"/>
        <w:tabs>
          <w:tab w:leader="none" w:pos="12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4,819,859 shares of our Class A common stock to be reserved for future issuance under our 2020 Equity Incentive Plan (our 2020 Plan), which will become effective prior to the completion of this offering, and any additional shares that become available under our 2020 Plan pursuant to provisions thereof that automatically increase the share reserve under the plan each year;</w:t>
      </w:r>
    </w:p>
    <w:p>
      <w:pPr>
        <w:spacing w:after="0" w:line="125" w:lineRule="exact"/>
        <w:rPr>
          <w:rFonts w:ascii="Times New Roman" w:cs="Times New Roman" w:eastAsia="Times New Roman" w:hAnsi="Times New Roman"/>
          <w:sz w:val="18"/>
          <w:szCs w:val="18"/>
          <w:color w:val="auto"/>
        </w:rPr>
      </w:pPr>
    </w:p>
    <w:p>
      <w:pPr>
        <w:ind w:left="1300" w:right="220" w:hanging="318"/>
        <w:spacing w:after="0" w:line="289" w:lineRule="auto"/>
        <w:tabs>
          <w:tab w:leader="none" w:pos="1296"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602,570 shares of common stock reserved for future issuance under our 2020 Employee Stock Purchase Plan (our ESPP) which will become effective in connection with this offering, and any additional shares that become available under our ESPP pursuant to provisions thereof that automatically increase the share reserve under the plan each year; and</w:t>
      </w:r>
    </w:p>
    <w:p>
      <w:pPr>
        <w:spacing w:after="0" w:line="103" w:lineRule="exact"/>
        <w:rPr>
          <w:rFonts w:ascii="Times New Roman" w:cs="Times New Roman" w:eastAsia="Times New Roman" w:hAnsi="Times New Roman"/>
          <w:sz w:val="17"/>
          <w:szCs w:val="17"/>
          <w:color w:val="auto"/>
        </w:rPr>
      </w:pPr>
    </w:p>
    <w:p>
      <w:pPr>
        <w:ind w:left="1300" w:right="180" w:hanging="318"/>
        <w:spacing w:after="0" w:line="282" w:lineRule="auto"/>
        <w:tabs>
          <w:tab w:leader="none" w:pos="12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964,463 shares of our Class A common stock reserved for future issuance under our 2017 Stock Incentive Plan (our 2017 Plan) (and no shares of our Class A common stock reserved for future</w:t>
      </w:r>
    </w:p>
    <w:p>
      <w:pPr>
        <w:sectPr>
          <w:pgSz w:w="11900" w:h="16838" w:orient="portrait"/>
          <w:cols w:equalWidth="0" w:num="1">
            <w:col w:w="10220"/>
          </w:cols>
          <w:pgMar w:left="660" w:top="1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220"/>
          </w:cols>
          <w:pgMar w:left="660" w:top="117" w:right="101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806450</wp:posOffset>
            </wp:positionV>
            <wp:extent cx="7136130" cy="4658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465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issuance under our 2020 RSU Equity Incentive Plan (our RSU Plan)), and upon the termination of such 2017 Plan and RSU Plan in connection with the effectiveness of our 2020 Plan, an equivalent number of shares of our Class A common stock to be added to the shares reserved for future issuance under our 2020 Plan above.</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w:t>
      </w:r>
    </w:p>
    <w:p>
      <w:pPr>
        <w:spacing w:after="0" w:line="171" w:lineRule="exact"/>
        <w:rPr>
          <w:sz w:val="20"/>
          <w:szCs w:val="20"/>
          <w:color w:val="auto"/>
        </w:rPr>
      </w:pPr>
    </w:p>
    <w:p>
      <w:pPr>
        <w:ind w:left="980" w:hanging="322"/>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1-for-2.14 reverse stock split of our common stock and convertible preferred stock that was effected on November 25, 2020;</w:t>
      </w:r>
    </w:p>
    <w:p>
      <w:pPr>
        <w:spacing w:after="0" w:line="171" w:lineRule="exact"/>
        <w:rPr>
          <w:rFonts w:ascii="Times New Roman" w:cs="Times New Roman" w:eastAsia="Times New Roman" w:hAnsi="Times New Roman"/>
          <w:sz w:val="18"/>
          <w:szCs w:val="18"/>
          <w:color w:val="auto"/>
        </w:rPr>
      </w:pPr>
    </w:p>
    <w:p>
      <w:pPr>
        <w:ind w:left="980" w:right="120" w:hanging="322"/>
        <w:spacing w:after="0" w:line="261"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voluntary conversion by OCF 2014 Trust, an entity affiliated with Omid Farokhzad, M.D., of 2,803,737 shares of Class B common stock to an equal amount of Class A common stock contingent upon, and immediately prior to, the completion of this offering (based upon the assumed initial public offering price of $17.00 per share, which is the midpoint of the price range set forth on the cover page of this prospectus);</w:t>
      </w:r>
    </w:p>
    <w:p>
      <w:pPr>
        <w:spacing w:after="0" w:line="125" w:lineRule="exact"/>
        <w:rPr>
          <w:rFonts w:ascii="Times New Roman" w:cs="Times New Roman" w:eastAsia="Times New Roman" w:hAnsi="Times New Roman"/>
          <w:sz w:val="18"/>
          <w:szCs w:val="18"/>
          <w:color w:val="auto"/>
        </w:rPr>
      </w:pPr>
    </w:p>
    <w:p>
      <w:pPr>
        <w:ind w:left="980" w:right="680" w:hanging="322"/>
        <w:spacing w:after="0" w:line="261"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29,026,787 shares of convertible preferred stock that will automatically convert into shares of Class A common stock immediately prior to the completion of this offering pursuant to the terms of our amended and restated certificate of incorporation; the filing and effectiveness of our amended and restated certificate of incorporation in Delaware and the effectiveness of our amended and restated bylaws will each occur immediately prior to the completion of this offering;</w:t>
      </w:r>
    </w:p>
    <w:p>
      <w:pPr>
        <w:spacing w:after="0" w:line="125" w:lineRule="exact"/>
        <w:rPr>
          <w:rFonts w:ascii="Times New Roman" w:cs="Times New Roman" w:eastAsia="Times New Roman" w:hAnsi="Times New Roman"/>
          <w:sz w:val="18"/>
          <w:szCs w:val="18"/>
          <w:color w:val="auto"/>
        </w:rPr>
      </w:pPr>
    </w:p>
    <w:p>
      <w:pPr>
        <w:ind w:left="980" w:right="40" w:hanging="322"/>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 aggregate of 7,941,175 shares of our Class A common stock upon the closing of the concurrent private placement, based upon the assumed initial public offering price of $17.00 per share, which is the midpoint of the price range set forth on the cover page of this prospectus;</w:t>
      </w:r>
    </w:p>
    <w:p>
      <w:pPr>
        <w:spacing w:after="0" w:line="121" w:lineRule="exact"/>
        <w:rPr>
          <w:rFonts w:ascii="Times New Roman" w:cs="Times New Roman" w:eastAsia="Times New Roman" w:hAnsi="Times New Roman"/>
          <w:sz w:val="18"/>
          <w:szCs w:val="18"/>
          <w:color w:val="auto"/>
        </w:rPr>
      </w:pPr>
    </w:p>
    <w:p>
      <w:pPr>
        <w:ind w:left="980" w:right="120" w:hanging="322"/>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588,235 shares of our Class B common stock into Class A common stock in connection with the sale of such shares in the secondary transaction;</w:t>
      </w:r>
    </w:p>
    <w:p>
      <w:pPr>
        <w:spacing w:after="0" w:line="107" w:lineRule="exact"/>
        <w:rPr>
          <w:rFonts w:ascii="Times New Roman" w:cs="Times New Roman" w:eastAsia="Times New Roman" w:hAnsi="Times New Roman"/>
          <w:sz w:val="18"/>
          <w:szCs w:val="18"/>
          <w:color w:val="auto"/>
        </w:rPr>
      </w:pPr>
    </w:p>
    <w:p>
      <w:pPr>
        <w:ind w:left="980" w:hanging="322"/>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stock options or settlement of outstanding RSUs subsequent to September 30, 2020; and</w:t>
      </w:r>
    </w:p>
    <w:p>
      <w:pPr>
        <w:spacing w:after="0" w:line="171" w:lineRule="exact"/>
        <w:rPr>
          <w:rFonts w:ascii="Times New Roman" w:cs="Times New Roman" w:eastAsia="Times New Roman" w:hAnsi="Times New Roman"/>
          <w:sz w:val="18"/>
          <w:szCs w:val="18"/>
          <w:color w:val="auto"/>
        </w:rPr>
      </w:pPr>
    </w:p>
    <w:p>
      <w:pPr>
        <w:ind w:left="980" w:right="200" w:hanging="322"/>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by the underwriters of their option to purchase up to an additional 1,323,750 shares of our Class A common stock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220"/>
          </w:cols>
          <w:pgMar w:left="660" w:top="117" w:right="10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806450</wp:posOffset>
            </wp:positionV>
            <wp:extent cx="7136130" cy="78479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 FINANCIAL AND OTHER DATA</w:t>
      </w:r>
    </w:p>
    <w:p>
      <w:pPr>
        <w:spacing w:after="0" w:line="175" w:lineRule="exact"/>
        <w:rPr>
          <w:sz w:val="20"/>
          <w:szCs w:val="20"/>
          <w:color w:val="auto"/>
        </w:rPr>
      </w:pPr>
    </w:p>
    <w:p>
      <w:pPr>
        <w:ind w:left="340" w:firstLine="324"/>
        <w:spacing w:after="0" w:line="253" w:lineRule="auto"/>
        <w:rPr>
          <w:sz w:val="20"/>
          <w:szCs w:val="20"/>
          <w:color w:val="auto"/>
        </w:rPr>
      </w:pPr>
      <w:r>
        <w:rPr>
          <w:rFonts w:ascii="Times New Roman" w:cs="Times New Roman" w:eastAsia="Times New Roman" w:hAnsi="Times New Roman"/>
          <w:sz w:val="18"/>
          <w:szCs w:val="18"/>
          <w:color w:val="auto"/>
        </w:rPr>
        <w:t>The following tables summarize our financial and other data. We have derived the summary statement of operations data for the years ended December 31, 2018 and 2019 from our audited financial statements included elsewhere in this prospectus. We have derived the statement of operations data for the nine months ended September 30, 2019 and 2020, and the balance sheet data as of September 30, 2020 from our unaudited interim financial statements and related notes included elsewhere in this prospectus. Our unaudited interim financial statements were prepared in accordance with generally accepted accounting principles in the United States (GAAP), on the same basis as our audited financial statements and include, in the opinion of management, all adjustments, consisting of normal recurring adjustments, that are necessary for the fair presentation of the financial information set forth in those financial statements. Our historical results are not necessarily indicative of the results that may be expected in the future, and our interim results are not necessarily indicative of our results for the full fiscal year.. The following summary financial and other data should be read in conjunction with the sections titled “Management’s Discussion and Analysis of Financial Condition and Results of Operations” and “Selected Financial Data” and our financial statements and related notes included elsewhere in this prospectus.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p>
      <w:pPr>
        <w:spacing w:after="0" w:line="223" w:lineRule="exact"/>
        <w:rPr>
          <w:sz w:val="20"/>
          <w:szCs w:val="20"/>
          <w:color w:val="auto"/>
        </w:rPr>
      </w:pPr>
    </w:p>
    <w:tbl>
      <w:tblPr>
        <w:tblLayout w:type="fixed"/>
        <w:tblInd w:w="4400" w:type="dxa"/>
        <w:tblCellMar>
          <w:top w:w="0" w:type="dxa"/>
          <w:left w:w="0" w:type="dxa"/>
          <w:bottom w:w="0" w:type="dxa"/>
          <w:right w:w="0" w:type="dxa"/>
        </w:tblCellMar>
      </w:tblPr>
      <w:tr>
        <w:trPr>
          <w:trHeight w:val="190"/>
        </w:trPr>
        <w:tc>
          <w:tcPr>
            <w:tcW w:w="29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11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70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1180" w:type="dxa"/>
            <w:vAlign w:val="bottom"/>
          </w:tcPr>
          <w:p>
            <w:pPr>
              <w:spacing w:after="0"/>
              <w:rPr>
                <w:sz w:val="16"/>
                <w:szCs w:val="16"/>
                <w:color w:val="auto"/>
              </w:rPr>
            </w:pPr>
          </w:p>
        </w:tc>
        <w:tc>
          <w:tcPr>
            <w:tcW w:w="346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1180" w:type="dxa"/>
            <w:vAlign w:val="bottom"/>
          </w:tcPr>
          <w:p>
            <w:pPr>
              <w:spacing w:after="0"/>
              <w:rPr>
                <w:sz w:val="16"/>
                <w:szCs w:val="16"/>
                <w:color w:val="auto"/>
              </w:rPr>
            </w:pPr>
          </w:p>
        </w:tc>
      </w:tr>
    </w:tbl>
    <w:p>
      <w:pPr>
        <w:spacing w:after="0" w:line="32" w:lineRule="exact"/>
        <w:rPr>
          <w:sz w:val="20"/>
          <w:szCs w:val="20"/>
          <w:color w:val="auto"/>
        </w:rPr>
      </w:pPr>
    </w:p>
    <w:p>
      <w:pPr>
        <w:sectPr>
          <w:pgSz w:w="11900" w:h="16838" w:orient="portrait"/>
          <w:cols w:equalWidth="0" w:num="1">
            <w:col w:w="10220"/>
          </w:cols>
          <w:pgMar w:left="660" w:top="117" w:right="1019" w:bottom="1440" w:gutter="0" w:footer="0" w:header="0"/>
        </w:sectPr>
      </w:pPr>
    </w:p>
    <w:tbl>
      <w:tblPr>
        <w:tblLayout w:type="fixed"/>
        <w:tblInd w:w="340" w:type="dxa"/>
        <w:tblCellMar>
          <w:top w:w="0" w:type="dxa"/>
          <w:left w:w="0" w:type="dxa"/>
          <w:bottom w:w="0" w:type="dxa"/>
          <w:right w:w="0" w:type="dxa"/>
        </w:tblCellMar>
      </w:tblPr>
      <w:tr>
        <w:trPr>
          <w:trHeight w:val="261"/>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040" w:type="dxa"/>
            <w:vAlign w:val="bottom"/>
          </w:tcPr>
          <w:p>
            <w:pPr>
              <w:ind w:left="220"/>
              <w:spacing w:after="0" w:line="252"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20"/>
              <w:spacing w:after="0" w:line="243"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4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Net loss per share attributable to common stockholders,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40" w:type="dxa"/>
            <w:vAlign w:val="bottom"/>
          </w:tcPr>
          <w:p>
            <w:pPr>
              <w:ind w:left="180"/>
              <w:spacing w:after="0" w:line="224" w:lineRule="exact"/>
              <w:rPr>
                <w:sz w:val="20"/>
                <w:szCs w:val="20"/>
                <w:color w:val="auto"/>
              </w:rPr>
            </w:pPr>
            <w:r>
              <w:rPr>
                <w:rFonts w:ascii="Times New Roman" w:cs="Times New Roman" w:eastAsia="Times New Roman" w:hAnsi="Times New Roman"/>
                <w:sz w:val="18"/>
                <w:szCs w:val="18"/>
                <w:color w:val="auto"/>
              </w:rPr>
              <w:t>basic and diluted</w:t>
            </w:r>
            <w:r>
              <w:rPr>
                <w:rFonts w:ascii="Times New Roman" w:cs="Times New Roman" w:eastAsia="Times New Roman" w:hAnsi="Times New Roman"/>
                <w:sz w:val="23"/>
                <w:szCs w:val="23"/>
                <w:color w:val="auto"/>
                <w:vertAlign w:val="superscript"/>
              </w:rPr>
              <w:t>(2)</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180"/>
              <w:spacing w:after="0" w:line="224" w:lineRule="exact"/>
              <w:rPr>
                <w:sz w:val="20"/>
                <w:szCs w:val="20"/>
                <w:color w:val="auto"/>
              </w:rPr>
            </w:pPr>
            <w:r>
              <w:rPr>
                <w:rFonts w:ascii="Times New Roman" w:cs="Times New Roman" w:eastAsia="Times New Roman" w:hAnsi="Times New Roman"/>
                <w:sz w:val="18"/>
                <w:szCs w:val="18"/>
                <w:color w:val="auto"/>
              </w:rPr>
              <w:t>and diluted</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Pro forma net loss per common share, basic and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180"/>
              <w:spacing w:after="0" w:line="224"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Pro forma weighted-average common shares used to</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compute basic and diluted net loss per common</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326"/>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expenses include stock-based compensation as follows: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475"/>
        </w:trPr>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3,776</w:t>
            </w: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0" w:type="dxa"/>
            <w:vAlign w:val="bottom"/>
          </w:tcPr>
          <w:p>
            <w:pPr>
              <w:spacing w:after="0"/>
              <w:rPr>
                <w:sz w:val="1"/>
                <w:szCs w:val="1"/>
                <w:color w:val="auto"/>
              </w:rPr>
            </w:pPr>
          </w:p>
        </w:tc>
      </w:tr>
      <w:tr>
        <w:trPr>
          <w:trHeight w:val="234"/>
        </w:trPr>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2,982</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0" w:type="dxa"/>
            <w:vAlign w:val="bottom"/>
          </w:tcPr>
          <w:p>
            <w:pPr>
              <w:spacing w:after="0"/>
              <w:rPr>
                <w:sz w:val="1"/>
                <w:szCs w:val="1"/>
                <w:color w:val="auto"/>
              </w:rPr>
            </w:pPr>
          </w:p>
        </w:tc>
      </w:tr>
      <w:tr>
        <w:trPr>
          <w:trHeight w:val="250"/>
        </w:trPr>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6,758</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0" w:type="dxa"/>
            <w:vAlign w:val="bottom"/>
          </w:tcPr>
          <w:p>
            <w:pPr>
              <w:spacing w:after="0"/>
              <w:rPr>
                <w:sz w:val="1"/>
                <w:szCs w:val="1"/>
                <w:color w:val="auto"/>
              </w:rPr>
            </w:pPr>
          </w:p>
        </w:tc>
      </w:tr>
      <w:tr>
        <w:trPr>
          <w:trHeight w:val="270"/>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(6,758)</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(20,608)</w:t>
            </w:r>
          </w:p>
        </w:tc>
        <w:tc>
          <w:tcPr>
            <w:tcW w:w="0" w:type="dxa"/>
            <w:vAlign w:val="bottom"/>
          </w:tcPr>
          <w:p>
            <w:pPr>
              <w:spacing w:after="0"/>
              <w:rPr>
                <w:sz w:val="1"/>
                <w:szCs w:val="1"/>
                <w:color w:val="auto"/>
              </w:rPr>
            </w:pPr>
          </w:p>
        </w:tc>
      </w:tr>
      <w:tr>
        <w:trPr>
          <w:trHeight w:val="540"/>
        </w:trPr>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451</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70"/>
        </w:trPr>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451</w:t>
            </w: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50"/>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(6,307)</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80" w:type="dxa"/>
            <w:vAlign w:val="bottom"/>
          </w:tcPr>
          <w:p>
            <w:pPr>
              <w:spacing w:after="0"/>
              <w:rPr>
                <w:sz w:val="21"/>
                <w:szCs w:val="21"/>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(19,839)</w:t>
            </w:r>
          </w:p>
        </w:tc>
        <w:tc>
          <w:tcPr>
            <w:tcW w:w="0" w:type="dxa"/>
            <w:vAlign w:val="bottom"/>
          </w:tcPr>
          <w:p>
            <w:pPr>
              <w:spacing w:after="0"/>
              <w:rPr>
                <w:sz w:val="1"/>
                <w:szCs w:val="1"/>
                <w:color w:val="auto"/>
              </w:rPr>
            </w:pPr>
          </w:p>
        </w:tc>
      </w:tr>
      <w:tr>
        <w:trPr>
          <w:trHeight w:val="358"/>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99"/>
              </w:rPr>
              <w:t>3,973,329</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6,952,419</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6,536,307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9,709,501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9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21,454,787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35,409,555</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2"/>
        </w:trPr>
        <w:tc>
          <w:tcPr>
            <w:tcW w:w="2300" w:type="dxa"/>
            <w:vAlign w:val="bottom"/>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90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320" w:type="dxa"/>
            <w:vAlign w:val="bottom"/>
          </w:tcPr>
          <w:p>
            <w:pPr>
              <w:spacing w:after="0"/>
              <w:rPr>
                <w:sz w:val="2"/>
                <w:szCs w:val="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6"/>
          </w:tcPr>
          <w:p>
            <w:pPr>
              <w:ind w:left="7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ectPr>
          <w:pgSz w:w="11900" w:h="16838" w:orient="portrait"/>
          <w:cols w:equalWidth="0" w:num="2">
            <w:col w:w="4500" w:space="460"/>
            <w:col w:w="5260"/>
          </w:cols>
          <w:pgMar w:left="660" w:top="117" w:right="1019" w:bottom="1440" w:gutter="0" w:footer="0" w:header="0"/>
          <w:type w:val="continuous"/>
        </w:sectPr>
      </w:pPr>
    </w:p>
    <w:tbl>
      <w:tblPr>
        <w:tblLayout w:type="fixed"/>
        <w:tblInd w:w="320" w:type="dxa"/>
        <w:tblCellMar>
          <w:top w:w="0" w:type="dxa"/>
          <w:left w:w="0" w:type="dxa"/>
          <w:bottom w:w="0" w:type="dxa"/>
          <w:right w:w="0" w:type="dxa"/>
        </w:tblCellMar>
      </w:tblPr>
      <w:tr>
        <w:trPr>
          <w:trHeight w:val="270"/>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7"/>
        </w:trPr>
        <w:tc>
          <w:tcPr>
            <w:tcW w:w="4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660" w:top="117"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220"/>
          </w:cols>
          <w:pgMar w:left="660" w:top="117" w:right="101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806450</wp:posOffset>
            </wp:positionV>
            <wp:extent cx="7136130" cy="4796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479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right="300" w:hanging="326"/>
        <w:spacing w:after="0" w:line="282"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12 to our financial statements for an explanation of the calculations of our basic and diluted net loss per share attributable to common stockholders, pro forma net loss per share attributable to common stockholders and the weighted-average number of shares used in the computation of the per share amounts.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Balance Sheet Data</w:t>
      </w:r>
    </w:p>
    <w:p>
      <w:pPr>
        <w:spacing w:after="0" w:line="223"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00" w:type="dxa"/>
            <w:vAlign w:val="bottom"/>
          </w:tcPr>
          <w:p>
            <w:pPr>
              <w:spacing w:after="0"/>
              <w:rPr>
                <w:sz w:val="11"/>
                <w:szCs w:val="11"/>
                <w:color w:val="auto"/>
              </w:rPr>
            </w:pPr>
          </w:p>
        </w:tc>
        <w:tc>
          <w:tcPr>
            <w:tcW w:w="1300" w:type="dxa"/>
            <w:vAlign w:val="bottom"/>
            <w:vMerge w:val="restart"/>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1"/>
                <w:szCs w:val="11"/>
                <w:color w:val="auto"/>
              </w:rPr>
            </w:pPr>
          </w:p>
        </w:tc>
        <w:tc>
          <w:tcPr>
            <w:tcW w:w="1200" w:type="dxa"/>
            <w:vAlign w:val="bottom"/>
          </w:tcPr>
          <w:p>
            <w:pPr>
              <w:jc w:val="right"/>
              <w:ind w:right="195"/>
              <w:spacing w:after="0" w:line="129" w:lineRule="exact"/>
              <w:rPr>
                <w:sz w:val="20"/>
                <w:szCs w:val="20"/>
                <w:color w:val="auto"/>
              </w:rPr>
            </w:pPr>
            <w:r>
              <w:rPr>
                <w:rFonts w:ascii="Times New Roman" w:cs="Times New Roman" w:eastAsia="Times New Roman" w:hAnsi="Times New Roman"/>
                <w:sz w:val="14"/>
                <w:szCs w:val="14"/>
                <w:b w:val="1"/>
                <w:bCs w:val="1"/>
                <w:color w:val="auto"/>
              </w:rPr>
              <w:t>Pro Forma as</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9"/>
                <w:szCs w:val="9"/>
                <w:b w:val="1"/>
                <w:bCs w:val="1"/>
                <w:color w:val="auto"/>
              </w:rPr>
              <w:t>(2)(3)</w:t>
            </w: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1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121,506</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121,506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388,325</w:t>
            </w: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117,451</w:t>
            </w:r>
          </w:p>
        </w:tc>
        <w:tc>
          <w:tcPr>
            <w:tcW w:w="300" w:type="dxa"/>
            <w:vAlign w:val="bottom"/>
          </w:tcPr>
          <w:p>
            <w:pPr>
              <w:spacing w:after="0"/>
              <w:rPr>
                <w:sz w:val="23"/>
                <w:szCs w:val="23"/>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117,451</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385,365</w:t>
            </w: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133,890</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133,890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399,540</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300" w:type="dxa"/>
            <w:vAlign w:val="bottom"/>
          </w:tcPr>
          <w:p>
            <w:pPr>
              <w:spacing w:after="0"/>
              <w:rPr>
                <w:sz w:val="21"/>
                <w:szCs w:val="21"/>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8,354</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(42,425)</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(42,600)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125,536</w:t>
            </w:r>
          </w:p>
        </w:tc>
        <w:tc>
          <w:tcPr>
            <w:tcW w:w="300" w:type="dxa"/>
            <w:vAlign w:val="bottom"/>
          </w:tcPr>
          <w:p>
            <w:pPr>
              <w:spacing w:after="0"/>
              <w:rPr>
                <w:sz w:val="21"/>
                <w:szCs w:val="21"/>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125,536</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392,281</w:t>
            </w:r>
          </w:p>
        </w:tc>
        <w:tc>
          <w:tcPr>
            <w:tcW w:w="0" w:type="dxa"/>
            <w:vAlign w:val="bottom"/>
          </w:tcPr>
          <w:p>
            <w:pPr>
              <w:spacing w:after="0"/>
              <w:rPr>
                <w:sz w:val="1"/>
                <w:szCs w:val="1"/>
                <w:color w:val="auto"/>
              </w:rPr>
            </w:pPr>
          </w:p>
        </w:tc>
      </w:tr>
      <w:tr>
        <w:trPr>
          <w:trHeight w:val="182"/>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__________________</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80" w:hanging="326"/>
        <w:spacing w:after="0" w:line="241" w:lineRule="auto"/>
        <w:tabs>
          <w:tab w:leader="none" w:pos="6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column in the balance sheet data table above reflects (i) the automatic conversion of all shares of our convertible preferred stock into 29,026,787 shares of Class A common stock, as if such conversions had occurred on September 30, 2020, and (ii) stock-based compensation of approximately $0.2 million associated with RSUs subject to service-based and performance-based vesting conditions that we will recognize upon the completion of this offering and is reflected as an increase to additional paid-in capital and accumulated deficit.</w:t>
      </w:r>
    </w:p>
    <w:p>
      <w:pPr>
        <w:spacing w:after="0" w:line="1" w:lineRule="exact"/>
        <w:rPr>
          <w:rFonts w:ascii="Times New Roman" w:cs="Times New Roman" w:eastAsia="Times New Roman" w:hAnsi="Times New Roman"/>
          <w:sz w:val="14"/>
          <w:szCs w:val="14"/>
          <w:color w:val="auto"/>
        </w:rPr>
      </w:pPr>
    </w:p>
    <w:p>
      <w:pPr>
        <w:ind w:left="660" w:right="40" w:hanging="326"/>
        <w:spacing w:after="0" w:line="241" w:lineRule="auto"/>
        <w:tabs>
          <w:tab w:leader="none" w:pos="6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as adjusted column in the balance sheet data table above gives effect to (i) the pro forma adjustments set forth above and (ii) the receipt of $266.7 million in net proceeds from the sale and issuance by us of shares of our Class A common stock in this offering and the concurrent private placement, based upon the assumed initial public offering price of $17.00 per share, which is the midpoint of the estimated offering price range set forth on the cover page of this prospectus, and after deducting estimated underwriting discounts and commissions and estimated offering expenses payable by us.</w:t>
      </w:r>
    </w:p>
    <w:p>
      <w:pPr>
        <w:spacing w:after="0" w:line="1" w:lineRule="exact"/>
        <w:rPr>
          <w:rFonts w:ascii="Times New Roman" w:cs="Times New Roman" w:eastAsia="Times New Roman" w:hAnsi="Times New Roman"/>
          <w:sz w:val="14"/>
          <w:szCs w:val="14"/>
          <w:color w:val="auto"/>
        </w:rPr>
      </w:pPr>
    </w:p>
    <w:p>
      <w:pPr>
        <w:ind w:left="660" w:hanging="326"/>
        <w:spacing w:after="0" w:line="241" w:lineRule="auto"/>
        <w:tabs>
          <w:tab w:leader="none" w:pos="6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$1.00 increase or decrease in the assumed initial public offering price of $17.00 per share, which is the midpoint of the estimated offering price range set forth on the cover page of this prospectus, would increase or decrease, as applicable, the amount of our pro forma as adjusted cash, cash equivalents and investments, working capital, total assets and total stockholders’ equity by $8.2 million, assuming that the number of shares of Class A common stock offered by us, as set forth on the cover page of this prospectus, remains the same, after deducting estimated underwriting discounts and commissions payable by us. An increase or decrease of 1.0 million shares in the number of shares of Class A common stock offered by us would increase or decrease, as applicable, the amount of our pro forma as adjusted cash, cash equivalents and investments, working capital, total assets and total stockholders’ equity by $15.8 million assuming the assumed initial public offering price remains the same, and after deducting estimated underwriting discounts and commissions payable by us.</w:t>
      </w:r>
    </w:p>
    <w:p>
      <w:pPr>
        <w:spacing w:after="0" w:line="2" w:lineRule="exact"/>
        <w:rPr>
          <w:rFonts w:ascii="Times New Roman" w:cs="Times New Roman" w:eastAsia="Times New Roman" w:hAnsi="Times New Roman"/>
          <w:sz w:val="14"/>
          <w:szCs w:val="14"/>
          <w:color w:val="auto"/>
        </w:rPr>
      </w:pPr>
    </w:p>
    <w:p>
      <w:pPr>
        <w:ind w:left="660" w:right="80" w:hanging="326"/>
        <w:spacing w:after="0" w:line="258" w:lineRule="auto"/>
        <w:tabs>
          <w:tab w:leader="none" w:pos="6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working capital as current assets less current liabilities. See our financial statements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220"/>
          </w:cols>
          <w:pgMar w:left="660" w:top="117" w:right="1019" w:bottom="1440" w:gutter="0" w:footer="0" w:header="0"/>
        </w:sectPr>
      </w:pPr>
    </w:p>
    <w:bookmarkStart w:id="18" w:name="page19"/>
    <w:bookmarkEnd w:id="18"/>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Key Terms Used in this Prospectus</w:t>
      </w:r>
    </w:p>
    <w:p>
      <w:pPr>
        <w:spacing w:after="0" w:line="171" w:lineRule="exact"/>
        <w:rPr>
          <w:sz w:val="20"/>
          <w:szCs w:val="20"/>
          <w:color w:val="auto"/>
        </w:rPr>
      </w:pPr>
    </w:p>
    <w:p>
      <w:pPr>
        <w:ind w:right="4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Accuracy. </w:t>
      </w:r>
      <w:r>
        <w:rPr>
          <w:rFonts w:ascii="Times New Roman" w:cs="Times New Roman" w:eastAsia="Times New Roman" w:hAnsi="Times New Roman"/>
          <w:sz w:val="18"/>
          <w:szCs w:val="18"/>
          <w:color w:val="auto"/>
        </w:rPr>
        <w:t>In the context of proteomics studies, accuracy of measurement refers to how close the measured abundance of a protein is to the true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abundance in a sample.</w:t>
      </w:r>
    </w:p>
    <w:p>
      <w:pPr>
        <w:spacing w:after="0" w:line="101"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Biased. </w:t>
      </w:r>
      <w:r>
        <w:rPr>
          <w:rFonts w:ascii="Times New Roman" w:cs="Times New Roman" w:eastAsia="Times New Roman" w:hAnsi="Times New Roman"/>
          <w:sz w:val="18"/>
          <w:szCs w:val="18"/>
          <w:color w:val="auto"/>
        </w:rPr>
        <w:t>Biased refers to molecular analyses that depend upon specific ligands that are targeted to specific proteins in the case of biased proteomics,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specific genes or gene mutations in the case of biased genomics. Biased contrasts with unbiased, which does not require specific ligands to target molecules. Biased is also referred to as targeted since the ligands used are directed against specific target molecules.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Breadth. </w:t>
      </w:r>
      <w:r>
        <w:rPr>
          <w:rFonts w:ascii="Times New Roman" w:cs="Times New Roman" w:eastAsia="Times New Roman" w:hAnsi="Times New Roman"/>
          <w:sz w:val="18"/>
          <w:szCs w:val="18"/>
          <w:color w:val="auto"/>
        </w:rPr>
        <w:t>In the context of proteomics studies, breadth of sampling refers to the number of proteins that are sampled in a proteomics study.</w:t>
      </w:r>
    </w:p>
    <w:p>
      <w:pPr>
        <w:spacing w:after="0" w:line="171"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Centralized. </w:t>
      </w:r>
      <w:r>
        <w:rPr>
          <w:rFonts w:ascii="Times New Roman" w:cs="Times New Roman" w:eastAsia="Times New Roman" w:hAnsi="Times New Roman"/>
          <w:sz w:val="18"/>
          <w:szCs w:val="18"/>
          <w:color w:val="auto"/>
        </w:rPr>
        <w:t>Centralized refers to a centralized laboratory in an institution where services, often highly technical or requiring specific capabilities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are performed for others in the institution. Examples of centralized laboratories include core labs for proteomics and genomics. Centralized contrasts with decentralized laboratories where technology and/or equipment is dispersed in an institution.</w:t>
      </w:r>
    </w:p>
    <w:p>
      <w:pPr>
        <w:spacing w:after="0" w:line="117"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Consumables. </w:t>
      </w:r>
      <w:r>
        <w:rPr>
          <w:rFonts w:ascii="Times New Roman" w:cs="Times New Roman" w:eastAsia="Times New Roman" w:hAnsi="Times New Roman"/>
          <w:sz w:val="18"/>
          <w:szCs w:val="18"/>
          <w:color w:val="auto"/>
        </w:rPr>
        <w:t>Our consumables refer to the nanoparticle formulations, related reagents and disposable items in our assays that are provided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to conduct proteomic assays using our Proteograph Product Suite.</w:t>
      </w:r>
    </w:p>
    <w:p>
      <w:pPr>
        <w:spacing w:after="0" w:line="101"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Decentralized. </w:t>
      </w:r>
      <w:r>
        <w:rPr>
          <w:rFonts w:ascii="Times New Roman" w:cs="Times New Roman" w:eastAsia="Times New Roman" w:hAnsi="Times New Roman"/>
          <w:sz w:val="18"/>
          <w:szCs w:val="18"/>
          <w:color w:val="auto"/>
        </w:rPr>
        <w:t>Decentralized refers to a laboratory configuration in an institution where a specific technology, capabilities and equipment is dispersed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throughout the institution. Decentralized contrasts with centralized where technology, capabilities and/or equipment is centralized in an institution, often in a core laboratory.</w:t>
      </w:r>
    </w:p>
    <w:p>
      <w:pPr>
        <w:spacing w:after="0" w:line="117"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Depth. </w:t>
      </w:r>
      <w:r>
        <w:rPr>
          <w:rFonts w:ascii="Times New Roman" w:cs="Times New Roman" w:eastAsia="Times New Roman" w:hAnsi="Times New Roman"/>
          <w:sz w:val="18"/>
          <w:szCs w:val="18"/>
          <w:color w:val="auto"/>
        </w:rPr>
        <w:t>In the context of proteomics studies, depth of coverage refers to the magnitude of the range of protein concentrations that are represented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set of proteomic information. Thus, a data set which is deep has a wide range of protein concentrations in the components. For example, this range could represent more than five orders of magnitude of mass per volume of sample that are contained in that data set.</w:t>
      </w:r>
    </w:p>
    <w:p>
      <w:pPr>
        <w:spacing w:after="0" w:line="117"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Functional context/characterization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 context/characterization, in the case of genes, refers to the details of how genes are hypothesized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interact biologically, either directly or through the mRNA or protein molecules that derive from the genes. The interactions of these molecules produce a specific biological function.</w:t>
      </w:r>
    </w:p>
    <w:p>
      <w:pPr>
        <w:spacing w:after="0" w:line="117"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Genomics. </w:t>
      </w:r>
      <w:r>
        <w:rPr>
          <w:rFonts w:ascii="Times New Roman" w:cs="Times New Roman" w:eastAsia="Times New Roman" w:hAnsi="Times New Roman"/>
          <w:sz w:val="18"/>
          <w:szCs w:val="18"/>
          <w:color w:val="auto"/>
        </w:rPr>
        <w:t>Genomics refers to the study of all an organism’s genes and their interactions to influence the organism. Large-scale studies are required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understand how changes in an organism’s genes influence the organism.</w:t>
      </w:r>
    </w:p>
    <w:p>
      <w:pPr>
        <w:spacing w:after="0" w:line="101"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Instrument. </w:t>
      </w:r>
      <w:r>
        <w:rPr>
          <w:rFonts w:ascii="Times New Roman" w:cs="Times New Roman" w:eastAsia="Times New Roman" w:hAnsi="Times New Roman"/>
          <w:sz w:val="18"/>
          <w:szCs w:val="18"/>
          <w:color w:val="auto"/>
        </w:rPr>
        <w:t>In the context of our Proteograph, our instrument refers to the automated, robotic, liquid handling workstation that is used along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consumables to conduct proteomic assays using our Proteograph Product Suite.</w:t>
      </w:r>
    </w:p>
    <w:p>
      <w:pPr>
        <w:spacing w:after="0" w:line="101"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Interactome. </w:t>
      </w:r>
      <w:r>
        <w:rPr>
          <w:rFonts w:ascii="Times New Roman" w:cs="Times New Roman" w:eastAsia="Times New Roman" w:hAnsi="Times New Roman"/>
          <w:sz w:val="18"/>
          <w:szCs w:val="18"/>
          <w:color w:val="auto"/>
        </w:rPr>
        <w:t>Interactome refers to the broad set of interaction networks among molecules, such PPIs. Other interactions may include those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small molecules and proteins.</w:t>
      </w:r>
    </w:p>
    <w:p>
      <w:pPr>
        <w:spacing w:after="0" w:line="101" w:lineRule="exact"/>
        <w:rPr>
          <w:sz w:val="20"/>
          <w:szCs w:val="20"/>
          <w:color w:val="auto"/>
        </w:rPr>
      </w:pPr>
    </w:p>
    <w:p>
      <w:pPr>
        <w:ind w:right="5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Interrogation. </w:t>
      </w:r>
      <w:r>
        <w:rPr>
          <w:rFonts w:ascii="Times New Roman" w:cs="Times New Roman" w:eastAsia="Times New Roman" w:hAnsi="Times New Roman"/>
          <w:sz w:val="18"/>
          <w:szCs w:val="18"/>
          <w:color w:val="auto"/>
        </w:rPr>
        <w:t>In the context of our Proteograph, interrogation refers to analyses of one of more samples to explore the proteomic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contained in those samples.</w:t>
      </w:r>
    </w:p>
    <w:p>
      <w:pPr>
        <w:spacing w:after="0" w:line="101" w:lineRule="exact"/>
        <w:rPr>
          <w:sz w:val="20"/>
          <w:szCs w:val="20"/>
          <w:color w:val="auto"/>
        </w:rPr>
      </w:pPr>
    </w:p>
    <w:p>
      <w:pPr>
        <w:ind w:right="7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Large-scale. </w:t>
      </w:r>
      <w:r>
        <w:rPr>
          <w:rFonts w:ascii="Times New Roman" w:cs="Times New Roman" w:eastAsia="Times New Roman" w:hAnsi="Times New Roman"/>
          <w:sz w:val="18"/>
          <w:szCs w:val="18"/>
          <w:color w:val="auto"/>
        </w:rPr>
        <w:t>In the context of proteomics studies, large-scale refers to studies of more than 100 samples, given that most proteomics studies,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particularly those that cover a wide range of protein concentrations (i.e. deep studies) are in the range of less than 50 samples.</w:t>
      </w:r>
    </w:p>
    <w:p>
      <w:pPr>
        <w:spacing w:after="0" w:line="101" w:lineRule="exact"/>
        <w:rPr>
          <w:sz w:val="20"/>
          <w:szCs w:val="20"/>
          <w:color w:val="auto"/>
        </w:rPr>
      </w:pPr>
    </w:p>
    <w:p>
      <w:pPr>
        <w:ind w:right="2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-omics. </w:t>
      </w:r>
      <w:r>
        <w:rPr>
          <w:rFonts w:ascii="Times New Roman" w:cs="Times New Roman" w:eastAsia="Times New Roman" w:hAnsi="Times New Roman"/>
          <w:sz w:val="18"/>
          <w:szCs w:val="18"/>
          <w:color w:val="auto"/>
        </w:rPr>
        <w:t>This term refers to various different biological analyses approaches whereby researchers can analyze complex biological data, often in high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throughput methods, to find novel associations between biological entities, pinpoint relevant biomarkers and build elaborate markers of disease and physiology. Examples of various “omics”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320" w:top="117" w:right="379" w:bottom="1440" w:gutter="0" w:footer="0" w:header="0"/>
        </w:sectPr>
      </w:pPr>
    </w:p>
    <w:bookmarkStart w:id="19" w:name="page20"/>
    <w:bookmarkEnd w:id="19"/>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analyses include: genomics, proteomics, transcriptomics, epigenomics, and metabolomics. When two or more of the -omics analyses approaches are combined either directly in analyses and/or in examination of -omics data sets, the approach is referred to as “multi-omics.”</w:t>
      </w:r>
    </w:p>
    <w:p>
      <w:pPr>
        <w:spacing w:after="0" w:line="104"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Mass spectrometry (MS)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Mass spectrometry refers to an analytical technique that can be used to accurately measure the mass-to-charge ratio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different ions within a sample. The ions are derived from the sample by bombarding, or “ionizing,” the sample with electrons. MS technology allows molecules, including proteins, to be analyzed accurately and with very high sensitivity at the atomic level. Analyzing complex biological samples, however, often requires prior sample preparation to allow for the sample to be more easily ionized and processed in an MS instrument.</w:t>
      </w:r>
    </w:p>
    <w:p>
      <w:pPr>
        <w:spacing w:after="0" w:line="122" w:lineRule="exact"/>
        <w:rPr>
          <w:sz w:val="20"/>
          <w:szCs w:val="20"/>
          <w:color w:val="auto"/>
        </w:rPr>
      </w:pPr>
    </w:p>
    <w:p>
      <w:pPr>
        <w:jc w:val="both"/>
        <w:ind w:right="1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Nanoparticle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Nanoparticle refers to a particle of matter that is generally tens to hundreds of nanometers in diameter. The small size of nanoparticles,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is between atomic scale and bulk material scale, results in material properties that can vary significantly from larger particles of the same material. These differences in material properties can be physical or chemical, and often involve differences in surface properties.</w:t>
      </w:r>
    </w:p>
    <w:p>
      <w:pPr>
        <w:spacing w:after="0" w:line="117" w:lineRule="exact"/>
        <w:rPr>
          <w:sz w:val="20"/>
          <w:szCs w:val="20"/>
          <w:color w:val="auto"/>
        </w:rPr>
      </w:pPr>
    </w:p>
    <w:p>
      <w:pPr>
        <w:jc w:val="both"/>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Peptide. </w:t>
      </w:r>
      <w:r>
        <w:rPr>
          <w:rFonts w:ascii="Times New Roman" w:cs="Times New Roman" w:eastAsia="Times New Roman" w:hAnsi="Times New Roman"/>
          <w:sz w:val="18"/>
          <w:szCs w:val="18"/>
          <w:color w:val="auto"/>
        </w:rPr>
        <w:t>Peptide refers to a chemical entity that is between two and 50 amino acids. A polypeptide that contains more than 50 amino acids is labelled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protein.</w:t>
      </w:r>
    </w:p>
    <w:p>
      <w:pPr>
        <w:spacing w:after="0" w:line="101"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Phenotype</w:t>
      </w:r>
      <w:r>
        <w:rPr>
          <w:rFonts w:ascii="Times New Roman" w:cs="Times New Roman" w:eastAsia="Times New Roman" w:hAnsi="Times New Roman"/>
          <w:sz w:val="18"/>
          <w:szCs w:val="18"/>
          <w:color w:val="auto"/>
        </w:rPr>
        <w:t>. Phenotype refers to the observable characteristics or traits of an organism, which can be manifested in form or structure by biochemical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physiological properties, or by behavior.</w:t>
      </w:r>
    </w:p>
    <w:p>
      <w:pPr>
        <w:spacing w:after="0" w:line="101"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Polymorphism. </w:t>
      </w:r>
      <w:r>
        <w:rPr>
          <w:rFonts w:ascii="Times New Roman" w:cs="Times New Roman" w:eastAsia="Times New Roman" w:hAnsi="Times New Roman"/>
          <w:sz w:val="18"/>
          <w:szCs w:val="18"/>
          <w:color w:val="auto"/>
        </w:rPr>
        <w:t>Polymorphism refers to the occurrence of two or more forms or morphs of genes that are seen across a population. Polymorphisms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be, but are not always, associated with changes in phenotype, and these phenotypic changes are mediated through proteins and protein variants that can result from the polymorphism. Polymorphisms can be as small as a single nucleotide, and these are known as single nucleotide polymorphisms.</w:t>
      </w:r>
    </w:p>
    <w:p>
      <w:pPr>
        <w:spacing w:after="0" w:line="117"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Post-translational modifications (PTMs). </w:t>
      </w:r>
      <w:r>
        <w:rPr>
          <w:rFonts w:ascii="Times New Roman" w:cs="Times New Roman" w:eastAsia="Times New Roman" w:hAnsi="Times New Roman"/>
          <w:sz w:val="18"/>
          <w:szCs w:val="18"/>
          <w:color w:val="auto"/>
        </w:rPr>
        <w:t>Post-translational modifications refer to the covalent and generally enzymatic modifications of proteins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protein synthesis. Examples of PTMs include phosphorylation, which is the addition of a phosphate group to an amino acid within a protein, or glycosylation, which refers to the addition of a carbohydrate group to an amino acid within a protein.</w:t>
      </w:r>
    </w:p>
    <w:p>
      <w:pPr>
        <w:spacing w:after="0" w:line="117"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Precision. </w:t>
      </w:r>
      <w:r>
        <w:rPr>
          <w:rFonts w:ascii="Times New Roman" w:cs="Times New Roman" w:eastAsia="Times New Roman" w:hAnsi="Times New Roman"/>
          <w:sz w:val="18"/>
          <w:szCs w:val="18"/>
          <w:color w:val="auto"/>
        </w:rPr>
        <w:t>In the context of proteomics studies, precision of measurement refers to how close several measurements of protein abundance in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sample are to each other.</w:t>
      </w:r>
    </w:p>
    <w:p>
      <w:pPr>
        <w:spacing w:after="0" w:line="101" w:lineRule="exact"/>
        <w:rPr>
          <w:sz w:val="20"/>
          <w:szCs w:val="20"/>
          <w:color w:val="auto"/>
        </w:rPr>
      </w:pPr>
    </w:p>
    <w:p>
      <w:pPr>
        <w:ind w:right="1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Protein. </w:t>
      </w:r>
      <w:r>
        <w:rPr>
          <w:rFonts w:ascii="Times New Roman" w:cs="Times New Roman" w:eastAsia="Times New Roman" w:hAnsi="Times New Roman"/>
          <w:sz w:val="18"/>
          <w:szCs w:val="18"/>
          <w:color w:val="auto"/>
        </w:rPr>
        <w:t>Protein refers to a polypeptide of more than 50 amino acids. Proteins conduct a vast array of functions within an organism,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catalyzing enzymatic reactions, other molecular processes, cellular processes, and cell structure. The function of proteins is highly dependent on the three dimensional structure of the intact protein, including protein variants such as post-translational modifications. Moreover, these functional processes are often mediated through PPIs.</w:t>
      </w:r>
    </w:p>
    <w:p>
      <w:pPr>
        <w:spacing w:after="0" w:line="122" w:lineRule="exact"/>
        <w:rPr>
          <w:sz w:val="20"/>
          <w:szCs w:val="20"/>
          <w:color w:val="auto"/>
        </w:rPr>
      </w:pPr>
    </w:p>
    <w:p>
      <w:pPr>
        <w:ind w:right="5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Protein-protein interactions (PPIs). </w:t>
      </w:r>
      <w:r>
        <w:rPr>
          <w:rFonts w:ascii="Times New Roman" w:cs="Times New Roman" w:eastAsia="Times New Roman" w:hAnsi="Times New Roman"/>
          <w:sz w:val="18"/>
          <w:szCs w:val="18"/>
          <w:color w:val="auto"/>
        </w:rPr>
        <w:t>Protein-protein interactions refer to specific physical interactions between two or more proteins driven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physicochemical forces, and which are the result of molecular mechanisms that mediate biological function.</w:t>
      </w:r>
    </w:p>
    <w:p>
      <w:pPr>
        <w:spacing w:after="0" w:line="101" w:lineRule="exact"/>
        <w:rPr>
          <w:sz w:val="20"/>
          <w:szCs w:val="20"/>
          <w:color w:val="auto"/>
        </w:rPr>
      </w:pPr>
    </w:p>
    <w:p>
      <w:pPr>
        <w:jc w:val="both"/>
        <w:ind w:right="2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Protein variant. </w:t>
      </w:r>
      <w:r>
        <w:rPr>
          <w:rFonts w:ascii="Times New Roman" w:cs="Times New Roman" w:eastAsia="Times New Roman" w:hAnsi="Times New Roman"/>
          <w:sz w:val="18"/>
          <w:szCs w:val="18"/>
          <w:color w:val="auto"/>
        </w:rPr>
        <w:t>Protein variant, also known as a protein isoform, refers to a set of similar proteins that originate from a single gene or gene family.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variations can be generated by different molecular mechanisms, including alternative splicing of RNAs, various expression patterns of RNAs and post-translational modifications.</w:t>
      </w:r>
    </w:p>
    <w:p>
      <w:pPr>
        <w:spacing w:after="0" w:line="117" w:lineRule="exact"/>
        <w:rPr>
          <w:sz w:val="20"/>
          <w:szCs w:val="20"/>
          <w:color w:val="auto"/>
        </w:rPr>
      </w:pPr>
    </w:p>
    <w:p>
      <w:pPr>
        <w:ind w:right="9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Proteograph Product Suite. </w:t>
      </w:r>
      <w:r>
        <w:rPr>
          <w:rFonts w:ascii="Times New Roman" w:cs="Times New Roman" w:eastAsia="Times New Roman" w:hAnsi="Times New Roman"/>
          <w:sz w:val="18"/>
          <w:szCs w:val="18"/>
          <w:color w:val="auto"/>
        </w:rPr>
        <w:t>Our Proteograph Product Suite refers to an integrated solution consisting of consumables, which includes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nanoparticles, our automatic instrument, and our data analysis software.</w:t>
      </w:r>
    </w:p>
    <w:p>
      <w:pPr>
        <w:spacing w:after="0" w:line="101"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Proteomic(s). </w:t>
      </w:r>
      <w:r>
        <w:rPr>
          <w:rFonts w:ascii="Times New Roman" w:cs="Times New Roman" w:eastAsia="Times New Roman" w:hAnsi="Times New Roman"/>
          <w:sz w:val="18"/>
          <w:szCs w:val="18"/>
          <w:color w:val="auto"/>
        </w:rPr>
        <w:t>Proteomic(s) refers to the large-scale study of proteins. The proteome is the entire set of proteins that is produced or modified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organism or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17" w:right="339" w:bottom="1440" w:gutter="0" w:footer="0" w:header="0"/>
        </w:sectPr>
      </w:pPr>
    </w:p>
    <w:bookmarkStart w:id="20" w:name="page21"/>
    <w:bookmarkEnd w:id="20"/>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Software. </w:t>
      </w:r>
      <w:r>
        <w:rPr>
          <w:rFonts w:ascii="Times New Roman" w:cs="Times New Roman" w:eastAsia="Times New Roman" w:hAnsi="Times New Roman"/>
          <w:sz w:val="18"/>
          <w:szCs w:val="18"/>
          <w:color w:val="auto"/>
        </w:rPr>
        <w:t>Our software refers to our integrated software suite that helps our customers process and interrogate the data that is generated by 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instruments after a proteomic assay has been performed using our Proteograph Product Suite.</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Throughput. </w:t>
      </w:r>
      <w:r>
        <w:rPr>
          <w:rFonts w:ascii="Times New Roman" w:cs="Times New Roman" w:eastAsia="Times New Roman" w:hAnsi="Times New Roman"/>
          <w:sz w:val="18"/>
          <w:szCs w:val="18"/>
          <w:color w:val="auto"/>
        </w:rPr>
        <w:t>Throughput refers to the rate at which an assay can be performed on during a given time period.</w:t>
      </w:r>
    </w:p>
    <w:p>
      <w:pPr>
        <w:spacing w:after="0" w:line="171"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Transcriptome. </w:t>
      </w:r>
      <w:r>
        <w:rPr>
          <w:rFonts w:ascii="Times New Roman" w:cs="Times New Roman" w:eastAsia="Times New Roman" w:hAnsi="Times New Roman"/>
          <w:sz w:val="18"/>
          <w:szCs w:val="18"/>
          <w:color w:val="auto"/>
        </w:rPr>
        <w:t>Transcriptome refers to the sum total of all messenger RNA (mRNA) molecules that are expressed from the genes of an organism,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result of a biological process called “transcription” whereby the information in a strand of DNA is copied into a new molecule of mRNA.</w:t>
      </w:r>
    </w:p>
    <w:p>
      <w:pPr>
        <w:spacing w:after="0" w:line="101"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Unbiased. </w:t>
      </w:r>
      <w:r>
        <w:rPr>
          <w:rFonts w:ascii="Times New Roman" w:cs="Times New Roman" w:eastAsia="Times New Roman" w:hAnsi="Times New Roman"/>
          <w:sz w:val="18"/>
          <w:szCs w:val="18"/>
          <w:color w:val="auto"/>
        </w:rPr>
        <w:t>Unbiased refers to molecular analyses that does not depend upon specific ligands that are targeted to specific proteins, genes or gene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mutations. Unbiased contrasts with biased, which requires specific ligands to target molecules. Unbiased is also referred to as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since it enables the discovery of new molecular information by not being restricted to specific ligands and/or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117" w:right="459" w:bottom="1440" w:gutter="0" w:footer="0" w:header="0"/>
        </w:sectPr>
      </w:pPr>
    </w:p>
    <w:bookmarkStart w:id="21" w:name="page22"/>
    <w:bookmarkEnd w:id="21"/>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described below, as well as the other information in this prospectus, including our financial statements and the related notes and the section titled “Management’s Discussion and Analysis of Financial Condition and Results of Operations” in this prospectus,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w:t>
      </w:r>
    </w:p>
    <w:p>
      <w:pPr>
        <w:spacing w:after="0" w:line="1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risks and uncertainties that you should consider before investing in our company, as fully described below. The principal factors and uncertainties that make investing in our company risky include, among others:</w:t>
      </w:r>
    </w:p>
    <w:p>
      <w:pPr>
        <w:spacing w:after="0" w:line="105" w:lineRule="exact"/>
        <w:rPr>
          <w:sz w:val="20"/>
          <w:szCs w:val="20"/>
          <w:color w:val="auto"/>
        </w:rPr>
      </w:pPr>
    </w:p>
    <w:p>
      <w:pPr>
        <w:ind w:left="660" w:right="4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07" w:lineRule="exact"/>
        <w:rPr>
          <w:rFonts w:ascii="Times New Roman" w:cs="Times New Roman" w:eastAsia="Times New Roman" w:hAnsi="Times New Roman"/>
          <w:sz w:val="18"/>
          <w:szCs w:val="18"/>
          <w:color w:val="auto"/>
        </w:rPr>
      </w:pPr>
    </w:p>
    <w:p>
      <w:pPr>
        <w:ind w:left="660" w:right="8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the prospects for our future viability and predict our future performance;</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07"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commercially launched our Proteograph Product Suite, and we may not be able to successfully commercially launch our Proteograph as planned;</w:t>
      </w:r>
    </w:p>
    <w:p>
      <w:pPr>
        <w:spacing w:after="0" w:line="107" w:lineRule="exact"/>
        <w:rPr>
          <w:rFonts w:ascii="Times New Roman" w:cs="Times New Roman" w:eastAsia="Times New Roman" w:hAnsi="Times New Roman"/>
          <w:sz w:val="18"/>
          <w:szCs w:val="18"/>
          <w:color w:val="auto"/>
        </w:rPr>
      </w:pPr>
    </w:p>
    <w:p>
      <w:pPr>
        <w:ind w:left="660" w:right="9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commercially launch our Proteograph Product Suite, our success depends on broad scientific and market acceptance of our Proteograph, which we may fail to achieve;</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0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efforts to reduce its spread have adversely impacted, and are expected to continue to materially and adversely impact, our business and operations;</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17" w:right="359" w:bottom="1440" w:gutter="0" w:footer="0" w:header="0"/>
        </w:sectPr>
      </w:pPr>
    </w:p>
    <w:bookmarkStart w:id="22" w:name="page23"/>
    <w:bookmarkEnd w:id="22"/>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05"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We are an early-stage life sciences technology company, and we have incurred significant losses since we were formed in 2017, and expect to continue to incur losses in the future. We incurred net losses of $6.3 million and $16.0 million in 2018 and 2019, respectively and $10.9 million and $19.8 million in the nine months ended September 30, 2019 and 2020, respectively. As of September 30, 2020, we had an accumulated deficit of $42.4 million. These losses and accumulated deficit were primarily due to the substantial investments we have made to develop and improve our technology and our Proteograph Product Suite. Over the next several years, we expect to continue to devote substantially all of our resources towards continuing development and future commercialization of our Proteograph Product Suite and research and development efforts for products. These efforts may prove more costly than we currently anticipate. We have not generated any product revenue and we may never generate revenue sufficient to offset our expenses, or at all. In addition, as a public company, we will incur significant legal, accounting, administrative, insurance and other expenses that we did not incur as a private company. Accordingly, we cannot assure you that we will achieve profitability in the future or that, if we do become profitable, we will sustain profitability.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the prospects for our future viability and predict our future performance.</w:t>
      </w:r>
    </w:p>
    <w:p>
      <w:pPr>
        <w:spacing w:after="0" w:line="17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have not commercialized our Proteograph Product Suite or any other products and have not generated any revenue to date. Our operations to date have been limited to developing our technology and products. Our prospects must be considered in light of the uncertainties, risks, expenses, and difficulties frequently encountered by companies in their early stages of operations. We have not yet achieved market acceptance for our products, produced our products at scale, established a sales model, or conducted sales and marketing activities necessary for successful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3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3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0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Proteograph Product Suite on our anticipated timeline;</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our Proteograph Product Suite, including our Proteograph automation instrument and proprietary engineered nanoparticle (NP) technology, which may change from time to time;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we are able to commercialize, particularly our Proteograph, which may vary significantly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7" w:right="339" w:bottom="1440" w:gutter="0" w:footer="0" w:header="0"/>
        </w:sectPr>
      </w:pPr>
    </w:p>
    <w:bookmarkStart w:id="23" w:name="page24"/>
    <w:bookmarkEnd w:id="23"/>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adoption of our Proteograph in our target markets and our ability to expand into any future target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our Proteograph;</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mix of our sales between our Proteograph consumables, automation instruments and software, or changes in the manufacturing or sales costs related to our products;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of the sales cycle for purchases of our Proteograph, including lead time needed to procure Proteograph automation instruments from our third-party contract manufacturer;</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expenditures that we may incur to develop, commercialize or acquire additional products and technologies or for other purposes, such as the expansion of our facilities;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funding of life sciences research and development or changes that impact budgets, budget cycles;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spending patterns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we recognize any revenues;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future litigation or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service, replacement and warranty costs;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10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economic and market conditions and other factors, including factors unrelated to our operating performance or the operating performance of our competitors.</w:t>
      </w:r>
    </w:p>
    <w:p>
      <w:pPr>
        <w:spacing w:after="0" w:line="10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Class A common stock to decline.</w:t>
      </w:r>
    </w:p>
    <w:p>
      <w:pPr>
        <w:spacing w:after="0" w:line="1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0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market for proteomics and genomics technologies and products is evolving, making it difficult to predict with any accuracy the size of the markets for our current and future products, including our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17" w:right="379" w:bottom="1440" w:gutter="0" w:footer="0" w:header="0"/>
        </w:sectPr>
      </w:pPr>
    </w:p>
    <w:bookmarkStart w:id="24" w:name="page25"/>
    <w:bookmarkEnd w:id="24"/>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our Proteograph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4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2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commercially launched our Proteograph Product Suite, and we may not be able to successfully commercially launch our Proteograph as planned.</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not yet commercially launched our Proteograph Product Suite. We plan to follow a three phase launch plan to commercialize our Proteograph, which includes a collaboration phase, an early access limited release phase and a broad commercial availability phase. We are currently in the collaboration phase of our commercial launch plan. Our commercial launch plan may not progress as planned due to:</w:t>
      </w:r>
    </w:p>
    <w:p>
      <w:pPr>
        <w:spacing w:after="0" w:line="12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establish the capabilities and value proposition of our Proteograph with key opinion leaders in a timely fashion;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need or desire to modify aspects of our Proteograph prior to entering into the second or third phases of our commercial launch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industry or market conditions, customer requirements or competitor offerings over the span of our commercial launch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building out our sales, customer support and marketing organization as needed for each of the phases of our commercial launch plan; and</w:t>
      </w:r>
    </w:p>
    <w:p>
      <w:pPr>
        <w:spacing w:after="0" w:line="171"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ramping up manufacturing, either internally or through our suppliers to meet the expected demand in each of the phases of our commercial launch plan.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the extent our commercial launch plan is delayed or unsuccessful, our financial results will be adversely impacted.</w:t>
      </w:r>
    </w:p>
    <w:p>
      <w:pPr>
        <w:spacing w:after="0" w:line="16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commercially launch our Proteograph Product Suite, our success depends on broad scientific and market acceptance of our Proteograph, which we may fail to achieve.</w:t>
      </w:r>
    </w:p>
    <w:p>
      <w:pPr>
        <w:spacing w:after="0" w:line="10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ability to achieve and maintain scientific and commercial market acceptance of our Proteograph Product Suite will depend on a number of factors. We expect that our Proteograph will be subject to the market forces and adoption curves common to other new technologies. The market for proteomics and genomics technologies and products is in its early stages of development. If widespread adoption of our Proteograph takes longer than anticipated, we will continue to experience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17" w:right="339" w:bottom="1440" w:gutter="0" w:footer="0" w:header="0"/>
        </w:sectPr>
      </w:pPr>
    </w:p>
    <w:bookmarkStart w:id="25" w:name="page26"/>
    <w:bookmarkEnd w:id="25"/>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 peer-reviewed journals. In such journal publications, the researchers will describe not only their discoveries, but also the methods, and typically the products used, to fuel such discoveries. Mentions in peer-reviewed journal publications is a driver for the general acceptance of life sciences products, such as our Proteograph. During the collaboration and early access limited release phases of our commercialization launch plan, we intend to collaborate with a small number of key opinion leaders who are highly skilled at evaluating novel technologies and whose feedback can help us solidify our commercialization plans and processes. Ensuring that early adopters and key opinion leaders publish research involving the use of our products during the collaboration and early access limited release phases is critical to ensuring our products gain widespread scientific acceptance. In addition, continuing collaborative relationships with such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it may drive customers away from our products and it may delay our progression towards the broad commercial release phase of our commercialization plan.</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factors in achieving commercial market acceptance, include:</w:t>
      </w:r>
    </w:p>
    <w:p>
      <w:pPr>
        <w:spacing w:after="0" w:line="17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increase awareness of the capabilities of our Proteograph;</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Proteograph to demonstrate comparable performance in intended use applications broadly in the hands of customers as achieved in the collaboration and early access limited release phases of our commercialization plan;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willingness to adopt new products and workflows;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Proteograph’s ease of use and whether it reliably provides advantages over other alternative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our Proteograph by academic institutions, laboratories, biopharmaceutical companies and others;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we charge for our Proteograph;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workflows and solutions for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competitors develop and commercialize products that perform similar functions as our Proteograph;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17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successful in addressing each of these criteria or other criteria that might affect the market acceptance of any products we commercialize, particularly our Proteograph. If we are unsuccessful in achieving and maintaining market acceptance of our Proteograph, our business, financial condition and results of operations would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we may not be successful in commercializing our Proteograph Product Suite.</w:t>
      </w:r>
    </w:p>
    <w:p>
      <w:pPr>
        <w:spacing w:after="0" w:line="175"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We have limited experience as a company in sales and marketing and our ability to achieve profitability depends on our being able to attract customers for our Proteograph. Although members of our management team have considerable industry experience, in the future we will be required to expand our sales, marketing, distribution and customer service and support capabilities with the appropriate technical expertise prior to the broad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80"/>
          </w:cols>
          <w:pgMar w:left="320" w:top="117" w:right="399" w:bottom="1440" w:gutter="0" w:footer="0" w:header="0"/>
        </w:sectPr>
      </w:pPr>
    </w:p>
    <w:bookmarkStart w:id="26" w:name="page27"/>
    <w:bookmarkEnd w:id="26"/>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launch of our Proteograph. To perform sales, marketing, distribution, and customer service and support successfully, we will face a number of risks, including:</w:t>
      </w:r>
    </w:p>
    <w:p>
      <w:pPr>
        <w:spacing w:after="0" w:line="108" w:lineRule="exact"/>
        <w:rPr>
          <w:sz w:val="20"/>
          <w:szCs w:val="20"/>
          <w:color w:val="auto"/>
        </w:rPr>
      </w:pPr>
    </w:p>
    <w:p>
      <w:pPr>
        <w:ind w:left="660" w:right="1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the sales, marketing and customer service and support force necessary to commercialize and gain market acceptance for our technology;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of establishing a specialized sales, marketing and customer service and support force;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customer service and support force may be unable to initiate and execute successful commercialization activities.</w:t>
      </w:r>
    </w:p>
    <w:p>
      <w:pPr>
        <w:spacing w:after="0" w:line="17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may seek to enlist one or more third parties to assist with sales, distribution and customer service and support globally or in certain regions of the world. There is no guarantee, if we do seek to enter into such arrangements, that we will be successful in attracting desirable sales and distribution partners or that we will be able to enter into such arrangements on favorable terms. If our sales and marketing efforts, or those of any third-party sales and distribution partners, are not successful, our Proteograph may not gain market acceptance, which could materially impact our business operations.</w:t>
      </w:r>
    </w:p>
    <w:p>
      <w:pPr>
        <w:spacing w:after="0" w:line="12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0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Even if we are able to commercialize our Proteograph Product Suite and achieve broad scientific and market acceptance, our ability to attract new customers and increase revenue from existing customers will depend in large part on our ability to enhance and improve our Proteograph and to introduce compelling new products. The success of any enhancement to our Proteograph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our Proteograph that we develop may not be introduced in a timely or cost-effective manner, may contain defects, errors, vulnerabilities or bugs, or may not achieve the market acceptance necessary to generate significant revenue.</w:t>
      </w:r>
    </w:p>
    <w:p>
      <w:pPr>
        <w:spacing w:after="0" w:line="133"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Proteograph to meet customer requirements, compete with alternative products, or otherwise gain and maintain market acceptance, our business, results of operations and financial condition could be harmed.</w:t>
      </w:r>
    </w:p>
    <w:p>
      <w:pPr>
        <w:spacing w:after="0" w:line="13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0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Proteograph automation instrument and NPs. For instance, there are standing “stay-at-home” orders in California, and specifically San Mateo County where our headquarters is located, that require businesses to implement certain social distancing protocols and other written health and safety plans and measures which may affect productivity and morale. We have continued to operate within the rules applicable to our business; however, an extended implementation of these governmental mandates could further impact our ability to operate effectively and conduct ongoing research and development or other activities. The COVID-19 pandemic has also had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17" w:right="339" w:bottom="1440" w:gutter="0" w:footer="0" w:header="0"/>
        </w:sectPr>
      </w:pPr>
    </w:p>
    <w:bookmarkStart w:id="27" w:name="page28"/>
    <w:bookmarkEnd w:id="27"/>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w:t>
      </w:r>
    </w:p>
    <w:p>
      <w:pPr>
        <w:spacing w:after="0" w:line="12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near term, we expect that substantially all of our revenue will be derived from sales of our Proteograph Product Suite, including our instruments and consumables, to academic and research institutions. We are currently in the collaboration phase of our commercialization plan and, as a result, in the near term, our ability to drive the adoption of our Proteograph will depend upon our ability to visit customer sites, the ability of our customers to access laboratories, install and train on our Proteograph Product Suite and conduct research in light of the COVID-19 pandemic. Additionally, as we move into the early access limited release phase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Proteograph. All of these considerations are impacted by factors beyond our control, such as:</w:t>
      </w:r>
    </w:p>
    <w:p>
      <w:pPr>
        <w:spacing w:after="0" w:line="138" w:lineRule="exact"/>
        <w:rPr>
          <w:sz w:val="20"/>
          <w:szCs w:val="20"/>
          <w:color w:val="auto"/>
        </w:rPr>
      </w:pPr>
    </w:p>
    <w:p>
      <w:pPr>
        <w:ind w:left="660" w:right="12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 and</w:t>
      </w:r>
    </w:p>
    <w:p>
      <w:pPr>
        <w:spacing w:after="0" w:line="17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2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Additionally, our suppliers have also been impacted by the COVID-19 pandemic. For example, our automation instrument manufacturer, Hamilton Company, has experienced a surge in demand for equipment and associated consumables used for COVID-19 diagnostics, and as a result, we have experienced longer lead times for our instruments. We have also experienced supply delays for critical hardware, instrumentation and medical and testing supplies that we use for product development, as these other components and supplies are otherwise diverted to COVID-19-related testing and other uses.</w:t>
      </w:r>
    </w:p>
    <w:p>
      <w:pPr>
        <w:spacing w:after="0" w:line="12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0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Proteograph Product Suite and our ability to raise additional capital when needed on favorable terms, if at all. A weak or declining economy could strain our customers’ budgets or cause delays in their payments to us. Any of the foregoing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17" w:right="359" w:bottom="1440" w:gutter="0" w:footer="0" w:header="0"/>
        </w:sectPr>
      </w:pPr>
    </w:p>
    <w:bookmarkStart w:id="28" w:name="page29"/>
    <w:bookmarkEnd w:id="28"/>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harm our business, and we cannot anticipate all of the ways in which the current economic climate and financial market conditions could adversely impact our ability to raise capital, business, results of operations and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sustain or successfully manage our anticipated growth, our business and prospects will be harmed.</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anticipated growth will place significant strains on our management, operational and manufacturing systems and processes, sales and marketing team, financial systems and internal controls and other aspects of our business. As of September 30, 2020, we had 60 employees. Developing and commercializing our Proteograph will require us to hire and retain scientific, sales and marketing, software, manufacturing, customer service, distribution and quality assurance personnel. In addition, we expect that we will need to hire additional accounting, finance and other personnel in connection with our becoming, and our efforts to comply with the requirements of being, a public company. Once public,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Our ability to successfully manage our expected growth is uncertain given the fact that we have been in operation only since 2017.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2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key personnel and other highly qualified personnel, and if we are unable to recruit, train and retain our personnel, we may not achieve our goals.</w:t>
      </w:r>
    </w:p>
    <w:p>
      <w:pPr>
        <w:spacing w:after="0" w:line="105"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Our future success depends upon our ability to recruit, train, retain and motivate key personnel. Our senior management team, including Omid Farokhzad, one of our founders and our Chief Executive Officer; Omead Ostadan, our President and Chief Operating Officer; and David Horn, our Chief Financial Officer, is critical to our vision, strategic direction, product development and commercialization efforts. The departure of one or more of our executives officers, senior management team members, or other key employees could be disruptive to our business until we are able to hire qualified successors. We do not maintain “key man” life insurance on our senior management team.</w:t>
      </w:r>
    </w:p>
    <w:p>
      <w:pPr>
        <w:spacing w:after="0" w:line="1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 The current United States administration has made restricting immigration and reforming the work visa process a key focus of its initiatives and these efforts may adversely affect our ability to find qualified personnel.</w:t>
      </w:r>
    </w:p>
    <w:p>
      <w:pPr>
        <w:spacing w:after="0" w:line="13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maintain fixed term employment contracts with any of our employees. As a result, our employees could leave our company with little or no prior notice and would be free to work for a competitor. Due to the complex and technical nature of our products and technology and the dynamic market in which we compete,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7" w:right="339" w:bottom="1440" w:gutter="0" w:footer="0" w:header="0"/>
        </w:sectPr>
      </w:pPr>
    </w:p>
    <w:bookmarkStart w:id="29" w:name="page30"/>
    <w:bookmarkEnd w:id="29"/>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attract, train, retain and motivate qualified personnel could materially harm our business, results of operations, financial condition and prospects.</w:t>
      </w:r>
    </w:p>
    <w:p>
      <w:pPr>
        <w:spacing w:after="0" w:line="16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be dependent upon revenue generated from the sale of our Proteograph Product Suite from the time it is commercialized through the foreseeable future.</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expect that our Proteograph Product Suite will be our first commercial product. While we anticipate having early access limited release in 2021, we do not expect to have broad commercial availability for our Proteograph until early 2022. If we are able to successfully commercialize our Proteograph, we expect that we will generate substantially all of our revenue from the sale of our Proteograph, which we expect to consist of consumables, automation instruments and software. There can be no assurance that we will be able to successfully commercialize our Proteograph, design other products that will meet the expectations of our customers or that any of our future products will become commercially viable. As technologies change in the future for life sciences research tools in general and in proteomics and genomics technologies specifically, we will be expected to upgrade or adapt our Proteograph in order to keep up with the latest technology. To date, we have limited experience simultaneously designing, testing, manufacturing and selling products and there can be no assurance we will be able to do so. Our sales expectations are based in part on the assumption that our Proteograph will increase study sizes for our future customers and their associated purchases of our consumables. If sales of our instruments fail to materialize, so will the related consumable sales and associated revenue.</w:t>
      </w:r>
    </w:p>
    <w:p>
      <w:pPr>
        <w:spacing w:after="0" w:line="14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our development and commercialization plans for our Proteograph, we may forego other opportunities that may provide greater revenue or be more profitable. If our research and product development efforts do not result in commercially viable products within the anticipated timelines, or at all, our business and results of operations will be adversely affected. Any delay or failure by us to develop and release our Proteograph or new products or product enhancements would have a substantial adverse effect on our business and results of operations.</w:t>
      </w:r>
    </w:p>
    <w:p>
      <w:pPr>
        <w:spacing w:after="0" w:line="122" w:lineRule="exact"/>
        <w:rPr>
          <w:sz w:val="20"/>
          <w:szCs w:val="20"/>
          <w:color w:val="auto"/>
        </w:rPr>
      </w:pPr>
    </w:p>
    <w:p>
      <w:pPr>
        <w:ind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will depend significantly on research and development spending by academic institutions and other research institutions, and any reduction in spending could limit demand for our products and adversely affect our business, results of operations, financial condition and prospects.</w:t>
      </w:r>
    </w:p>
    <w:p>
      <w:pPr>
        <w:spacing w:after="0" w:line="8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expect that substantially all of our sales revenue in the near term will be generated from sales to academic institutions and other research institutions. Much of these customers’ funding will be, in turn, provided by various state, federal and international government agencies. As a result, the demand for our Proteograph will depend upon the research and development budgets of these customers, which are impacted by factors beyond our control, such as:</w:t>
      </w:r>
    </w:p>
    <w:p>
      <w:pPr>
        <w:spacing w:after="0" w:line="12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and the political climate;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researchers’ opinions of the utility of our Proteograph;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citation of our Proteograph in published research;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regulatory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 especially government- or grant-funded customers, whose cycles often coincide with government fiscal year ends;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 offerings or pricing;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17" w:right="339" w:bottom="1440" w:gutter="0" w:footer="0" w:header="0"/>
        </w:sectPr>
      </w:pPr>
    </w:p>
    <w:bookmarkStart w:id="30" w:name="page31"/>
    <w:bookmarkEnd w:id="30"/>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technologies, such as our Proteograph.</w:t>
      </w:r>
    </w:p>
    <w:p>
      <w:pPr>
        <w:spacing w:after="0" w:line="17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for the last 19 years, and reached a new high in 2019, but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and a decrease may be more likely under the current administration, whose annual budget proposals have repeatedly decreased NIH appropriations.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2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single contract manufacturer to manufacture and supply our instruments. If this manufacturer should fail or not perform satisfactorily, our ability to commercialize and supply our instruments would be adversely affected.</w:t>
      </w:r>
    </w:p>
    <w:p>
      <w:pPr>
        <w:spacing w:after="0" w:line="10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and we may not be able to obtain adequate supplies in a timely manner or on commercially reasonable terms. For example, due to the COVID-19 pandemic and increased demand for Hamilton’s products, we have seen the lead time for our instruments increase significantly. Further, if Hamilton is unable to obtain critical components used in our Proteograph or supply our instruments on the timelines we require, our business and commercialization efforts would be harmed.</w:t>
      </w:r>
    </w:p>
    <w:p>
      <w:pPr>
        <w:spacing w:after="0" w:line="135"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the event it becomes necessary to utilize a different contract manufacturer for our products, we would experience additional costs, delays and difficulties in doing so as a result of identifying and entering into an agreement with a new manufacturer as well as preparing such new manufacturer to meet the logistical requirements associated with manufacturing our instruments, and our business would suffer.</w:t>
      </w:r>
    </w:p>
    <w:p>
      <w:pPr>
        <w:spacing w:after="0" w:line="12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addition, certain of the components used in our instruments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 not meet specifications, or if we cannot then obtain an acceptable substitute. Our suppliers have also been impacted by the COVID-19 pandemic, and we have also experienced supply delays for critical hardware, instrumentation and medical and testing supplies that we use for product development, as these other components and supplies are otherwise diverted to COVID-19-related testing and other uses. If any of these events occur, our business, results of operations, financial condition and prospects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17" w:right="339" w:bottom="1440" w:gutter="0" w:footer="0" w:header="0"/>
        </w:sectPr>
      </w:pPr>
    </w:p>
    <w:bookmarkStart w:id="31" w:name="page32"/>
    <w:bookmarkEnd w:id="31"/>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producing and supplying our products, and we may be unable to consistently manufacture or source our automation instruments and consumables to the necessary specifications or in quantities necessary to meet demand on a timely basis and at acceptable performance and cost levels.</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Proteograph Product Suite is an integrated workstation with many different components that work together. As such, a quality defect in a single component can compromise the performance of the entire solution. In order to successfully generate revenue from our Proteograph Product Suite, we need to supply our customers with products that meet their expectations for quality and functionality in accordance with established specifications on a timely basis. Our instruments are manufactured by Hamilton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3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These manufacturing processes are complex. As we move to towards commercial scale formulation and manufacturing of our NP panels, if we are not able to repeatably produce our NPs at commercial scale or source them from third-party suppliers, or encounter unexpected difficulties in packaging our consumables, our business will be adversely impacted.</w:t>
      </w:r>
    </w:p>
    <w:p>
      <w:pPr>
        <w:spacing w:after="0" w:line="1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Proteograph automation instrument so that it consistently achieves the product specifications and produces results with acceptable quality. Our NPs and other consumables have a limited shelf life, after which their performance is not ensured. While we have completed accelerated stability testing for our NPs, our real-time long-term liquid stability studies are underway, but have not been completed.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our third-party manufacturers fails to maintain ISO quality management certifications, customers might choose not to purchase products from us.</w:t>
      </w:r>
    </w:p>
    <w:p>
      <w:pPr>
        <w:spacing w:after="0" w:line="13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addition, as we commercialize our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20" w:top="117" w:right="379" w:bottom="1440" w:gutter="0" w:footer="0" w:header="0"/>
        </w:sectPr>
      </w:pPr>
    </w:p>
    <w:bookmarkStart w:id="32" w:name="page33"/>
    <w:bookmarkEnd w:id="32"/>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defects or errors, which may give rise to claims against us, adversely affect market adoption of our Proteograph Product Suite, and adversely affect our business, financial condition, and results of operations.</w:t>
      </w:r>
    </w:p>
    <w:p>
      <w:pPr>
        <w:spacing w:after="0" w:line="10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Proteograph Product Suite utilizes novel and complex technology and may develop or contain undetected defects or errors. We cannot assure you that material performance problems, defects, or errors will not arise, and as we commercialize our Proteograph, these risks may increase. We expect to provide warranties that our products will meet performance expectations and will be free from defects. The costs incurred in correcting any defects or errors may be substantial and could adversely affect our operating margins.</w:t>
      </w:r>
    </w:p>
    <w:p>
      <w:pPr>
        <w:spacing w:after="0" w:line="12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manufacturing our Proteograph, we depend upon third parties for the supply of our instruments and various components, many of which require a significant degree of technical expertise to produce. If our suppliers fail to produce our Proteograph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our Proteograph contain defects, we may experience:</w:t>
      </w:r>
    </w:p>
    <w:p>
      <w:pPr>
        <w:spacing w:after="0" w:line="1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for our Proteograph or expansion of our Proteograph sales;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and customer service and support costs due to product repair or replacement;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departments into our service department;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claims, which could be costly and time consuming to defend and result in substantial damages.</w:t>
      </w:r>
    </w:p>
    <w:p>
      <w:pPr>
        <w:spacing w:after="0" w:line="17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addition, we expect that our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or are defective, they may not be compatible or perform as intended with our Proteograph. In such case, the reliability, results and performance of our Proteograph may be compromised. The occurrence of any one or more of the foregoing could negatively affect our business, financial condition, and results of operations.</w:t>
      </w:r>
    </w:p>
    <w:p>
      <w:pPr>
        <w:spacing w:after="0" w:line="1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develop and deploy our Proteograph software, our commercialization efforts and therefore business and results of operations could suffer.</w:t>
      </w:r>
    </w:p>
    <w:p>
      <w:pPr>
        <w:spacing w:after="0" w:line="10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success of our Proteograph Product Suite depends, in part, on our ability to design and deploy our Proteograph software in a manner that enables the integration with our potential customers’ systems and accommodates our potential customers’ needs. Without our Proteograph software, the use of MS instruments can require expert knowledge and scalable high-performance computer infrastructure to run efficiently and can make it difficult for our customers to understand and evaluate the quality of their results.</w:t>
      </w:r>
    </w:p>
    <w:p>
      <w:pPr>
        <w:spacing w:after="0" w:line="126"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have and will continue to spend significant amounts of effort developing our Proteograph software, and potential enhanced versions over time, to meet our customers’ and potential customers’ evolving needs. There is no assurance that the development or deployment of our Proteograph software, or any potential enhancements,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17" w:right="339" w:bottom="1440" w:gutter="0" w:footer="0" w:header="0"/>
        </w:sectPr>
      </w:pPr>
    </w:p>
    <w:bookmarkStart w:id="33" w:name="page34"/>
    <w:bookmarkEnd w:id="33"/>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compelling to our customers. In addition, we may experience delays in our release dates of our Proteograph software, and there can be no assurance that our Proteograph software will be released according to schedule. If our software development and deployment plan does not accurately anticipate customer demands or if we fail to develop our Proteograph software in a manner that satisfies customer preferences in a timely and cost-effective manner, our Proteograph may fail to gain market acceptance.</w:t>
      </w:r>
    </w:p>
    <w:p>
      <w:pPr>
        <w:spacing w:after="0" w:line="12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commercialize our Proteograph Product Suite outside of the United States, our international business could expose us to business, regulatory, political, operational, financial, and economic risks associated with doing business outside of the United States.</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Engaging in international business inherently involves a number of difficulties and risks, including:</w:t>
      </w:r>
    </w:p>
    <w:p>
      <w:pPr>
        <w:spacing w:after="0" w:line="171" w:lineRule="exact"/>
        <w:rPr>
          <w:sz w:val="20"/>
          <w:szCs w:val="20"/>
          <w:color w:val="auto"/>
        </w:rPr>
      </w:pPr>
    </w:p>
    <w:p>
      <w:pPr>
        <w:ind w:left="660" w:right="260" w:hanging="328"/>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129"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Foreign Corrupt Practices Act, and other U.S. federal laws and regulations established by the office of Foreign Asset Control;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requirements and import or trade restrictions;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longer payment cycles and difficulties in enforcing agreements and collecting receivables through certain foreign legal systems;</w:t>
      </w:r>
    </w:p>
    <w:p>
      <w:pPr>
        <w:spacing w:after="0" w:line="10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maintaining, enforcing or procuring intellectual property rights.</w:t>
      </w:r>
    </w:p>
    <w:p>
      <w:pPr>
        <w:spacing w:after="0" w:line="171"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technology market is highly competitive. If we fail to compete effectively, our business and results of operation will suffer.</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Bio-Rad Laboratories, Danaher, Luminex, Merck (and its subsidiary MilliporeSigma) and Thermo Fisher Scientific. We also compete with a number of emerging growth companies that have developed, or are developing, proteomic products and solutions, such as Nautilus Biotechnology, Olink Proteomics, Quanterix and SomaLogic.</w:t>
      </w:r>
    </w:p>
    <w:p>
      <w:pPr>
        <w:spacing w:after="0" w:line="1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Some of our current competitors are large publicly-traded companies, or are divisions of large publicly-traded companies, and may enjoy a number of competitive advantages over us, including:</w:t>
      </w:r>
    </w:p>
    <w:p>
      <w:pPr>
        <w:spacing w:after="0" w:line="10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117" w:right="379" w:bottom="1440" w:gutter="0" w:footer="0" w:header="0"/>
        </w:sectPr>
      </w:pPr>
    </w:p>
    <w:bookmarkStart w:id="34" w:name="page35"/>
    <w:bookmarkEnd w:id="34"/>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intellectual property portfolios;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7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2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12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To date, we have never conducted a review of our internal control for the purpose of providing the reports required by the Sarbanes-Oxley Act (SOX). During our review and testing, we may identify deficiencies and be unable to remediate them before we must provide the required reports. In connection with the audit of our financial statements for the year ended December 31, 2019, we and our independent registered public accounting firm identified the following material weaknesses in our internal control over financial reporting, which remain unremediated:</w:t>
      </w:r>
    </w:p>
    <w:p>
      <w:pPr>
        <w:spacing w:after="0" w:line="126" w:lineRule="exact"/>
        <w:rPr>
          <w:sz w:val="20"/>
          <w:szCs w:val="20"/>
          <w:color w:val="auto"/>
        </w:rPr>
      </w:pPr>
    </w:p>
    <w:p>
      <w:pPr>
        <w:ind w:left="660" w:right="4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insufficient accounting personnel to enable segregation of duties relating to the general ledger, disbursement, and certain accounting functions;</w:t>
      </w:r>
    </w:p>
    <w:p>
      <w:pPr>
        <w:spacing w:after="0" w:line="107" w:lineRule="exact"/>
        <w:rPr>
          <w:rFonts w:ascii="Times New Roman" w:cs="Times New Roman" w:eastAsia="Times New Roman" w:hAnsi="Times New Roman"/>
          <w:sz w:val="18"/>
          <w:szCs w:val="18"/>
          <w:color w:val="auto"/>
        </w:rPr>
      </w:pPr>
    </w:p>
    <w:p>
      <w:pPr>
        <w:jc w:val="both"/>
        <w:ind w:left="660" w:right="660" w:hanging="328"/>
        <w:spacing w:after="0" w:line="312" w:lineRule="auto"/>
        <w:tabs>
          <w:tab w:leader="none" w:pos="6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not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85" w:lineRule="exact"/>
        <w:rPr>
          <w:rFonts w:ascii="Times New Roman" w:cs="Times New Roman" w:eastAsia="Times New Roman" w:hAnsi="Times New Roman"/>
          <w:sz w:val="17"/>
          <w:szCs w:val="17"/>
          <w:color w:val="auto"/>
        </w:rPr>
      </w:pPr>
    </w:p>
    <w:p>
      <w:pPr>
        <w:ind w:left="660" w:right="10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108"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17" w:right="359" w:bottom="1440" w:gutter="0" w:footer="0" w:header="0"/>
        </w:sectPr>
      </w:pPr>
    </w:p>
    <w:bookmarkStart w:id="35" w:name="page36"/>
    <w:bookmarkEnd w:id="35"/>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have begun to take certain actions to address the control deficiencies in our financial reporting, including hiring three finance department employees with appropriate expertise, including our Chief Financial Officer and our Controller, and retaining an accounting consulting firm to provide additional depth and breadth to our technical accounting and financial reporting capabilities. We have also begun to review and document our accounting and financial processes and internal controls, build out our financial management and reporting systems infrastructure, and further develop and formalize our accounting policies and financial reporting procedures, which includes ongoing senior management review and establishing our audit committee oversight. In addition, our current plan includes the hiring of an additional two finance and accounting personnel during 2021 to assist in executing on these specific functions. While we have begun taking measures and plan to continue to take measures to design and implement an effective control environment, we cannot assure you that the measures we have taken to date and other remediation and internal control measures we implement in the future will be sufficient to remediate our current material weaknesses or prevent future material weaknesses. We may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4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2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As discussed above, we have identified material weaknesses in the past which we are in the process of remedying. However, our efforts to remediate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34"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3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To achieve compliance with Section 404(a) within the prescribed period, we will be engaging in a process to document and evaluate our internal control over financial reporting, which is both costly and challenging.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17" w:right="339" w:bottom="1440" w:gutter="0" w:footer="0" w:header="0"/>
        </w:sectPr>
      </w:pPr>
    </w:p>
    <w:bookmarkStart w:id="36" w:name="page37"/>
    <w:bookmarkEnd w:id="36"/>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2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1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Class A common stock.</w:t>
      </w:r>
    </w:p>
    <w:p>
      <w:pPr>
        <w:spacing w:after="0" w:line="12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Class A common stock.</w:t>
      </w:r>
    </w:p>
    <w:p>
      <w:pPr>
        <w:spacing w:after="0" w:line="136"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2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products are currently labeled and promoted, and are, and in the near-future will be, sold primarily to academic and research institutions and research companies as research use only (RUO) products, and are not currently designed, or intended to be used, for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117" w:right="359" w:bottom="1440" w:gutter="0" w:footer="0" w:header="0"/>
        </w:sectPr>
      </w:pPr>
    </w:p>
    <w:bookmarkStart w:id="37" w:name="page38"/>
    <w:bookmarkEnd w:id="37"/>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4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3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do not currently expect our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00"/>
          </w:cols>
          <w:pgMar w:left="320" w:top="117" w:right="379" w:bottom="1440" w:gutter="0" w:footer="0" w:header="0"/>
        </w:sectPr>
      </w:pPr>
    </w:p>
    <w:bookmarkStart w:id="38" w:name="page39"/>
    <w:bookmarkEnd w:id="38"/>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3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4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5"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Recently, as part of the Trump Administration’s efforts to combat COVID-19 and consistent with the President's direction in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17" w:right="339" w:bottom="1440" w:gutter="0" w:footer="0" w:header="0"/>
        </w:sectPr>
      </w:pPr>
    </w:p>
    <w:bookmarkStart w:id="39" w:name="page40"/>
    <w:bookmarkEnd w:id="39"/>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policies and informal guidance through notice-and-comment rulemaking and/or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commercialization plans for our Proteograph Product Suite, including manufacturing, sales and marketing activities, expand our investments in research, and develop and commercialize new products and applications.</w:t>
      </w:r>
    </w:p>
    <w:p>
      <w:pPr>
        <w:spacing w:after="0" w:line="10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Based on our current plans, we believe that our current cash and cash equivalents and anticipated cash flow from operations will be sufficient to meet our anticipated cash requirements for at least twelve months from the date of this prospectus. If our available cash resources, net proceeds from this offering and the concurrent private placement and anticipated cash flow from operations are insufficient to satisfy our liquidity requirements including because of lower demand for our products or the realization of other risks described in this prospectus, we may be required to raise additional capital prior to such time through issuances of equity or convertible debt securities, entrance into a credit facility or another form of third-party funding or seek other debt financing.</w:t>
      </w:r>
    </w:p>
    <w:p>
      <w:pPr>
        <w:spacing w:after="0" w:line="133"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We will consider raising additional capital in the future to expand our business, to pursue strategic investments, to take advantage of financing opportunities or for other reasons, including:</w:t>
      </w:r>
    </w:p>
    <w:p>
      <w:pPr>
        <w:spacing w:after="0" w:line="108" w:lineRule="exact"/>
        <w:rPr>
          <w:sz w:val="20"/>
          <w:szCs w:val="20"/>
          <w:color w:val="auto"/>
        </w:rPr>
      </w:pPr>
    </w:p>
    <w:p>
      <w:pPr>
        <w:ind w:left="660" w:right="7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sales and marketing and other commercialization efforts to drive market adoption of our Proteograph Product Suite, once commercialized;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development and marketing efforts of our Proteograph or any other future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technologies into additional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licensing or investing in technologies and other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investing in complementary businesses or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660" w:right="5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launching and commercializing our Proteograph and new products, and the cost of the sales and marketing activities associated with establishing adoption of our products;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in research and development;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7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117" w:right="359" w:bottom="1440" w:gutter="0" w:footer="0" w:header="0"/>
        </w:sectPr>
      </w:pPr>
    </w:p>
    <w:bookmarkStart w:id="40" w:name="page41"/>
    <w:bookmarkEnd w:id="40"/>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or technologies that we believe could complement or expand our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PrognomIQ as a separate healthcare company in the area of disease testing.</w:t>
      </w:r>
    </w:p>
    <w:p>
      <w:pPr>
        <w:spacing w:after="0" w:line="175"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August 2020, we transferred certain assets to PrognomIQ, as a separate healthcare company to help enable the growth of ecosystems around new applications that leverage our Proteograph for unbiased, deep and large-scale proteomic information. We continue to hold approximately 19% of the outstanding capital stock of PrognomIQ. We may not realize the potential benefits of forming PrognomIQ for a variety of reasons, including:</w:t>
      </w:r>
    </w:p>
    <w:p>
      <w:pPr>
        <w:spacing w:after="0" w:line="12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 may be unable to successfully develop viable testing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PrognomIQ’s business may not help demonstrate the value of our Proteograph;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reach agreement with PrognomIQ on future commercial arrangements;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 may not become a meaningful customer of ours;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 may need to raise additional funding in the future and be unable to do so; and</w:t>
      </w:r>
    </w:p>
    <w:p>
      <w:pPr>
        <w:spacing w:after="0" w:line="171"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PrognomIQ and our continuing equity stake in PrognomIQ may add complexities to our business from a finance, tax and accounting perspective.</w:t>
      </w:r>
    </w:p>
    <w:p>
      <w:pPr>
        <w:spacing w:after="0" w:line="108"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litigation costs in our attempts to recover or restrict use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17" w:right="359" w:bottom="1440" w:gutter="0" w:footer="0" w:header="0"/>
        </w:sectPr>
      </w:pPr>
    </w:p>
    <w:bookmarkStart w:id="41" w:name="page42"/>
    <w:bookmarkEnd w:id="41"/>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2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4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3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America Invents Act and its implementation could increase the uncertainties and costs surrounding the prosecution of our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117" w:right="359" w:bottom="1440" w:gutter="0" w:footer="0" w:header="0"/>
        </w:sectPr>
      </w:pPr>
    </w:p>
    <w:bookmarkStart w:id="42" w:name="page43"/>
    <w:bookmarkEnd w:id="42"/>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applications and the enforcement or defense of our issued patents, all of which could have a material adverse effect on our business, financial condition, results of operations and prospects.</w:t>
      </w:r>
    </w:p>
    <w:p>
      <w:pPr>
        <w:spacing w:after="0" w:line="10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3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7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Filing, prosecuting and defending patents on our Proteograph Product Suite in all countries throughout the world would be prohibitively expensive, and our intellectual property rights in some countries outside the United States can be less extensive than those in the United States.</w:t>
      </w:r>
    </w:p>
    <w:p>
      <w:pPr>
        <w:spacing w:after="0" w:line="10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and our licensor may encounter difficulties in protecting and defending such rights in foreign jurisdictions. Consequently, we and our licensor may not be able to prevent third parties from practicing our inventions in some or all countries outside the United States, or from selling or importing products made using our or our licensor’s inventions in and into the United States or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4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The absence of harmonized intellectual property protection laws and effective enforcement makes it difficult to ensure consistent respect for patent, trade secret,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17" w:right="339" w:bottom="1440" w:gutter="0" w:footer="0" w:header="0"/>
        </w:sectPr>
      </w:pPr>
    </w:p>
    <w:bookmarkStart w:id="43" w:name="page44"/>
    <w:bookmarkEnd w:id="43"/>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other intellectual property rights on a worldwide basis. As a result, it is possible that we will not be able to enforce our rights against third parties that misappropriate our proprietary technology in those countries.</w:t>
      </w:r>
    </w:p>
    <w:p>
      <w:pPr>
        <w:spacing w:after="0" w:line="108"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7"/>
          <w:szCs w:val="17"/>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could be found invalid or unenforceable if challenged.</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34"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117" w:right="359" w:bottom="1440" w:gutter="0" w:footer="0" w:header="0"/>
        </w:sectPr>
      </w:pPr>
    </w:p>
    <w:bookmarkStart w:id="44" w:name="page45"/>
    <w:bookmarkEnd w:id="44"/>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0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rely heavily on trade secrets and confidentiality agreements to protect our unpatented know-how, technology and other proprietary information, including parts of our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from academic to industry scientific positions.</w:t>
      </w:r>
    </w:p>
    <w:p>
      <w:pPr>
        <w:spacing w:after="0" w:line="1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40"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2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or our licensor may be subject to claims that former employees, collaborators or other third parties have an interest in our owned or in-licensed patents, trade secrets or other intellectual property as an inventor or co-inventor. For example, we or our licensor may have inventorship disputes arise from conflicting obligations of employees, consultants or others who are involved in developing our products. In addition, counterparties to our consulting,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20"/>
          </w:cols>
          <w:pgMar w:left="320" w:top="117" w:right="359" w:bottom="1440" w:gutter="0" w:footer="0" w:header="0"/>
        </w:sectPr>
      </w:pPr>
    </w:p>
    <w:bookmarkStart w:id="45" w:name="page46"/>
    <w:bookmarkEnd w:id="45"/>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 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Proteograph,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3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For example, we are aware of a third party in certain jurisdictions outside of the United States that have filed to own the trademark registrations for the trademark, SEER, and have opposed our application for registration for such trademark. If they succeed in registering or developing common law rights in such trademark or any other trademarks that are similar or identical to our trademarks, and if we are not successful in challenging such rights and defending against challenges to our trademarks, we may not be able to use such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 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Proteograph Product Suite for an adequate amount of time.</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17" w:right="339" w:bottom="1440" w:gutter="0" w:footer="0" w:header="0"/>
        </w:sectPr>
      </w:pPr>
    </w:p>
    <w:bookmarkStart w:id="46" w:name="page47"/>
    <w:bookmarkEnd w:id="46"/>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2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3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third parties, including our competitors, believe that our products or technologies infringe, misappropriate or otherwise violate their intellectual property, such third parties may seek to enforce their intellectual property, including patents against us by filing an intellectual property-related lawsuit, including patent infringement lawsuit, against us. Even if we believe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proteomes, including through the use of nanoparticles. Such patent is expected to expire in 2026, without taking into account any possible patent term adjustments or extensions. We are also aware of a pending patent application in Europe owned by a third party that is directed to methods of identifying biomarkers in biofluids using nanoparticles and, if issued, is projected to expire in 2037, without taking into account any possible patent term adjustments or extensions. Such patent and patent application could be construed to cover our products and technologies, including our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technology and we may be required to redesign such products and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320" w:top="117" w:right="359" w:bottom="1440" w:gutter="0" w:footer="0" w:header="0"/>
        </w:sectPr>
      </w:pPr>
    </w:p>
    <w:bookmarkStart w:id="47" w:name="page48"/>
    <w:bookmarkEnd w:id="47"/>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use the same licensed intellectual property to compete with us. Any of the foregoing could have a material adverse effect on our business, financial condition, results of operation or prospects.</w:t>
      </w:r>
    </w:p>
    <w:p>
      <w:pPr>
        <w:spacing w:after="0" w:line="10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Times New Roman" w:cs="Times New Roman" w:eastAsia="Times New Roman" w:hAnsi="Times New Roman"/>
          <w:sz w:val="18"/>
          <w:szCs w:val="18"/>
          <w:i w:val="1"/>
          <w:iCs w:val="1"/>
          <w:color w:val="auto"/>
        </w:rPr>
        <w:t>ex-parte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proceeding or opposition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spacing w:after="0" w:line="13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w:t>
      </w:r>
    </w:p>
    <w:p>
      <w:pPr>
        <w:spacing w:after="0" w:line="13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17" w:right="359" w:bottom="1440" w:gutter="0" w:footer="0" w:header="0"/>
        </w:sectPr>
      </w:pPr>
    </w:p>
    <w:bookmarkStart w:id="48" w:name="page49"/>
    <w:bookmarkEnd w:id="48"/>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3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0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have employed and expect to employ individuals who were previously employed at universities or other companies, including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3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Furthermore, we or our licensor may in the future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117" w:right="359" w:bottom="1440" w:gutter="0" w:footer="0" w:header="0"/>
        </w:sectPr>
      </w:pPr>
    </w:p>
    <w:bookmarkStart w:id="49" w:name="page50"/>
    <w:bookmarkEnd w:id="49"/>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manufacture or commercialize our products without infringing third-party patent rights. Any of the foregoing could harm our business, financial condition, results of operations and prospects.</w:t>
      </w:r>
    </w:p>
    <w:p>
      <w:pPr>
        <w:spacing w:after="0" w:line="104"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license from a third party, and in the future may rely on additional licenses from other third parties, in relation to our Proteograph Product Suite and if we lose any of these licenses, then we may be subjected to future litigation.</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relating to methods of using nanoparticles to measure the proteome, including the methods used in our Proteograph Product Suite and may in the future rely on licenses from other third parties with respect to our Proteograph Product Suite or other technology. Our rights to use licensed technology in our business are subject to the continuation of and compliance with the terms of this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Proteograph. We may need to obtain additional licenses from others to advance our research, development and commercialization activities. For instance, under our license agreement with BWH, we currently in-license two patent families that include the methods used in our Proteograph Product Suite, and to the extent any additional intellectual property developed by BWH that are not included in such licensed patent families are necessary or useful for our Proteograph Product Suite, we would need to negotiate for additional licenses to such additional intellectual property. Such licenses may not be available on commercially reasonable terms or at all, or may be non-exclusive.</w:t>
      </w:r>
    </w:p>
    <w:p>
      <w:pPr>
        <w:spacing w:after="0" w:line="13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13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current license agreement imposes, and future agreements may impose, various diligence, commercialization, milestone payment, royalty, insurance and other obligations on us and require us to meet 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 covered by the licensed intellectual property. Any of the foregoing could have a material adverse effect on our competitive position, business, financial conditions, results of operations and prospects.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Moreover, disputes may also arise between us and our licensor regarding intellectual property subject to a license agreement, including:</w:t>
      </w:r>
    </w:p>
    <w:p>
      <w:pPr>
        <w:spacing w:after="0" w:line="171"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products, technology and processes infringe on intellectual property of the licensor that is not subject to the licensing agreement;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17" w:right="339" w:bottom="1440" w:gutter="0" w:footer="0" w:header="0"/>
        </w:sectPr>
      </w:pPr>
    </w:p>
    <w:bookmarkStart w:id="50" w:name="page51"/>
    <w:bookmarkEnd w:id="50"/>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7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3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3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Proteograph, which could adversely affect our ability to offer products or services, our ability to continue operations and our business, financial condition, results of operations and prospects.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or technologies, including our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3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17" w:right="339" w:bottom="1440" w:gutter="0" w:footer="0" w:header="0"/>
        </w:sectPr>
      </w:pPr>
    </w:p>
    <w:bookmarkStart w:id="51" w:name="page52"/>
    <w:bookmarkEnd w:id="51"/>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provide the U.S. government to, at any time, take title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2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and provide third parties access to our proprietary software.</w:t>
      </w:r>
    </w:p>
    <w:p>
      <w:pPr>
        <w:spacing w:after="0" w:line="10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Our products contain software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3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117" w:right="359" w:bottom="1440" w:gutter="0" w:footer="0" w:header="0"/>
        </w:sectPr>
      </w:pPr>
    </w:p>
    <w:bookmarkStart w:id="52" w:name="page53"/>
    <w:bookmarkEnd w:id="52"/>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ind w:left="660" w:right="54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10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make the inventions covered by the issued patent or pending patent application that we license or may own in the future;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certain of our or their inventions;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71"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08" w:lineRule="exact"/>
        <w:rPr>
          <w:sz w:val="20"/>
          <w:szCs w:val="20"/>
          <w:color w:val="auto"/>
        </w:rPr>
      </w:pPr>
    </w:p>
    <w:p>
      <w:pPr>
        <w:ind w:right="720" w:firstLine="324"/>
        <w:spacing w:after="0" w:line="435" w:lineRule="auto"/>
        <w:rPr>
          <w:sz w:val="20"/>
          <w:szCs w:val="20"/>
          <w:color w:val="auto"/>
        </w:rPr>
      </w:pPr>
      <w:r>
        <w:rPr>
          <w:rFonts w:ascii="Times New Roman" w:cs="Times New Roman" w:eastAsia="Times New Roman" w:hAnsi="Times New Roman"/>
          <w:sz w:val="18"/>
          <w:szCs w:val="18"/>
          <w:color w:val="auto"/>
        </w:rPr>
        <w:t xml:space="preserve">Should any of these events occur, they could materially adversely affect our business, financial condition, results of operations and prospects. </w:t>
      </w:r>
      <w:r>
        <w:rPr>
          <w:rFonts w:ascii="Times New Roman" w:cs="Times New Roman" w:eastAsia="Times New Roman" w:hAnsi="Times New Roman"/>
          <w:sz w:val="18"/>
          <w:szCs w:val="18"/>
          <w:b w:val="1"/>
          <w:bCs w:val="1"/>
          <w:color w:val="auto"/>
        </w:rPr>
        <w:t>Risks Related to this Offering and Ownership of Our Class A Common Stock</w:t>
      </w:r>
    </w:p>
    <w:p>
      <w:pPr>
        <w:spacing w:after="0" w:line="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Prior to this offering, there has been no public market for shares of our Class A common stock and an active trading market for our Class A common stock may never develop or be sustained.</w:t>
      </w:r>
    </w:p>
    <w:p>
      <w:pPr>
        <w:spacing w:after="0" w:line="10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Class A common stock. We have applied to list our Class A common stock on the Nasdaq Global Select Market under the symbol “SEER.” We cannot assure you that an active trading market for our Class A common stock will develop on that exchange or elsewhere. If an active trading market does not develop, or develops but is not maintained, you may have difficulty selling any of our Class A common stock that you purchase due to the limited public float. Accordingly, we cannot assure you of your ability to sell your shares of Class A common stock when desired or the prices that you may obtain for your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be volatile, which could result in substantial losses for investors purchasing shares in this offering.</w:t>
      </w:r>
    </w:p>
    <w:p>
      <w:pPr>
        <w:spacing w:after="0" w:line="175"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The initial public offering price for our Class A common stock will be determined through negotiations with the underwriters. This initial public offering price may differ from the market price of our Class A common stock after the offering. As a result, you may not be able to sell your Class A common stock at or above the initial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17" w:right="359" w:bottom="1440" w:gutter="0" w:footer="0" w:header="0"/>
        </w:sectPr>
      </w:pPr>
    </w:p>
    <w:bookmarkStart w:id="53" w:name="page54"/>
    <w:bookmarkEnd w:id="53"/>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price. Some of the factors that may cause the market price of our Class A common stock to fluctuate include, but are not limited to:</w:t>
      </w:r>
    </w:p>
    <w:p>
      <w:pPr>
        <w:spacing w:after="0" w:line="171" w:lineRule="exact"/>
        <w:rPr>
          <w:sz w:val="20"/>
          <w:szCs w:val="20"/>
          <w:color w:val="auto"/>
        </w:rPr>
      </w:pPr>
    </w:p>
    <w:p>
      <w:pPr>
        <w:ind w:left="660" w:right="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launch and commercialization of our products and degree to which such launch and commercialization meets the expectations of securities analysts and investors;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fluctuations in our quarterly and annual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being more than anticipated;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discontinuation of any of our product development and research programs;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businesses or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products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variations in market conditions in the life sciences technology sector generally, or the proteomics or genomics sectors specifically;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or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and development programs or products;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meet the expectations of securities analysts or investors;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expectation of additional financing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or sales of our Class A common stock or Class B common stock by our insiders or other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market standoff or lock-up agreements;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natural disasters or major catastrophic events.</w:t>
      </w:r>
    </w:p>
    <w:p>
      <w:pPr>
        <w:spacing w:after="0" w:line="17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Class A common stock, regardless of our actual operating performance. These fluctuations may be even more pronounced in the trading market for our stock shortly following this offering. Following periods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17" w:right="339" w:bottom="1440" w:gutter="0" w:footer="0" w:header="0"/>
        </w:sectPr>
      </w:pPr>
    </w:p>
    <w:bookmarkStart w:id="54" w:name="page55"/>
    <w:bookmarkEnd w:id="54"/>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1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will have the effect of concentrating voting control with those stockholders who held our capital stock prior to the completion of this offering and it may depress the trading price of our Class A common stock.</w:t>
      </w:r>
    </w:p>
    <w:p>
      <w:pPr>
        <w:spacing w:after="0" w:line="10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Class A common stock, which is the stock we are offering in this offering, has one vote per share, and our Class B common stock has ten votes per share, except as otherwise required by law. Our Class B common stock is held by our founders and early investors. Following this offering, the concurrent private placement, the secondary transaction and the voluntary conversion, the holders of our Class B common stock will hold in the aggregate 53.1% of the voting power of our capital stock.</w:t>
      </w:r>
    </w:p>
    <w:p>
      <w:pPr>
        <w:spacing w:after="0" w:line="12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a result, the holders of our Class B common stock collectively will continue to control a majority of the combined voting power of our common stock and therefore be able to control all matters submitted to our stockholders for approval. This control will limit to the stockholders’ influence over corporate matters for approximately five years following this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upon the earlier of the first day following the fifth anniversary of the closing of this offering and December 31, 2025. See the section titled “Description of Capital Stock—Common stock—Conversion of Class B Common Stock” for additional information about conversions. The conversion of Class B common stock to Class A common stock will have the effect, over time, of increasing the relative voting power of those individual holders of Class B common stock who retain their shares over the long term.</w:t>
      </w:r>
    </w:p>
    <w:p>
      <w:pPr>
        <w:spacing w:after="0" w:line="13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addition, FTSE Russell and Standard &amp; Poor’s no longer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2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10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rely in part on the research and reports that industry or securities analysts publish about us or our business. We do not currently have and may never obtain research coverage by industry or securities analysts. If no or few analysts commence coverage of us, the trading price of our Class A common stock could decrease. Even if we do obtain analyst coverage,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17" w:right="339" w:bottom="1440" w:gutter="0" w:footer="0" w:header="0"/>
        </w:sectPr>
      </w:pPr>
    </w:p>
    <w:bookmarkStart w:id="55" w:name="page56"/>
    <w:bookmarkEnd w:id="55"/>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common stock by our existing stockholders following this offering could cause the price of our Class A common stock to decline.</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following the expiration of the market standoff and lock-up agreements or the early release of these agreements or the perception in the market that the holders of a large number of shares of Class A common stock intend to sell shares and could reduce the market price of our Class A common stock. After giving effect to (i) the filing and effectiveness of our amended and restated certificate of incorporation, (ii) the automatic conversion of all shares of our convertible preferred stock outstanding as of September 30, 2020 into 29,026,787 shares of Class A common stock, (iii) the issuance and sale of 16,766,175 shares of Class A common stock by us in this offering and the concurrent private placement, (iv) the secondary transaction and (v) the voluntary conversion, we will have</w:t>
      </w:r>
    </w:p>
    <w:p>
      <w:pPr>
        <w:spacing w:after="0" w:line="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52,481,490 shares of Class A common stock outstanding and 5,953,812 shares of Class B common stock outstanding. Of these shares, the 8,825,000 shares of Class A common stock we are selling in this offering may be resold in the public market immediately, unless purchased by our affiliates. The remaining 43,656,490 shares of Class A common stock, or 83% of our outstanding shares of Class A common stock after this offering, the concurrent private placement and the secondary transaction and all shares of our Class B common stock (and any share of Class A common stock into which they are converted) are currently prohibited or otherwise restricted from being sold in the public market under securities laws, market standoff agreements entered into by our stockholders with us, or lock-up agreements entered into by our stockholders with the underwriters; however, subject to applicable securities law restrictions and excluding shares of Class A common stock issued pursuant to the early exercise of unvested stock options that will remain unvested, the shares of our Class A common stock outstanding after this offering, the concurrent private placement and the secondary transaction will be able to be</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sold in the public market beginning on , 2021. 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3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Moreover, after this offering, the concurrent private placement and the secondary transaction, holders of an aggregate of 37,556,197 shares of our Class A common stock will have rights, subject to conditions, to require us to file registration statements with the SEC covering their shares or to include their shares in registration statements that we may file for ourselves or other stockholders as described under “Description of Capital Stock—Registration Rights.” We also plan to register all shares of Class A common stock that we may issue under our equity compensation and employee stock purchase plans. Once we register these shares, they can be freely sold in the public market upon issuance and, if applicable, vesting, subject to volume limitations applicable to affiliates and the lock-up agreements described in the section titled “Underwriting” in this prospectus. Sales of Class A common stock in the public market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 See the section titled “Shares Eligible for Future Sale” for more information regarding shares of Class A common stock that may be sold in the public market after this offering and the concurrent private placement.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the concurrent private placement and may not use them effectively.</w:t>
      </w:r>
    </w:p>
    <w:p>
      <w:pPr>
        <w:spacing w:after="0" w:line="175"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We cannot specify with certainty the particular uses of the net proceeds we will receive from this offering and the concurrent private placement. Our management will have broad discretion in the application of the net proceeds, including for any of the purposes described in the section titled “Use of Proceeds” in this prospectus. Our management may spend a portion or all of the net proceeds from this offering and the concurrent private placement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and the concurrent private placement in a manner that does not produce income or that loses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17" w:right="339" w:bottom="1440" w:gutter="0" w:footer="0" w:header="0"/>
        </w:sectPr>
      </w:pPr>
    </w:p>
    <w:bookmarkStart w:id="56" w:name="page57"/>
    <w:bookmarkEnd w:id="56"/>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for the foreseeable future. Investors in this offering may never obtain a return on their investment.</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29"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become effective upon the closing of this offering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4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1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17" w:right="339" w:bottom="1440" w:gutter="0" w:footer="0" w:header="0"/>
        </w:sectPr>
      </w:pPr>
    </w:p>
    <w:bookmarkStart w:id="57" w:name="page58"/>
    <w:bookmarkEnd w:id="57"/>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that will be in effect prior to the closing of this offering might discourage, delay or prevent a change in control of our company or changes in our management and, therefore, depress the trading price of our Class A common stock.</w:t>
      </w:r>
    </w:p>
    <w:p>
      <w:pPr>
        <w:spacing w:after="0" w:line="121"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26" w:lineRule="exact"/>
        <w:rPr>
          <w:sz w:val="20"/>
          <w:szCs w:val="20"/>
          <w:color w:val="auto"/>
        </w:rPr>
      </w:pPr>
    </w:p>
    <w:p>
      <w:pPr>
        <w:ind w:left="660" w:right="2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would result in a change in control of our company requires the approval of a majority of our outstanding Class B common stock voting as a separate class;</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1" w:lineRule="exact"/>
        <w:rPr>
          <w:rFonts w:ascii="Times New Roman" w:cs="Times New Roman" w:eastAsia="Times New Roman" w:hAnsi="Times New Roman"/>
          <w:sz w:val="18"/>
          <w:szCs w:val="18"/>
          <w:color w:val="auto"/>
        </w:rPr>
      </w:pPr>
    </w:p>
    <w:p>
      <w:pPr>
        <w:ind w:left="660" w:right="220" w:hanging="328"/>
        <w:spacing w:after="0" w:line="312" w:lineRule="auto"/>
        <w:tabs>
          <w:tab w:leader="none" w:pos="65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will be classified into three classes of directors with staggered three-year terms and directors will only be able to be removed from office for cause by the affirmative vote of holders of at least two-thirds of the voting power of our then outstanding capital stock;</w:t>
      </w:r>
    </w:p>
    <w:p>
      <w:pPr>
        <w:spacing w:after="0" w:line="85" w:lineRule="exact"/>
        <w:rPr>
          <w:rFonts w:ascii="Times New Roman" w:cs="Times New Roman" w:eastAsia="Times New Roman" w:hAnsi="Times New Roman"/>
          <w:sz w:val="17"/>
          <w:szCs w:val="17"/>
          <w:color w:val="auto"/>
        </w:rPr>
      </w:pPr>
    </w:p>
    <w:p>
      <w:pPr>
        <w:ind w:left="660" w:right="28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amended and restated certificate of incorporation will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stockholder-proposed amendment to our amended and restated bylaws will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only be able to take action at a meeting of stockholders and will not be able to take action by written consent for any matter;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be able to act by written consent only if the action is first recommended or approved by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will be able to be filled only by our board of directors and not by stockholders;</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the board of directors, chief executive officer or a majority of the board of directors are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can only be brought in Delaware;</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restated certificate of incorporation authorizes undesignated preferred stock, the terms of which may be established and shares of which may be issued, without the approval of the holders of our capital stock;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117" w:right="359" w:bottom="1440" w:gutter="0" w:footer="0" w:header="0"/>
        </w:sectPr>
      </w:pPr>
    </w:p>
    <w:bookmarkStart w:id="58" w:name="page59"/>
    <w:bookmarkEnd w:id="58"/>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17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As of December 31, 2018 and 2019, we had U.S. federal and state net operating loss carryforwards, or NOLs, of $5.3 million and $35.1 million, respectively, which if not utilized will expire in 2031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an “ownership change.” In addition, this offering, the concurrent private placement and the secondary transaction or future issuances or sales of our stock, including certain transactions involving our stock that are outside of our control, could result in future “ownership changes.” “Ownership changes” that have occurred in the past or that may occur in the future, including in connection with this offering, the concurrent private placement and the secondary transaction,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3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Class A common stock less attractive to investors.</w:t>
      </w:r>
    </w:p>
    <w:p>
      <w:pPr>
        <w:spacing w:after="0" w:line="105"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the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To the extent that we continue to qualify as a "smaller reporting company," as such term is defined in Rule 12b-2 under the Securities Exchange Act of 1934, after we cease to qualify as an emerging growth company, we will continue to be permitted to make certain reduced disclosures in our periodic reports and other documents that we file with the SEC. We cannot predict whether investors will find our Class A common stock less attractive if we rely on these exemptions. If some investors find our Class A common stock less attractive as a result, there may be a less active trading market for our Class A common stock and our stock price may be more volatile.</w:t>
      </w:r>
    </w:p>
    <w:p>
      <w:pPr>
        <w:spacing w:after="0" w:line="12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00"/>
          </w:cols>
          <w:pgMar w:left="320" w:top="117" w:right="379" w:bottom="1440" w:gutter="0" w:footer="0" w:header="0"/>
        </w:sectPr>
      </w:pPr>
    </w:p>
    <w:bookmarkStart w:id="59" w:name="page60"/>
    <w:bookmarkEnd w:id="59"/>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and management resources as a result of operating as a public company.</w:t>
      </w:r>
    </w:p>
    <w:p>
      <w:pPr>
        <w:spacing w:after="0" w:line="17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For example, in anticipation of becoming a public company, we will need to adopt additional internal controls and disclosure controls and procedures, retain a transfer agent and adopt an insider trading policy. As a public company, we will bear all of the internal and external costs of preparing and distributing periodic public reports in compliance with our obligations under the securities laws.</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SOX, and the related rules and regulations implemented by the SEC and the Nasdaq Stock Market, LLC, or Nasdaq,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this offering, we intend to increase our directors’ and officers’ insurance coverage, which will increase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Class A common stock in this offering, you will incur immediate and substantial dilution as a result of this offering.</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you purchase our Class A common stock in this offering, you will incur immediate and substantial dilution of $10.29 per share, representing the difference between the assumed initial public offering price of $ 17.00 per share, which is the midpoint of the price range set forth on the cover page of this prospectus, after deducting the estimated underwriting discounts and commissions and estimated offering expenses payable by us, and our pro forma net tangible book value per share after giving effect to (i) the filing and effectiveness of our amended and restated certificate of incorporation, (ii) the automatic conversion of all shares of our convertible preferred stock outstanding as of September 30, 2020 into 29,026,787 shares of Class A common stock and (iii) the issuance and sale of 16,766,175 shares of Class A common stock by us in this offering and the concurrent private placement. As of September 30, 2020, there were 7,553,500 shares of our Class A common stock subject to outstanding stock options with a weighted-average exercise price of $2.51 per share. To the extent that these outstanding stock options and warrants are ultimately exercised or the underwriters exercise their option to purchase additional shares of our Class A common stock, you will incur further dilution. See the section titled “Dilution” for more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jc w:val="both"/>
        <w:ind w:right="9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spacing w:after="0" w:line="82"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Our Redwood City, California, facilities house our corporate, research and development and quality assurance teams. Our instruments are manufactured at our third-party manufacturer’s facilities in Nevada, and our consumables are manufactured at various locations in the United States and internationally.</w:t>
      </w:r>
    </w:p>
    <w:p>
      <w:pPr>
        <w:spacing w:after="0" w:line="12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facilities in Redwood City and those of our third-party manufacturers are vulnerable to natural disasters, public health crises, including the impact of the COVID-19 pandemic, and catastrophic events. For example, our Redwood City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17" w:right="339" w:bottom="1440" w:gutter="0" w:footer="0" w:header="0"/>
        </w:sectPr>
      </w:pPr>
    </w:p>
    <w:bookmarkStart w:id="60" w:name="page61"/>
    <w:bookmarkEnd w:id="60"/>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38"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If our research and development program or commercialization program were disrupted by a disaster or catastrophe, the launch of new products, including our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our business could be adversely affected.</w:t>
      </w:r>
    </w:p>
    <w:p>
      <w:pPr>
        <w:spacing w:after="0" w:line="175"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4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17" w:right="339" w:bottom="1440" w:gutter="0" w:footer="0" w:header="0"/>
        </w:sectPr>
      </w:pPr>
    </w:p>
    <w:bookmarkStart w:id="61" w:name="page62"/>
    <w:bookmarkEnd w:id="61"/>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personal information, including sensitive personal information, of our employees, customers and others, any of which could have a material adverse effect on our business, reputation, financial condition and results of operations.</w:t>
      </w:r>
    </w:p>
    <w:p>
      <w:pPr>
        <w:spacing w:after="0" w:line="10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13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While we currently maintain cybersecurity insurance,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36"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8"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17" w:right="339" w:bottom="1440" w:gutter="0" w:footer="0" w:header="0"/>
        </w:sectPr>
      </w:pPr>
    </w:p>
    <w:bookmarkStart w:id="62" w:name="page63"/>
    <w:bookmarkEnd w:id="62"/>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3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33"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17" w:right="339" w:bottom="1440" w:gutter="0" w:footer="0" w:header="0"/>
        </w:sectPr>
      </w:pPr>
    </w:p>
    <w:bookmarkStart w:id="63" w:name="page64"/>
    <w:bookmarkEnd w:id="63"/>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This prospectus contains forward-looking statements. All statements other than statements of historical facts contained in this prospectus, including statements regarding our future results of operations and financial position, business strategy,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22" w:lineRule="exact"/>
        <w:rPr>
          <w:sz w:val="20"/>
          <w:szCs w:val="20"/>
          <w:color w:val="auto"/>
        </w:rPr>
      </w:pPr>
    </w:p>
    <w:p>
      <w:pPr>
        <w:ind w:left="660" w:right="8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market growth, future revenue, key performance indicators, expenses, capital requirements and our needs for additional financing;</w:t>
      </w:r>
    </w:p>
    <w:p>
      <w:pPr>
        <w:spacing w:after="0" w:line="10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three phase commercial launch plan, including our ability to add additional collaborators during the collaboration phase and expand to additional key opinion leaders during the early access limited release phase;</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Proteograph Product Suite, including the expected pricing of our Proteograph automation instrument and associated consumables;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our Proteograph Product Suite;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Proteograph Product Suite on the field of proteomics and the size and growth of the addressable proteomics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and commercialize our Proteograph;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new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 and suppliers;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government regulation;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and to manage our future growth effectively;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in this or future offerings;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Class A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use of proceeds from this offering and the concurrent private placement;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the PrognomIQ, Inc. transaction;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and national and international economic conditions and events;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17" w:right="339" w:bottom="1440" w:gutter="0" w:footer="0" w:header="0"/>
        </w:sectPr>
      </w:pPr>
    </w:p>
    <w:bookmarkStart w:id="64" w:name="page65"/>
    <w:bookmarkEnd w:id="64"/>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prospectus, whether as a result of any new information, future events or otherwise.</w:t>
      </w:r>
    </w:p>
    <w:p>
      <w:pPr>
        <w:spacing w:after="0" w:line="134"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00"/>
          </w:cols>
          <w:pgMar w:left="320" w:top="117" w:right="379" w:bottom="1440" w:gutter="0" w:footer="0" w:header="0"/>
        </w:sectPr>
      </w:pPr>
    </w:p>
    <w:bookmarkStart w:id="65" w:name="page66"/>
    <w:bookmarkEnd w:id="65"/>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prospectus contains estimates, projections and other information concerning our industry, our business and the markets for our Proteograph Product Suite, including data regarding the estimated size of such markets. We obtained the industry, market and similar dataset forth in this prospectus from our internal estimates and research and from academic and industry research, publications, surveys and studies conducted by third parties, including governmental agencies.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 The sources listed below are not a part of this prospectus and are not incorporated by reference in this prospectus.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sources of industry, market and other data contained in this prospectus are listed below:</w:t>
      </w:r>
    </w:p>
    <w:p>
      <w:pPr>
        <w:spacing w:after="0" w:line="117"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Allied Market Research. “Global Proteomics Market - Opportunity Analysis and Industry Forecast, 2018-2025” (March 2019).</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Technavio. “Genomics Market by Solution and Geography - Forecast and Analysis 2020-2024”.</w:t>
      </w:r>
    </w:p>
    <w:p>
      <w:pPr>
        <w:spacing w:after="0" w:line="171" w:lineRule="exact"/>
        <w:rPr>
          <w:rFonts w:ascii="Times New Roman" w:cs="Times New Roman" w:eastAsia="Times New Roman" w:hAnsi="Times New Roman"/>
          <w:sz w:val="18"/>
          <w:szCs w:val="18"/>
          <w:color w:val="auto"/>
        </w:rPr>
      </w:pPr>
    </w:p>
    <w:p>
      <w:pPr>
        <w:jc w:val="both"/>
        <w:ind w:left="660" w:right="60" w:hanging="328"/>
        <w:spacing w:after="0" w:line="312" w:lineRule="auto"/>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Pubmed Database. PubMed is the National Library of Medicine. PubMed comprises more than 30 million citations for biomedical literature from MEDLINE, life science journals, and online books. Citations may include links to full-text content from PubMed Central and publisher web sites.</w:t>
      </w:r>
    </w:p>
    <w:p>
      <w:pPr>
        <w:spacing w:after="0" w:line="85" w:lineRule="exact"/>
        <w:rPr>
          <w:rFonts w:ascii="Times New Roman" w:cs="Times New Roman" w:eastAsia="Times New Roman" w:hAnsi="Times New Roman"/>
          <w:sz w:val="17"/>
          <w:szCs w:val="17"/>
          <w:color w:val="auto"/>
        </w:rPr>
      </w:pPr>
    </w:p>
    <w:p>
      <w:pPr>
        <w:ind w:left="660" w:right="14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UniProt Database. The Universal Protein Resource (UniProt) is a comprehensive resource for protein sequence and annotation data. The UniProt databases are the UniProt Knowledgebase (UniProtKB), the UniProt Reference Clusters (UniRef), and the UniProt Archive (UniParc).</w:t>
      </w:r>
    </w:p>
    <w:p>
      <w:pPr>
        <w:spacing w:after="0" w:line="10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ClinVar. ClinVar is a freely accessible, public archive of reports of the relationships among human variations and phenotypes, with supporting evidence.</w:t>
      </w:r>
    </w:p>
    <w:p>
      <w:pPr>
        <w:spacing w:after="0" w:line="107"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dbSNP. dbSNP is a public-domain archive for human single nucleotide variations, microsatellites, and small-scale insertions and deletions along with publication, population frequency, molecular consequence, and genomic and RefSeq mapping information for both common variations and clinical mutations.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are published studies referenced throughout this prospectus, the citations for those studies are listed below:</w:t>
      </w:r>
    </w:p>
    <w:p>
      <w:pPr>
        <w:spacing w:after="0" w:line="11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Blume, J. E. et al. Rapid, deep and precise profiling of the plasma proteome with multi-nanoparticle protein corona. </w:t>
      </w:r>
      <w:r>
        <w:rPr>
          <w:rFonts w:ascii="Times New Roman" w:cs="Times New Roman" w:eastAsia="Times New Roman" w:hAnsi="Times New Roman"/>
          <w:sz w:val="18"/>
          <w:szCs w:val="18"/>
          <w:i w:val="1"/>
          <w:iCs w:val="1"/>
          <w:color w:val="auto"/>
        </w:rPr>
        <w:t>Nat. Commun.</w:t>
      </w:r>
      <w:r>
        <w:rPr>
          <w:rFonts w:ascii="Times New Roman" w:cs="Times New Roman" w:eastAsia="Times New Roman" w:hAnsi="Times New Roman"/>
          <w:sz w:val="18"/>
          <w:szCs w:val="18"/>
          <w:color w:val="auto"/>
        </w:rPr>
        <w:t xml:space="preserve"> 11, (2020).</w:t>
      </w:r>
    </w:p>
    <w:p>
      <w:pPr>
        <w:spacing w:after="0" w:line="17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Keshishian, H. et al. Quantitative, multiplexed workflow for deep analysis of human blood plasma and biomarker discovery by mass spectrometry. </w:t>
      </w:r>
      <w:r>
        <w:rPr>
          <w:rFonts w:ascii="Times New Roman" w:cs="Times New Roman" w:eastAsia="Times New Roman" w:hAnsi="Times New Roman"/>
          <w:sz w:val="18"/>
          <w:szCs w:val="18"/>
          <w:i w:val="1"/>
          <w:iCs w:val="1"/>
          <w:color w:val="auto"/>
        </w:rPr>
        <w:t xml:space="preserve">Nat. Protoc. </w:t>
      </w:r>
      <w:r>
        <w:rPr>
          <w:rFonts w:ascii="Times New Roman" w:cs="Times New Roman" w:eastAsia="Times New Roman" w:hAnsi="Times New Roman"/>
          <w:sz w:val="18"/>
          <w:szCs w:val="18"/>
          <w:color w:val="auto"/>
        </w:rPr>
        <w:t>12, 1683–1701 (2017).</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Schwenk, J. M. et al. The Human Plasma Proteome Draft of 2017: Building on the Human Plasma PeptideAtlas from Mass Spectrometry and Complementary Assays. </w:t>
      </w:r>
      <w:r>
        <w:rPr>
          <w:rFonts w:ascii="Times New Roman" w:cs="Times New Roman" w:eastAsia="Times New Roman" w:hAnsi="Times New Roman"/>
          <w:sz w:val="18"/>
          <w:szCs w:val="18"/>
          <w:i w:val="1"/>
          <w:iCs w:val="1"/>
          <w:color w:val="auto"/>
        </w:rPr>
        <w:t>J. Proteome Res.</w:t>
      </w:r>
      <w:r>
        <w:rPr>
          <w:rFonts w:ascii="Times New Roman" w:cs="Times New Roman" w:eastAsia="Times New Roman" w:hAnsi="Times New Roman"/>
          <w:sz w:val="18"/>
          <w:szCs w:val="18"/>
          <w:color w:val="auto"/>
        </w:rPr>
        <w:t xml:space="preserve"> 16, 4299–4310 (2017).</w:t>
      </w:r>
    </w:p>
    <w:p>
      <w:pPr>
        <w:spacing w:after="0" w:line="1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Liao, W. Y. et al. Heparin co-factor II enhances cell motility and promotes metastasis in non-small cell lung cancer. </w:t>
      </w:r>
      <w:r>
        <w:rPr>
          <w:rFonts w:ascii="Times New Roman" w:cs="Times New Roman" w:eastAsia="Times New Roman" w:hAnsi="Times New Roman"/>
          <w:sz w:val="18"/>
          <w:szCs w:val="18"/>
          <w:i w:val="1"/>
          <w:iCs w:val="1"/>
          <w:color w:val="auto"/>
        </w:rPr>
        <w:t>J. Pathol.</w:t>
      </w:r>
      <w:r>
        <w:rPr>
          <w:rFonts w:ascii="Times New Roman" w:cs="Times New Roman" w:eastAsia="Times New Roman" w:hAnsi="Times New Roman"/>
          <w:sz w:val="18"/>
          <w:szCs w:val="18"/>
          <w:color w:val="auto"/>
        </w:rPr>
        <w:t xml:space="preserve"> 235, 50–64 (2015).</w:t>
      </w:r>
    </w:p>
    <w:p>
      <w:pPr>
        <w:spacing w:after="0" w:line="17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Szklarczyk, D. et al. STRING v11: Protein-protein association networks with increased coverage, supporting functional discovery in genome-wide experimental datasets. </w:t>
      </w:r>
      <w:r>
        <w:rPr>
          <w:rFonts w:ascii="Times New Roman" w:cs="Times New Roman" w:eastAsia="Times New Roman" w:hAnsi="Times New Roman"/>
          <w:sz w:val="18"/>
          <w:szCs w:val="18"/>
          <w:i w:val="1"/>
          <w:iCs w:val="1"/>
          <w:color w:val="auto"/>
        </w:rPr>
        <w:t>Nucleic Acids Res.</w:t>
      </w:r>
      <w:r>
        <w:rPr>
          <w:rFonts w:ascii="Times New Roman" w:cs="Times New Roman" w:eastAsia="Times New Roman" w:hAnsi="Times New Roman"/>
          <w:sz w:val="18"/>
          <w:szCs w:val="18"/>
          <w:color w:val="auto"/>
        </w:rPr>
        <w:t xml:space="preserve"> 47, D607–D613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117" w:right="359" w:bottom="1440" w:gutter="0" w:footer="0" w:header="0"/>
        </w:sectPr>
      </w:pPr>
    </w:p>
    <w:bookmarkStart w:id="66" w:name="page67"/>
    <w:bookmarkEnd w:id="66"/>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620" w:firstLine="324"/>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our issuance and sale of shares of our Class A common stock in this offering and the concurrent private placement will be approximately $266.7 million, or approximately $287.7 million if the underwriters exercise their option to purchase up to</w:t>
      </w:r>
    </w:p>
    <w:p>
      <w:pPr>
        <w:ind w:right="60"/>
        <w:spacing w:after="0" w:line="255" w:lineRule="auto"/>
        <w:rPr>
          <w:sz w:val="20"/>
          <w:szCs w:val="20"/>
          <w:color w:val="auto"/>
        </w:rPr>
      </w:pPr>
      <w:r>
        <w:rPr>
          <w:rFonts w:ascii="Times New Roman" w:cs="Times New Roman" w:eastAsia="Times New Roman" w:hAnsi="Times New Roman"/>
          <w:sz w:val="18"/>
          <w:szCs w:val="18"/>
          <w:color w:val="auto"/>
        </w:rPr>
        <w:t>1,323,750 additional shares our Class A common stock in full, based on an initial public offering price of $17.00 per share, which is the midpoint of the price range set forth on the cover page of this prospectus, and after deducting the underwriting discounts and commissions and estimated offering expenses payable by us.</w:t>
      </w:r>
    </w:p>
    <w:p>
      <w:pPr>
        <w:spacing w:after="0" w:line="13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$17.00 per share, which is the midpoint of the price range set forth on the cover of this prospectus, would increase or decrease, as applicable, the aggregate net proceeds to us from this offering and the concurrent private placement by approximately $8.2 million, assuming the number of shares of Class A common stock offered by us, as set forth on the cover page of this prospectus, remains the same and after deducting the underwriting discounts and commissions and estimated offering expenses payable by us. Similarly, each increase or decrease of 1.0 million shares in the number of shares of Class A common stock offered by us would increase or decrease, as applicable, the net proceeds to us from this offering and the concurrent private placement by approximately $15.8 million, assuming that the assumed initial public offering price remains the same, and after deducting the underwriting discounts and commissions and estimated offering expenses payable by us. We do not expect that a change in the initial public offering price or the number of shares by these amounts would have a material effect on our uses of the proceeds from this offering and the concurrent private placement, although it may change the time at which we will need to seek additional capital.</w:t>
      </w:r>
    </w:p>
    <w:p>
      <w:pPr>
        <w:spacing w:after="0" w:line="13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principal purposes of this offering and the concurrent private placement are to obtain additional capital to support our operations, establish a public market for our Class A common stock and facilitate our future access to the public capital markets. We currently intend to use the net proceeds from this offering and the concurrent private placement, together with our existing cash as follows:</w:t>
      </w:r>
    </w:p>
    <w:p>
      <w:pPr>
        <w:spacing w:after="0" w:line="12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$65.0 million to commercialize our Proteograph Product Suite through our ongoing sales and marketing activities; and</w:t>
      </w:r>
    </w:p>
    <w:p>
      <w:pPr>
        <w:spacing w:after="0" w:line="17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for other development work associated with advancing our Proteograph Product Suite, research and development, and general corporate purposes.</w:t>
      </w:r>
    </w:p>
    <w:p>
      <w:pPr>
        <w:spacing w:after="0" w:line="108"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may also use a portion of the proceeds to in-license, acquire or invest in additional businesses, technologies, products or assets, subject to applicable regulatory restrictions. Although we have no specific agreements, commitments or understandings with respect to any in-licensing activity or acquisitions, we evaluate these opportunities and engage in related discussions with other companies from time-to-time.</w:t>
      </w:r>
    </w:p>
    <w:p>
      <w:pPr>
        <w:spacing w:after="0" w:line="12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expected use of proceeds from this offering and the concurrent private placement represents our current intentions based on our present plans and business condition. As of the date of this prospectus, we cannot predict with certainty all of the particular uses for the proceeds to be received upon the completion of this offering and the concurrent private placement or the actual amounts that we will spend on the uses set forth above.</w:t>
      </w:r>
    </w:p>
    <w:p>
      <w:pPr>
        <w:spacing w:after="0" w:line="12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amount and timing of our actual expenditures will depend on numerous factors, including the results of our research and development and commercialization efforts, cash flows from operations, the anticipated growth of our business and any unforeseen cash needs. As a result, our management will have broad discretion over the use of the proceeds from this offering and the concurrent private placement.</w:t>
      </w:r>
    </w:p>
    <w:p>
      <w:pPr>
        <w:spacing w:after="0" w:line="12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Pending their uses, we plan to invest the net proceeds of this offering and the concurrent private placement in short-term, interest-bearing, investment-grade instruments, including certificates of deposit or direct or guaranteed obligations of the U.S. government, and subject to applicable regulatory restrictions.</w:t>
      </w:r>
    </w:p>
    <w:p>
      <w:pPr>
        <w:spacing w:after="0" w:line="12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 believe that the proceeds for this offering and the concurrent private placement, together with our existing cash, will be sufficient to fund our operations through the broad commercial availability phase of our commercial launch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17" w:right="339" w:bottom="1440" w:gutter="0" w:footer="0" w:header="0"/>
        </w:sectPr>
      </w:pPr>
    </w:p>
    <w:bookmarkStart w:id="67" w:name="page68"/>
    <w:bookmarkEnd w:id="67"/>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20"/>
          </w:cols>
          <w:pgMar w:left="320" w:top="117" w:right="359" w:bottom="1440" w:gutter="0" w:footer="0" w:header="0"/>
        </w:sectPr>
      </w:pPr>
    </w:p>
    <w:bookmarkStart w:id="68" w:name="page69"/>
    <w:bookmarkEnd w:id="68"/>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investments and our capitalization as of September 30, 2020:</w:t>
      </w:r>
    </w:p>
    <w:p>
      <w:pPr>
        <w:spacing w:after="0" w:line="171"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w:t>
      </w:r>
    </w:p>
    <w:p>
      <w:pPr>
        <w:spacing w:after="0" w:line="17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all of our outstanding shares of convertible preferred stock into an aggregate of 29,026,787 shares of Class A common stock immediately prior to the completion of this offering as if such conversion had occurred on September 30, 2020,</w:t>
      </w:r>
    </w:p>
    <w:p>
      <w:pPr>
        <w:spacing w:after="0" w:line="107" w:lineRule="exact"/>
        <w:rPr>
          <w:rFonts w:ascii="Times New Roman" w:cs="Times New Roman" w:eastAsia="Times New Roman" w:hAnsi="Times New Roman"/>
          <w:sz w:val="18"/>
          <w:szCs w:val="18"/>
          <w:color w:val="auto"/>
        </w:rPr>
      </w:pPr>
    </w:p>
    <w:p>
      <w:pPr>
        <w:ind w:left="980" w:right="380" w:hanging="324"/>
        <w:spacing w:after="0" w:line="266" w:lineRule="auto"/>
        <w:tabs>
          <w:tab w:leader="none" w:pos="97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of approximately $0.2 million associated with RSUs subject to service-based and performance-based vesting conditions that we will recognize upon the completion of this offering and is reflected as an increase to additional paid-in capital and accumulated deficit, and</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which will occur immediately prior to the completion of this offering;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effect to:</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adjustments set forth above;</w:t>
      </w:r>
    </w:p>
    <w:p>
      <w:pPr>
        <w:spacing w:after="0" w:line="171" w:lineRule="exact"/>
        <w:rPr>
          <w:rFonts w:ascii="Times New Roman" w:cs="Times New Roman" w:eastAsia="Times New Roman" w:hAnsi="Times New Roman"/>
          <w:sz w:val="18"/>
          <w:szCs w:val="18"/>
          <w:color w:val="auto"/>
        </w:rPr>
      </w:pPr>
    </w:p>
    <w:p>
      <w:pPr>
        <w:ind w:left="980" w:hanging="324"/>
        <w:spacing w:after="0" w:line="266" w:lineRule="auto"/>
        <w:tabs>
          <w:tab w:leader="none" w:pos="97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issuance of 16,766,175 shares of our Class A common stock by us in this offering and the concurrent private placement, based upon the assumed initial public offering price of $17.00 per share, which is the midpoint of the price range set forth on the cover page of this prospectus, after deducting underwriting discounts and commissions and estimated offering expenses payable by us; and</w:t>
      </w:r>
    </w:p>
    <w:p>
      <w:pPr>
        <w:spacing w:after="0" w:line="121"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shares of Class B common stock to Class A common stock in connection with the secondary transaction and voluntary conversion.</w:t>
      </w:r>
    </w:p>
    <w:p>
      <w:pPr>
        <w:spacing w:after="0" w:line="10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pro forma as adjusted information set forth in the table below is illustrative only and will be adjusted based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117" w:right="459" w:bottom="1440" w:gutter="0" w:footer="0" w:header="0"/>
        </w:sectPr>
      </w:pPr>
    </w:p>
    <w:bookmarkStart w:id="69" w:name="page70"/>
    <w:bookmarkEnd w:id="69"/>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You should read this information in conjunction with our financial statements and the related notes and the sections titled “Selected Financial Data” and “Management’s Discussion and Analysis of Financial Condition and Results of Operations” that are included elsewhere in this prospectus.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 2020</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40" w:type="dxa"/>
            <w:vAlign w:val="bottom"/>
          </w:tcPr>
          <w:p>
            <w:pPr>
              <w:spacing w:after="0"/>
              <w:rPr>
                <w:sz w:val="11"/>
                <w:szCs w:val="11"/>
                <w:color w:val="auto"/>
              </w:rPr>
            </w:pPr>
          </w:p>
        </w:tc>
        <w:tc>
          <w:tcPr>
            <w:tcW w:w="1320" w:type="dxa"/>
            <w:vAlign w:val="bottom"/>
          </w:tcPr>
          <w:p>
            <w:pPr>
              <w:jc w:val="right"/>
              <w:ind w:right="273"/>
              <w:spacing w:after="0" w:line="129" w:lineRule="exact"/>
              <w:rPr>
                <w:sz w:val="20"/>
                <w:szCs w:val="20"/>
                <w:color w:val="auto"/>
              </w:rPr>
            </w:pPr>
            <w:r>
              <w:rPr>
                <w:rFonts w:ascii="Times New Roman" w:cs="Times New Roman" w:eastAsia="Times New Roman" w:hAnsi="Times New Roman"/>
                <w:sz w:val="14"/>
                <w:szCs w:val="14"/>
                <w:b w:val="1"/>
                <w:bCs w:val="1"/>
                <w:color w:val="auto"/>
              </w:rPr>
              <w:t>Pro Forma as</w:t>
            </w:r>
          </w:p>
        </w:tc>
        <w:tc>
          <w:tcPr>
            <w:tcW w:w="0" w:type="dxa"/>
            <w:vAlign w:val="bottom"/>
          </w:tcPr>
          <w:p>
            <w:pPr>
              <w:spacing w:after="0"/>
              <w:rPr>
                <w:sz w:val="1"/>
                <w:szCs w:val="1"/>
                <w:color w:val="auto"/>
              </w:rPr>
            </w:pPr>
          </w:p>
        </w:tc>
      </w:tr>
      <w:tr>
        <w:trPr>
          <w:trHeight w:val="189"/>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53"/>
              <w:spacing w:after="0" w:line="189" w:lineRule="exact"/>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86"/>
        </w:trPr>
        <w:tc>
          <w:tcPr>
            <w:tcW w:w="6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40" w:type="dxa"/>
            <w:vAlign w:val="bottom"/>
            <w:gridSpan w:val="7"/>
          </w:tcPr>
          <w:p>
            <w:pPr>
              <w:jc w:val="center"/>
              <w:ind w:right="273"/>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121,506</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388,325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preferred stock, par value $0.00001 per share: 29,026,827 shares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29,026,787 issued and outstanding, actual; no shares authorized, issued</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pro forma and pro forma as adjusted</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162,849</w:t>
            </w:r>
          </w:p>
        </w:tc>
        <w:tc>
          <w:tcPr>
            <w:tcW w:w="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63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vMerge w:val="continue"/>
            <w:shd w:val="clear" w:color="auto" w:fill="CCEEFF"/>
          </w:tcPr>
          <w:p>
            <w:pPr>
              <w:spacing w:after="0"/>
              <w:rPr>
                <w:sz w:val="14"/>
                <w:szCs w:val="14"/>
                <w:color w:val="auto"/>
              </w:rPr>
            </w:pPr>
          </w:p>
        </w:tc>
        <w:tc>
          <w:tcPr>
            <w:tcW w:w="1220" w:type="dxa"/>
            <w:vAlign w:val="bottom"/>
            <w:tcBorders>
              <w:bottom w:val="single" w:sz="8" w:color="CCEEFF"/>
            </w:tcBorders>
            <w:vMerge w:val="continue"/>
            <w:shd w:val="clear" w:color="auto" w:fill="CCEEFF"/>
          </w:tcPr>
          <w:p>
            <w:pPr>
              <w:spacing w:after="0"/>
              <w:rPr>
                <w:sz w:val="14"/>
                <w:szCs w:val="14"/>
                <w:color w:val="auto"/>
              </w:rPr>
            </w:pPr>
          </w:p>
        </w:tc>
        <w:tc>
          <w:tcPr>
            <w:tcW w:w="380" w:type="dxa"/>
            <w:vAlign w:val="bottom"/>
            <w:tcBorders>
              <w:bottom w:val="single" w:sz="8" w:color="CCEEFF"/>
            </w:tcBorders>
            <w:gridSpan w:val="2"/>
            <w:vMerge w:val="continue"/>
            <w:shd w:val="clear" w:color="auto" w:fill="CCEEFF"/>
          </w:tcPr>
          <w:p>
            <w:pPr>
              <w:spacing w:after="0"/>
              <w:rPr>
                <w:sz w:val="14"/>
                <w:szCs w:val="14"/>
                <w:color w:val="auto"/>
              </w:rPr>
            </w:pPr>
          </w:p>
        </w:tc>
        <w:tc>
          <w:tcPr>
            <w:tcW w:w="1380" w:type="dxa"/>
            <w:vAlign w:val="bottom"/>
            <w:tcBorders>
              <w:bottom w:val="single" w:sz="8" w:color="CCEEFF"/>
            </w:tcBorders>
            <w:gridSpan w:val="2"/>
            <w:vMerge w:val="continue"/>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13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par value $0.00001 per share: no shares authorized, issued and</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actual; 5,000,000 shares authorized and no shares issued and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pro forma and pro forma as adjusted</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$0.00001 per share: 56,074,766 shares authorized,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3,296,556 issued and outstanding, actual; 94,000,000 shares authorized, 32,323,343</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pro forma; and 94,000,000 shares authorized,</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52,481,490 shares issued and outstanding, pro forma as adjusted</w:t>
            </w:r>
          </w:p>
        </w:tc>
        <w:tc>
          <w:tcPr>
            <w:tcW w:w="340" w:type="dxa"/>
            <w:vAlign w:val="bottom"/>
            <w:shd w:val="clear" w:color="auto" w:fill="CCEEFF"/>
          </w:tcPr>
          <w:p>
            <w:pPr>
              <w:spacing w:after="0"/>
              <w:rPr>
                <w:sz w:val="20"/>
                <w:szCs w:val="20"/>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69"/>
        </w:trPr>
        <w:tc>
          <w:tcPr>
            <w:tcW w:w="63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gridSpan w:val="2"/>
            <w:vMerge w:val="continue"/>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 par value $0.00001 per share: 9,345,794 shares authorized,</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9,345,784 issued and outstanding, actual; 6,000,000 shares authorized,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9,345,784 shares issued and outstanding, pro forma; and 6,000,000 shares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5,953,812 shares issued and outstanding, pro forma as adjusted</w:t>
            </w:r>
          </w:p>
        </w:tc>
        <w:tc>
          <w:tcPr>
            <w:tcW w:w="34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434,737</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392,281</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125,536</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392,281</w:t>
            </w:r>
          </w:p>
        </w:tc>
        <w:tc>
          <w:tcPr>
            <w:tcW w:w="0" w:type="dxa"/>
            <w:vAlign w:val="bottom"/>
          </w:tcPr>
          <w:p>
            <w:pPr>
              <w:spacing w:after="0"/>
              <w:rPr>
                <w:sz w:val="1"/>
                <w:szCs w:val="1"/>
                <w:color w:val="auto"/>
              </w:rPr>
            </w:pPr>
          </w:p>
        </w:tc>
      </w:tr>
      <w:tr>
        <w:trPr>
          <w:trHeight w:val="27"/>
        </w:trPr>
        <w:tc>
          <w:tcPr>
            <w:tcW w:w="63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-95885</wp:posOffset>
            </wp:positionV>
            <wp:extent cx="31032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ind w:left="340" w:right="40" w:hanging="332"/>
        <w:spacing w:after="0" w:line="244" w:lineRule="auto"/>
        <w:tabs>
          <w:tab w:leader="none" w:pos="33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$1.00 increase or decrease in the assumed initial public offering price of $17.00 per share, which is the midpoint of the estimated offering price range set forth on the cover page of this prospectus, would increase or decrease, as applicable, the amount of our pro forma as adjusted cash and cash equivalents, additional paid-in capital, total stockholders’ equity and total capitalization by $8.2 million, assuming that the number of shares of Class A common stock offered by us, as set forth on the cover page of this prospectus, remains the same and after deducting estimated underwriting discounts and commissions payable by us. An increase or decrease of 1.0 million shares in the number of shares of Class A common stock offered by us would increase or decrease, as applicable, the amount of our pro forma as adjusted cash and cash equivalents, additional paid-in capital, total stockholders’ equity and total capitalization by $15.8 million, assuming the assumed initial public offering price remains the same, and after deducting estimated underwriting discounts and commissions payable by us.</w:t>
      </w:r>
    </w:p>
    <w:p>
      <w:pPr>
        <w:spacing w:after="0" w:line="14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pro forma and pro forma as adjusted columns in the table above are based on 32,323,343 shares of our Class A common stock (after giving effect to the conversion of all of our shares of convertible preferred stock) and 9,345,784 shares of our Class B common stock outstanding as of September 30, 2020, and excludes the following:</w:t>
      </w:r>
    </w:p>
    <w:p>
      <w:pPr>
        <w:spacing w:after="0" w:line="122" w:lineRule="exact"/>
        <w:rPr>
          <w:sz w:val="20"/>
          <w:szCs w:val="20"/>
          <w:color w:val="auto"/>
        </w:rPr>
      </w:pPr>
    </w:p>
    <w:p>
      <w:pPr>
        <w:ind w:left="660" w:right="4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7,553,500 shares of our Class A common stock issuable upon the exercise of options to purchase shares of our Class A common stock outstanding as of September 30, 2020, with a weighted-average exercise price of $2.51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17" w:right="339" w:bottom="1440" w:gutter="0" w:footer="0" w:header="0"/>
        </w:sectPr>
      </w:pPr>
    </w:p>
    <w:bookmarkStart w:id="70" w:name="page71"/>
    <w:bookmarkEnd w:id="70"/>
    <w:p>
      <w:pPr>
        <w:ind w:left="8"/>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8" w:right="60" w:hanging="328"/>
        <w:spacing w:after="0" w:line="282" w:lineRule="auto"/>
        <w:tabs>
          <w:tab w:leader="none" w:pos="3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940,646 shares of our Class A common stock issuable upon the exercise of options to purchase shares of our Class A common stock granted after September 30, 2020, with an exercise price of $7.97 per share;</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335,194 shares of our Class A common stock issuable upon the vesting of RSUs outstanding as of September 30, 2020;</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46,728 shares of our Class A common stock issuable upon the vesting of RSUs granted after September 30, 2020; and</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6,386,892 shares of our Class A common stock reserved for future issuance under our equity compensation plans, consisting of:</w:t>
      </w:r>
    </w:p>
    <w:p>
      <w:pPr>
        <w:spacing w:after="0" w:line="171" w:lineRule="exact"/>
        <w:rPr>
          <w:rFonts w:ascii="Times New Roman" w:cs="Times New Roman" w:eastAsia="Times New Roman" w:hAnsi="Times New Roman"/>
          <w:sz w:val="18"/>
          <w:szCs w:val="18"/>
          <w:color w:val="auto"/>
        </w:rPr>
      </w:pPr>
    </w:p>
    <w:p>
      <w:pPr>
        <w:ind w:left="648" w:right="160" w:hanging="324"/>
        <w:spacing w:after="0" w:line="266" w:lineRule="auto"/>
        <w:tabs>
          <w:tab w:leader="none" w:pos="64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4,819,859 shares of our Class A common stock to be reserved for future issuance under our 2020 Plan, which will become effective prior to the completion of this offering, and any additional shares that become available under our 2020 Plan pursuant to provisions thereof that automatically increase the share reserve under the plan each year;</w:t>
      </w:r>
    </w:p>
    <w:p>
      <w:pPr>
        <w:spacing w:after="0" w:line="121" w:lineRule="exact"/>
        <w:rPr>
          <w:rFonts w:ascii="Times New Roman" w:cs="Times New Roman" w:eastAsia="Times New Roman" w:hAnsi="Times New Roman"/>
          <w:sz w:val="18"/>
          <w:szCs w:val="18"/>
          <w:color w:val="auto"/>
        </w:rPr>
      </w:pPr>
    </w:p>
    <w:p>
      <w:pPr>
        <w:jc w:val="both"/>
        <w:ind w:left="648" w:right="160" w:hanging="324"/>
        <w:spacing w:after="0" w:line="266" w:lineRule="auto"/>
        <w:tabs>
          <w:tab w:leader="none" w:pos="64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602,570 shares of common stock reserved for future issuance under our ESPP, which will become effective in connection with this offering, and any additional shares that become available under our ESPP pursuant to provisions thereof that automatically increase the share reserve under the plan each year; and</w:t>
      </w:r>
    </w:p>
    <w:p>
      <w:pPr>
        <w:spacing w:after="0" w:line="121" w:lineRule="exact"/>
        <w:rPr>
          <w:rFonts w:ascii="Times New Roman" w:cs="Times New Roman" w:eastAsia="Times New Roman" w:hAnsi="Times New Roman"/>
          <w:sz w:val="18"/>
          <w:szCs w:val="18"/>
          <w:color w:val="auto"/>
        </w:rPr>
      </w:pPr>
    </w:p>
    <w:p>
      <w:pPr>
        <w:ind w:left="648" w:hanging="324"/>
        <w:spacing w:after="0" w:line="266" w:lineRule="auto"/>
        <w:tabs>
          <w:tab w:leader="none" w:pos="64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964,463 shares of our Class A common stock reserved for future issuance under our 2017 Plan (and no shares of our RSU Plan), and upon the termination of such 2017 Plan and RSU Plan in connection with the effectiveness of our 2020 Plan, an equivalent number of shares of our Class A common stock to be added to the shares reserved for future issuance under our 2020 Plan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868"/>
          </w:cols>
          <w:pgMar w:left="652" w:top="117" w:right="379" w:bottom="1440" w:gutter="0" w:footer="0" w:header="0"/>
        </w:sectPr>
      </w:pPr>
    </w:p>
    <w:bookmarkStart w:id="71" w:name="page72"/>
    <w:bookmarkEnd w:id="71"/>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If you invest in our Class A common stock in this offering, your ownership interest will be diluted immediately to the extent of the difference between the initial public offering price per share of our Class A common stock and the pro forma as adjusted net tangible book value per share of our common stock immediately after this offering and the concurrent private placement.</w:t>
      </w:r>
    </w:p>
    <w:p>
      <w:pPr>
        <w:spacing w:after="0" w:line="12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historical net tangible book value as of September 30, 2020 was $124.4 million, or $9.84 per share. Our historical net tangible book value is the amount of our total tangible assets less our total liabilities. Historical net tangible book value per share represents historical net tangible book value divided by the number of shares of our Class A common stock and Class B common stock outstanding as of September 30, 2020.</w:t>
      </w:r>
    </w:p>
    <w:p>
      <w:pPr>
        <w:spacing w:after="0" w:line="12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Our pro forma net tangible book value as of September 30, 2020 was $124.4 million, or $2.98 per share. Pro forma net tangible book value represents the amount of our total tangible assets less our total liabilities, after giving effect to the conversion of all outstanding shares of our convertible preferred stock into an aggregate of 29,026,787 shares of Class A common stock immediately prior to the completion of this offering. Pro forma net tangible book value per share represents pro forma net tangible book value divided by the total number of shares of our Class A common stock and Class B common stock outstanding as of September 30, 2020, after giving effect to the conversion of all outstanding shares of our convertible preferred stock into an aggregate of 29,026,787 shares of our Class A common stock immediately prior to the completion of this offering.</w:t>
      </w:r>
    </w:p>
    <w:p>
      <w:pPr>
        <w:spacing w:after="0" w:line="13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After giving further effect to our sale of 16,766,175 shares of Class A common stock in this offering and the concurrent private placement at the assumed initial public offering price of $17.00 per share, which is the midpoint of the price range set forth on the cover page of this prospectus, and after deducting the underwriting discounts and commissions and estimated offering expenses payable by us, our pro forma as adjusted net tangible book value as of September 30, 2020 would have been approximately $392.3 million, or approximately $6.71 per share. This represents an immediate increase in pro forma as adjusted net tangible book value of $3.73 per share to our existing stockholders and an immediate dilution in pro forma as adjusted net tangible book value of approximately $10.29 per share to new investors purchasing Class A common stock in this offering and the concurrent private placement. Dilution per share to new investors purchasing Class A common stock in this offering and the concurrent private placement is determined by subtracting pro forma as adjusted net tangible book value per share after this offering and the concurrent private placement from the assumed initial public offering price per share paid by new investors. The following table illustrates this dilution on a per share basis: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6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Historical net tangible book value per share as of September 30, 2020</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5"/>
              </w:rPr>
              <w:t>9.84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 forma decrease in net tangible book value per share as of September 30, 2020</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 forma net tangible book value per share as of September 30, 2020</w:t>
            </w:r>
          </w:p>
        </w:tc>
        <w:tc>
          <w:tcPr>
            <w:tcW w:w="600" w:type="dxa"/>
            <w:vAlign w:val="bottom"/>
          </w:tcPr>
          <w:p>
            <w:pPr>
              <w:spacing w:after="0"/>
              <w:rPr>
                <w:sz w:val="19"/>
                <w:szCs w:val="19"/>
                <w:color w:val="auto"/>
              </w:rPr>
            </w:pPr>
          </w:p>
        </w:tc>
        <w:tc>
          <w:tcPr>
            <w:tcW w:w="9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5"/>
              </w:rPr>
              <w:t>2.98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 purchasing shares of</w:t>
            </w:r>
          </w:p>
        </w:tc>
        <w:tc>
          <w:tcPr>
            <w:tcW w:w="6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5"/>
              </w:rPr>
              <w:t>3.73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Class A common stock in this offering and the concurrent private placement</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 and the concurrent private</w:t>
            </w: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placement</w:t>
            </w:r>
          </w:p>
        </w:tc>
        <w:tc>
          <w:tcPr>
            <w:tcW w:w="6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Dilution in pro forma as adjusted net tangible book value per share to new investors in this offering and the</w:t>
            </w:r>
          </w:p>
        </w:tc>
        <w:tc>
          <w:tcPr>
            <w:tcW w:w="600" w:type="dxa"/>
            <w:vAlign w:val="bottom"/>
            <w:shd w:val="clear" w:color="auto" w:fill="CCEEFF"/>
          </w:tcPr>
          <w:p>
            <w:pPr>
              <w:spacing w:after="0"/>
              <w:rPr>
                <w:sz w:val="13"/>
                <w:szCs w:val="13"/>
                <w:color w:val="auto"/>
              </w:rPr>
            </w:pPr>
          </w:p>
        </w:tc>
        <w:tc>
          <w:tcPr>
            <w:tcW w:w="1660" w:type="dxa"/>
            <w:vAlign w:val="bottom"/>
            <w:gridSpan w:val="3"/>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concurrent private placement</w:t>
            </w:r>
          </w:p>
        </w:tc>
        <w:tc>
          <w:tcPr>
            <w:tcW w:w="600" w:type="dxa"/>
            <w:vAlign w:val="bottom"/>
            <w:shd w:val="clear" w:color="auto" w:fill="CCEEFF"/>
          </w:tcPr>
          <w:p>
            <w:pPr>
              <w:spacing w:after="0"/>
              <w:rPr>
                <w:sz w:val="19"/>
                <w:szCs w:val="19"/>
                <w:color w:val="auto"/>
              </w:rPr>
            </w:pPr>
          </w:p>
        </w:tc>
        <w:tc>
          <w:tcPr>
            <w:tcW w:w="1660" w:type="dxa"/>
            <w:vAlign w:val="bottom"/>
            <w:gridSpan w:val="3"/>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$17.00 per share, the midpoint of the estimated offering price range set forth on the cover page of this prospectus, would increase or decrease, as applicable, our pro forma as adjusted net tangible book value as of September 30, 2020 after this offering and the concurrent private placement by approximately $8.2 million, or approximately $0.14 per share, and would increase or decrease, as applicable, dilution to investors in this offering and the concurrent private placement by approximately $0.86 per share, assuming that the number of shares of Class A common stock offered by us, as set forth on the cover page of this prospectus, remains the same, after deducting the underwriting discounts and commissions and estimated offering expenses payable by us. We may also increase or decrease the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17" w:right="339" w:bottom="1440" w:gutter="0" w:footer="0" w:header="0"/>
        </w:sectPr>
      </w:pPr>
    </w:p>
    <w:bookmarkStart w:id="72" w:name="page73"/>
    <w:bookmarkEnd w:id="72"/>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of Class A common stock we are offering. An increase or decrease of 1.0 million in the number of shares of our Class A common stock we are offering would increase or decrease, as applicable, our pro forma as adjusted net tangible book value as of September 30, 2020 after this offering and the concurrent private placement by approximately $15.8 million, or approximately $0.16 per share, and would decrease or increase dilution to investors in this offering and the concurrent private placement by approximately $0.16 per share, as applicable, assuming the assumed initial public offering price per share remains the same,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If the underwriters fully exercise their option to purchase additional shares of Class A common stock at the assumed initial public offering price of $17.00 per share, which is the midpoint of the price range set forth on the cover of this prospectus, assuming the number of shares offered by us as set forth on the cover page of this prospectus remains the same, and after deducting underwriting discounts and commissions and estimated offering expenses payable by us, pro forma as adjusted net tangible book value after this offering and the concurrent private placement would increase to approximately $6.91 per share, and there would be an immediate dilution of approximately $10.09 per share to new investors.</w:t>
      </w:r>
    </w:p>
    <w:p>
      <w:pPr>
        <w:spacing w:after="0" w:line="1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September 30, 2020, the difference between the number of shares of common stock purchased from us (on an as converted to Class A common stock basis), the total consideration paid, and the weighted-average price per share paid, by existing stockholders and by new investors in this offering and the concurrent private placement, assuming an initial public offering price of $17.00 per share, which is the midpoint of the price range set forth on the cover page of this prospectus, and before deducting underwriting discounts and commissions and estimated offering expenses payable by us.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20" w:type="dxa"/>
            <w:vAlign w:val="bottom"/>
          </w:tcPr>
          <w:p>
            <w:pPr>
              <w:spacing w:after="0"/>
              <w:rPr>
                <w:sz w:val="16"/>
                <w:szCs w:val="16"/>
                <w:color w:val="auto"/>
              </w:rPr>
            </w:pPr>
          </w:p>
        </w:tc>
        <w:tc>
          <w:tcPr>
            <w:tcW w:w="214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Average Price Per</w:t>
            </w:r>
          </w:p>
        </w:tc>
      </w:tr>
      <w:tr>
        <w:trPr>
          <w:trHeight w:val="201"/>
        </w:trPr>
        <w:tc>
          <w:tcPr>
            <w:tcW w:w="3320" w:type="dxa"/>
            <w:vAlign w:val="bottom"/>
          </w:tcPr>
          <w:p>
            <w:pPr>
              <w:spacing w:after="0"/>
              <w:rPr>
                <w:sz w:val="17"/>
                <w:szCs w:val="17"/>
                <w:color w:val="auto"/>
              </w:rPr>
            </w:pPr>
          </w:p>
        </w:tc>
        <w:tc>
          <w:tcPr>
            <w:tcW w:w="21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183"/>
        </w:trPr>
        <w:tc>
          <w:tcPr>
            <w:tcW w:w="3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80" w:type="dxa"/>
            <w:vAlign w:val="bottom"/>
            <w:gridSpan w:val="5"/>
          </w:tcPr>
          <w:p>
            <w:pPr>
              <w:ind w:left="4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stockholders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41,669,127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164,671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36.6 %</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investors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8,825,000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33.4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Concurrent private placement investors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7,941,175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5"/>
              </w:rPr>
              <w:t>30.0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23"/>
        </w:trPr>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58,435,302</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449,696</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table above assumes no exercise of the underwriters’ option to purchase 1,323,750 additional shares of Class A common stock in this offering. If the underwriters’ option to purchase additional shares of Class A common stock is exercised in full, the number of shares of our common stock held by existing stockholders would be reduced to 69.7% of the total number of shares of our common stock outstanding after this offering and the concurrent private placement, and the number of shares of common stock held by new investors participating in this offering and the concurrent private placement would be increased to 30.3% of the total number of shares outstanding after this offering and the concurrent private placement.</w:t>
      </w:r>
    </w:p>
    <w:p>
      <w:pPr>
        <w:spacing w:after="0" w:line="1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$17.00 per share, which is the midpoint of the price range set forth on the cover page of this prospectus, would increase or decrease, as applicable, the total consideration paid by new investors by $8.2 million, assuming that the number of shares of Class A common stock offered by us, as set forth on the cover page of this prospectus, remains the same and after deducting the underwriting discounts and commissions payable by us. Similarly, an increase or decrease of 1.0 million shares in the number of shares of Class A common stock offered by us would increase or decrease, as applicable, the total consideration paid by new investors by $15.8 million, assuming no change in the assumed initial public offering price and after deducting the underwriting discounts and commissions payable by us.</w:t>
      </w:r>
    </w:p>
    <w:p>
      <w:pPr>
        <w:spacing w:after="0" w:line="133"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foregoing tables and calculations (other than the historical net tangible book value per share calculation) are based on 32,323,343 shares of our Class A common stock (after giving effect to the conversion of all of 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17" w:right="339" w:bottom="1440" w:gutter="0" w:footer="0" w:header="0"/>
        </w:sectPr>
      </w:pPr>
    </w:p>
    <w:bookmarkStart w:id="73" w:name="page74"/>
    <w:bookmarkEnd w:id="73"/>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convertible preferred stock) and 9,345,784 shares of our Class B common stock outstanding as of September 30, 2020, and excludes the following:</w:t>
      </w:r>
    </w:p>
    <w:p>
      <w:pPr>
        <w:spacing w:after="0" w:line="171" w:lineRule="exact"/>
        <w:rPr>
          <w:sz w:val="20"/>
          <w:szCs w:val="20"/>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7,553,500 shares of our Class A common stock issuable upon the exercise of options to purchase shares of our Class A common stock outstanding as of September 30, 2020, with a weighted-average exercise price of $2.51 per share;</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940,646 shares of our Class A common stock issuable upon the exercise of options to purchase shares of our Class A common stock granted after September 30, 2020, with an exercise price of $7.97 per share;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335,194 shares of our Class A common stock issuable upon the vesting of RSUs outstanding as of September 30, 2020;</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46,728 shares of our Class A common stock issuable upon the vesting of RSUs granted after September 30, 2020;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6,386,892 shares of our Class A common stock reserved for future issuance under our equity compensation plans, consisting of:</w:t>
      </w:r>
    </w:p>
    <w:p>
      <w:pPr>
        <w:spacing w:after="0" w:line="171"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7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4,819,859 shares of our Class A common stock to be reserved for future issuance under our 2020 Plan, which will become effective prior to the completion of this offering, and any additional shares that become available under our 2020 Plan pursuant to provisions thereof that automatically increase the share reserve under the plan each year;</w:t>
      </w:r>
    </w:p>
    <w:p>
      <w:pPr>
        <w:spacing w:after="0" w:line="121" w:lineRule="exact"/>
        <w:rPr>
          <w:rFonts w:ascii="Times New Roman" w:cs="Times New Roman" w:eastAsia="Times New Roman" w:hAnsi="Times New Roman"/>
          <w:sz w:val="18"/>
          <w:szCs w:val="18"/>
          <w:color w:val="auto"/>
        </w:rPr>
      </w:pPr>
    </w:p>
    <w:p>
      <w:pPr>
        <w:jc w:val="both"/>
        <w:ind w:left="980" w:right="160" w:hanging="324"/>
        <w:spacing w:after="0" w:line="266" w:lineRule="auto"/>
        <w:tabs>
          <w:tab w:leader="none" w:pos="97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602,570 shares of common stock reserved for future issuance under our ESPP, which will become effective in connection with this offering, and any additional shares that become available under our ESPP pursuant to provisions thereof that automatically increase the share reserve under the plan each year; and</w:t>
      </w:r>
    </w:p>
    <w:p>
      <w:pPr>
        <w:spacing w:after="0" w:line="121" w:lineRule="exact"/>
        <w:rPr>
          <w:rFonts w:ascii="Times New Roman" w:cs="Times New Roman" w:eastAsia="Times New Roman" w:hAnsi="Times New Roman"/>
          <w:sz w:val="18"/>
          <w:szCs w:val="18"/>
          <w:color w:val="auto"/>
        </w:rPr>
      </w:pPr>
    </w:p>
    <w:p>
      <w:pPr>
        <w:ind w:left="980" w:hanging="324"/>
        <w:spacing w:after="0" w:line="266" w:lineRule="auto"/>
        <w:tabs>
          <w:tab w:leader="none" w:pos="97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964,463 shares of our Class A common stock reserved for future issuance under our 2017 Plan (and no shares of our RSU Plan), and upon the termination of such 2017 Plan and RSU Plan in connection with the effectiveness of our 2020 Plan, an equivalent number of shares of our Class A common stock to be added to the shares reserved for future issuance under our 2020 Plan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00"/>
          </w:cols>
          <w:pgMar w:left="320" w:top="117" w:right="379" w:bottom="1440" w:gutter="0" w:footer="0" w:header="0"/>
        </w:sectPr>
      </w:pPr>
    </w:p>
    <w:bookmarkStart w:id="74" w:name="page75"/>
    <w:bookmarkEnd w:id="74"/>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following selected statement of operations data for the years ended December 31, 2018 and 2019, and the balance sheet data as of December 31, 2018 and 2019, have been derived from our audited financial statements included elsewhere in this prospectus. We have derived the statement of operations data for the nine months ended September 30, 2019 and 2020, and the balance sheet data as of September 30, 2020 from our unaudited interim financial statements and related notes included elsewhere in this prospectus. Our unaudited interim financial statements were prepared in accordance with GAAP, on the same basis as our audited financial statements and include, in the opinion of management, all adjustments, consisting of normal recurring adjustments, that are necessary for the fair presentation of the financial information set forth in those financial statements. Our historical results are not necessarily indicative of the results that may be expected in the future, and our interim results are not necessarily indicative of our results for the full fiscal year. You should read the following selected financial and other data below in conjunction with the section titled “Management’s Discussion and Analysis of Financial Condition and Results of Operations” and our financial statements and related notes included elsewhere in this prospectus.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8"/>
                <w:szCs w:val="18"/>
                <w:color w:val="auto"/>
              </w:rPr>
            </w:pPr>
          </w:p>
        </w:tc>
        <w:tc>
          <w:tcPr>
            <w:tcW w:w="2860" w:type="dxa"/>
            <w:vAlign w:val="bottom"/>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9"/>
        </w:trPr>
        <w:tc>
          <w:tcPr>
            <w:tcW w:w="48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80" w:type="dxa"/>
            <w:vAlign w:val="bottom"/>
            <w:tcBorders>
              <w:top w:val="single" w:sz="8" w:color="auto"/>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69"/>
        </w:trPr>
        <w:tc>
          <w:tcPr>
            <w:tcW w:w="4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920" w:type="dxa"/>
            <w:vAlign w:val="bottom"/>
            <w:gridSpan w:val="4"/>
          </w:tcPr>
          <w:p>
            <w:pPr>
              <w:jc w:val="right"/>
              <w:ind w:right="302"/>
              <w:spacing w:after="0"/>
              <w:rPr>
                <w:sz w:val="20"/>
                <w:szCs w:val="20"/>
                <w:color w:val="auto"/>
              </w:rPr>
            </w:pPr>
            <w:r>
              <w:rPr>
                <w:rFonts w:ascii="Times New Roman" w:cs="Times New Roman" w:eastAsia="Times New Roman" w:hAnsi="Times New Roman"/>
                <w:sz w:val="13"/>
                <w:szCs w:val="13"/>
                <w:i w:val="1"/>
                <w:iCs w:val="1"/>
                <w:color w:val="auto"/>
              </w:rPr>
              <w:t>(in thousands, except share and per share data)</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7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58</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ind w:left="240"/>
        <w:spacing w:after="0" w:line="208" w:lineRule="auto"/>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p>
      <w:pPr>
        <w:ind w:left="240"/>
        <w:spacing w:after="0" w:line="231" w:lineRule="auto"/>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expense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other income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50" w:lineRule="exact"/>
        <w:rPr>
          <w:sz w:val="20"/>
          <w:szCs w:val="20"/>
          <w:color w:val="auto"/>
        </w:rPr>
      </w:pPr>
    </w:p>
    <w:p>
      <w:pPr>
        <w:ind w:left="180" w:hanging="161"/>
        <w:spacing w:after="0" w:line="216" w:lineRule="auto"/>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r>
        <w:rPr>
          <w:rFonts w:ascii="Times New Roman" w:cs="Times New Roman" w:eastAsia="Times New Roman" w:hAnsi="Times New Roman"/>
          <w:sz w:val="23"/>
          <w:szCs w:val="23"/>
          <w:color w:val="auto"/>
          <w:vertAlign w:val="superscript"/>
        </w:rPr>
        <w:t>(2)</w:t>
      </w:r>
    </w:p>
    <w:p>
      <w:pPr>
        <w:spacing w:after="0" w:line="1" w:lineRule="exact"/>
        <w:rPr>
          <w:sz w:val="20"/>
          <w:szCs w:val="20"/>
          <w:color w:val="auto"/>
        </w:rPr>
      </w:pPr>
    </w:p>
    <w:p>
      <w:pPr>
        <w:ind w:left="180" w:right="620" w:hanging="161"/>
        <w:spacing w:after="0" w:line="214" w:lineRule="auto"/>
        <w:rPr>
          <w:sz w:val="20"/>
          <w:szCs w:val="20"/>
          <w:color w:val="auto"/>
        </w:rPr>
      </w:pPr>
      <w:r>
        <w:rPr>
          <w:rFonts w:ascii="Times New Roman" w:cs="Times New Roman" w:eastAsia="Times New Roman" w:hAnsi="Times New Roman"/>
          <w:sz w:val="18"/>
          <w:szCs w:val="18"/>
          <w:color w:val="auto"/>
        </w:rPr>
        <w:t>Weighted-average common shares outstanding, basic and diluted</w:t>
      </w:r>
      <w:r>
        <w:rPr>
          <w:rFonts w:ascii="Times New Roman" w:cs="Times New Roman" w:eastAsia="Times New Roman" w:hAnsi="Times New Roman"/>
          <w:sz w:val="23"/>
          <w:szCs w:val="23"/>
          <w:color w:val="auto"/>
          <w:vertAlign w:val="superscript"/>
        </w:rPr>
        <w:t>(2)</w:t>
      </w:r>
    </w:p>
    <w:p>
      <w:pPr>
        <w:ind w:left="20"/>
        <w:spacing w:after="0" w:line="218" w:lineRule="auto"/>
        <w:rPr>
          <w:sz w:val="20"/>
          <w:szCs w:val="20"/>
          <w:color w:val="auto"/>
        </w:rPr>
      </w:pPr>
      <w:r>
        <w:rPr>
          <w:rFonts w:ascii="Times New Roman" w:cs="Times New Roman" w:eastAsia="Times New Roman" w:hAnsi="Times New Roman"/>
          <w:sz w:val="18"/>
          <w:szCs w:val="18"/>
          <w:color w:val="auto"/>
        </w:rPr>
        <w:t>Pro forma net loss per common share, basic and diluted</w:t>
      </w:r>
      <w:r>
        <w:rPr>
          <w:rFonts w:ascii="Times New Roman" w:cs="Times New Roman" w:eastAsia="Times New Roman" w:hAnsi="Times New Roman"/>
          <w:sz w:val="23"/>
          <w:szCs w:val="23"/>
          <w:color w:val="auto"/>
          <w:vertAlign w:val="superscript"/>
        </w:rPr>
        <w:t>(2)</w:t>
      </w:r>
    </w:p>
    <w:p>
      <w:pPr>
        <w:spacing w:after="0" w:line="1" w:lineRule="exact"/>
        <w:rPr>
          <w:sz w:val="20"/>
          <w:szCs w:val="20"/>
          <w:color w:val="auto"/>
        </w:rPr>
      </w:pPr>
    </w:p>
    <w:p>
      <w:pPr>
        <w:ind w:left="180" w:right="300" w:hanging="161"/>
        <w:spacing w:after="0" w:line="195" w:lineRule="auto"/>
        <w:rPr>
          <w:sz w:val="20"/>
          <w:szCs w:val="20"/>
          <w:color w:val="auto"/>
        </w:rPr>
      </w:pPr>
      <w:r>
        <w:rPr>
          <w:rFonts w:ascii="Times New Roman" w:cs="Times New Roman" w:eastAsia="Times New Roman" w:hAnsi="Times New Roman"/>
          <w:sz w:val="18"/>
          <w:szCs w:val="18"/>
          <w:color w:val="auto"/>
        </w:rPr>
        <w:t>Pro forma weighted-average common shares used to compute basic and diluted net loss per common share</w:t>
      </w:r>
      <w:r>
        <w:rPr>
          <w:rFonts w:ascii="Times New Roman" w:cs="Times New Roman" w:eastAsia="Times New Roman" w:hAnsi="Times New Roman"/>
          <w:sz w:val="23"/>
          <w:szCs w:val="23"/>
          <w:color w:val="auto"/>
          <w:vertAlign w:val="superscript"/>
        </w:rPr>
        <w:t>(2)</w:t>
      </w: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include stock-based compensation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3,776</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13,520</w:t>
            </w:r>
          </w:p>
        </w:tc>
      </w:tr>
      <w:tr>
        <w:trPr>
          <w:trHeight w:val="23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2,982</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w:t>
            </w:r>
          </w:p>
        </w:tc>
      </w:tr>
      <w:tr>
        <w:trPr>
          <w:trHeight w:val="250"/>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6,758</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20,928</w:t>
            </w:r>
          </w:p>
        </w:tc>
      </w:tr>
      <w:tr>
        <w:trPr>
          <w:trHeight w:val="270"/>
        </w:trPr>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(6,758)</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(16,883)</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500"/>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451</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65"/>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0"/>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451</w:t>
            </w:r>
          </w:p>
        </w:tc>
        <w:tc>
          <w:tcPr>
            <w:tcW w:w="4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23"/>
        </w:trPr>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(6,307)</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(19,839)</w:t>
            </w:r>
          </w:p>
        </w:tc>
      </w:tr>
      <w:tr>
        <w:trPr>
          <w:trHeight w:val="20"/>
        </w:trPr>
        <w:tc>
          <w:tcPr>
            <w:tcW w:w="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45"/>
        </w:trPr>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3,973,329</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6,952,419</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6,536,307</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9,709,501</w:t>
            </w:r>
          </w:p>
        </w:tc>
      </w:tr>
      <w:tr>
        <w:trPr>
          <w:trHeight w:val="20"/>
        </w:trPr>
        <w:tc>
          <w:tcPr>
            <w:tcW w:w="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(0.56)</w:t>
            </w:r>
          </w:p>
        </w:tc>
      </w:tr>
      <w:tr>
        <w:trPr>
          <w:trHeight w:val="21"/>
        </w:trPr>
        <w:tc>
          <w:tcPr>
            <w:tcW w:w="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44"/>
        </w:trPr>
        <w:tc>
          <w:tcPr>
            <w:tcW w:w="8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21,454,787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35,409,555</w:t>
            </w:r>
          </w:p>
        </w:tc>
      </w:tr>
      <w:tr>
        <w:trPr>
          <w:trHeight w:val="21"/>
        </w:trPr>
        <w:tc>
          <w:tcPr>
            <w:tcW w:w="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-1928495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-1610995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-453390</wp:posOffset>
            </wp:positionV>
            <wp:extent cx="713232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-1293495</wp:posOffset>
            </wp:positionV>
            <wp:extent cx="7132320" cy="617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61722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-2270760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6" w:lineRule="exact"/>
        <w:rPr>
          <w:sz w:val="20"/>
          <w:szCs w:val="20"/>
          <w:color w:val="auto"/>
        </w:rPr>
      </w:pPr>
    </w:p>
    <w:p>
      <w:pPr>
        <w:sectPr>
          <w:pgSz w:w="11900" w:h="16838" w:orient="portrait"/>
          <w:cols w:equalWidth="0" w:num="3">
            <w:col w:w="4760" w:space="80"/>
            <w:col w:w="100" w:space="620"/>
            <w:col w:w="5680"/>
          </w:cols>
          <w:pgMar w:left="320" w:top="117" w:right="339" w:bottom="1440" w:gutter="0" w:footer="0" w:header="0"/>
          <w:type w:val="continuous"/>
        </w:sectPr>
      </w:pPr>
    </w:p>
    <w:tbl>
      <w:tblPr>
        <w:tblLayout w:type="fixed"/>
        <w:tblInd w:w="34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5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2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412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4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4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7"/>
        </w:trPr>
        <w:tc>
          <w:tcPr>
            <w:tcW w:w="4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4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17" w:right="339" w:bottom="1440" w:gutter="0" w:footer="0" w:header="0"/>
          <w:type w:val="continuous"/>
        </w:sectPr>
      </w:pPr>
    </w:p>
    <w:bookmarkStart w:id="75" w:name="page76"/>
    <w:bookmarkEnd w:id="75"/>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240" w:hanging="332"/>
        <w:spacing w:after="0" w:line="282"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12 to our financial statements for an explanation of the calculations of our basic and diluted net loss per share attributable to common stockholders, pro forma net loss per share attributable to common stockholders and the weighted-average number of shares used in the computation of the per share amounts.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560" w:type="dxa"/>
            <w:vAlign w:val="bottom"/>
            <w:gridSpan w:val="3"/>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80" w:type="dxa"/>
            <w:vAlign w:val="bottom"/>
          </w:tcPr>
          <w:p>
            <w:pPr>
              <w:spacing w:after="0"/>
              <w:rPr>
                <w:sz w:val="16"/>
                <w:szCs w:val="16"/>
                <w:color w:val="auto"/>
              </w:rPr>
            </w:pPr>
          </w:p>
        </w:tc>
        <w:tc>
          <w:tcPr>
            <w:tcW w:w="16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vMerge w:val="restart"/>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jc w:val="right"/>
              <w:ind w:right="39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30,953</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121,506</w:t>
            </w:r>
          </w:p>
        </w:tc>
        <w:tc>
          <w:tcPr>
            <w:tcW w:w="0" w:type="dxa"/>
            <w:vAlign w:val="bottom"/>
          </w:tcPr>
          <w:p>
            <w:pPr>
              <w:spacing w:after="0"/>
              <w:rPr>
                <w:sz w:val="1"/>
                <w:szCs w:val="1"/>
                <w:color w:val="auto"/>
              </w:rPr>
            </w:pPr>
          </w:p>
        </w:tc>
      </w:tr>
      <w:tr>
        <w:trPr>
          <w:trHeight w:val="27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(3)</w:t>
            </w:r>
          </w:p>
        </w:tc>
        <w:tc>
          <w:tcPr>
            <w:tcW w:w="114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27,521</w:t>
            </w:r>
          </w:p>
        </w:tc>
        <w:tc>
          <w:tcPr>
            <w:tcW w:w="3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82,991</w:t>
            </w:r>
          </w:p>
        </w:tc>
        <w:tc>
          <w:tcPr>
            <w:tcW w:w="2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117,451</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33,696</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93,236</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133,890</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3,721</w:t>
            </w: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(42,425)</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4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29,975</w:t>
            </w: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87,679</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125,536</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360" w:hanging="332"/>
        <w:spacing w:after="0" w:line="282" w:lineRule="auto"/>
        <w:tabs>
          <w:tab w:leader="none" w:pos="33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working capital as current assets less current liabilities. See our financial statements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17" w:right="339" w:bottom="1440" w:gutter="0" w:footer="0" w:header="0"/>
        </w:sectPr>
      </w:pPr>
    </w:p>
    <w:bookmarkStart w:id="76" w:name="page77"/>
    <w:bookmarkEnd w:id="76"/>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5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section titled “Selected Financial Data” and our financial statements and related notes included elsewhere in this prospectus.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300" w:firstLine="324"/>
        <w:spacing w:after="0" w:line="253" w:lineRule="auto"/>
        <w:rPr>
          <w:sz w:val="20"/>
          <w:szCs w:val="20"/>
          <w:color w:val="auto"/>
        </w:rPr>
      </w:pPr>
      <w:r>
        <w:rPr>
          <w:rFonts w:ascii="Times New Roman" w:cs="Times New Roman" w:eastAsia="Times New Roman" w:hAnsi="Times New Roman"/>
          <w:sz w:val="18"/>
          <w:szCs w:val="18"/>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3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Since we were incorporated in 2017, we have devoted substantially all of our resources to research and development activities, including with respect to our Proteograph Product Suite, establishing and maintaining our intellectual property portfolio, hiring personnel, raising capital, building our commercial infrastructure and providing general and administrative support for these activities.</w:t>
      </w:r>
    </w:p>
    <w:p>
      <w:pPr>
        <w:spacing w:after="0" w:line="12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revenue to date has been nominal and generated from research collaborations and activities. Our initial product, the Proteograph Product Suite, has not yet been commercialized, and we have not generated any revenue from product sales to date. Our ability to generate product revenue sufficient to achieve profitability, if ever, will depend on the successful commercialization of our Proteograph Product Suite.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w:t>
      </w:r>
    </w:p>
    <w:p>
      <w:pPr>
        <w:spacing w:after="0" w:line="14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intend to commercialize our Proteograph Product Suite as an integrated solution comprising consumables, an automation instrument and software. Our commercial strategy will focus on growing adoption by the research community of our Proteograph, expanding the installed base and increasing utilization to generate revenue from the purchase of our Proteograph consumables. We expect a highly efficient sales model since our Proteograph does not have a large capital expenditure component and our Proteograph automation instrument integrates with most existing proteomics laboratories’ workflows and also complements large-scale genomics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17" w:right="339" w:bottom="1440" w:gutter="0" w:footer="0" w:header="0"/>
        </w:sectPr>
      </w:pPr>
    </w:p>
    <w:bookmarkStart w:id="77" w:name="page78"/>
    <w:bookmarkEnd w:id="77"/>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intend to commercialize our Proteograph through a direct sales channel in the United States, and through both direct and distributor sales channels in regions outside the United States. Given our stage of development, we currently have limited marketing and no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Proteograph.</w:t>
      </w:r>
    </w:p>
    <w:p>
      <w:pPr>
        <w:spacing w:after="0" w:line="1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some of our consumables, including components of our NPs, from third-party manufacturers, which includes the commonly-available raw materials needed for manufacturing our proprietary engineered NPs. We are currently manufacturing using our pilot line and building out our manufacturing capabilities as we ramp towards broad commercial availability. We obtain some of the reagents and components used in our Proteograph workflow from third-party suppliers. While some of these reagents and components are sourced from a single supplier, these products are readily available from numerous suppliers. While we currently plan to handle filling and packaging of our Proteograph assay and the related consumables, in the future, we may have our filling and packaging outsourced to a third-party. We conduct vendor and component qualification for components provided by third-party suppliers and quality control tests on all of our NPs. We will need to substantially expand our NP manufacturing capabilities to enable the successful commercialization of our Proteograph Product Suite.</w:t>
      </w:r>
    </w:p>
    <w:p>
      <w:pPr>
        <w:spacing w:after="0" w:line="13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have designed our Proteograph automation instrument and have outsourced the manufacturing of our Proteograph automation instrument to Hamilton Company, a leading manufacturer of automated liquid handling workstations. We have entered into a non-exclusive agreement with Hamilton that covers the manufacturing of our Proteograph automation instrument and its continued supply on a purchase order basis. The agreement has an initial term that runs three years following our commercial launch. Pricing for the supply of our Proteograph automation instrument is on a fixed schedule during the initial term of the agreement, with tiered pricing dependent upon the number of units purchased in a twelve-month period.</w:t>
      </w:r>
    </w:p>
    <w:p>
      <w:pPr>
        <w:spacing w:after="0" w:line="1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Since our incorporation, we have incurred significant losses and negative cash flows from operations. During the year ended December 31, 2019, we incurred a net loss of $16.0 million and used $13.1 million of cash in operations. During nine months ended September 30, 2020, we incurred a net loss of $19.8 million and used $15.3 million of cash in operations. As of September 30, 2020, we had an accumulated deficit of $42.4 million. We expect to continue to incur significant and increasing losses and do not expect positive cash flows from operations for the foreseeable future, and our net losses may fluctuate significantly from period to period, depending on the timing of and expenditures on our planned commercialization and research and development activities.</w:t>
      </w:r>
    </w:p>
    <w:p>
      <w:pPr>
        <w:spacing w:after="0" w:line="13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private placements of convertible preferred stock. From the date of our incorporation through September 30, 2020, we have raised aggregate net proceeds of approximately $162.8 million from the issuance of convertible preferred stock, net of issuance costs. As of September 30, 2020, we had unrestricted cash and cash equivalents of $17.7 million and investments of $103.8 million.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our expenses to increase significantly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commercialize our Proteograph Product Suite;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service, support and distribution infrastructure in advance of commercialization;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build-out and expand our in-house NP manufacturing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in research and development of other products and enhancements to our Proteograph;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intellectual property portfolio;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20"/>
          </w:cols>
          <w:pgMar w:left="320" w:top="117" w:right="359" w:bottom="1440" w:gutter="0" w:footer="0" w:header="0"/>
        </w:sectPr>
      </w:pPr>
    </w:p>
    <w:bookmarkStart w:id="78" w:name="page79"/>
    <w:bookmarkEnd w:id="78"/>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infrastructure to operate as a public company.</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PrognomIQ</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August 2020, we transferred certain assets related to disease testing to PrognomIQ, Inc. (PrognomIQ), a new wholly-owned subsidiary, in exchange for all of its outstanding equity interests. Following the transfer, we completed a pro-rata distribution to our stockholders of most of the shares of capital stock of PrognomIQ. Following the distribution and a subsequent $55.0 million equity financing of PrognomIQ, we hold approximately 19% of the outstanding capital stock in PrognomIQ.</w:t>
      </w:r>
    </w:p>
    <w:p>
      <w:pPr>
        <w:spacing w:after="0" w:line="12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to any customer in any geography, nor does it preclude our customers from using our Proteograph in any way. PrognomIQ has indicated that it plans to combine the protein data from our Proteograph with genomics and other -omics data, to create a multi-omics approach to health and disease testing. We believe PrognomIQ’s use of proteomics and the potential for other similar companies which use proteomics in their research and products will help us drive the adoption of our Proteograph Product Suite in these applications.</w:t>
      </w:r>
    </w:p>
    <w:p>
      <w:pPr>
        <w:spacing w:after="0" w:line="13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Omid Farokhzad, Chief Executive Officer and Chair of our board of directors, serves as the Chair of PrognomIQ’s board of directors. Philip Ma, Ph.D. our former Chief Business Officer serves as the Chief Executive Officer of PrognomIQ. While Dr. Ma has fully transitioned to PrognomIQ, he will remain our consultant until April 2021. In addition, three of our other employees have also transitioned to PrognomIQ. We will be providing general transition services and support, including laboratory and office space to PrognomIQ during the transition period. We anticipate these services to continue through the first half of 2021.</w:t>
      </w:r>
    </w:p>
    <w:p>
      <w:pPr>
        <w:spacing w:after="0" w:line="1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granted PrognomIQ a non-exclusive license to certain patents and patent applications that we own and a non-exclusive sublicense to certain patent applications we exclusively licensed from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For further discussion of our license and sublicense arrangement with PrognomIQ, see the section titled “Business — Collaboration and License Agreements — </w:t>
      </w:r>
      <w:r>
        <w:rPr>
          <w:rFonts w:ascii="Times New Roman" w:cs="Times New Roman" w:eastAsia="Times New Roman" w:hAnsi="Times New Roman"/>
          <w:sz w:val="18"/>
          <w:szCs w:val="18"/>
          <w:i w:val="1"/>
          <w:iCs w:val="1"/>
          <w:color w:val="auto"/>
        </w:rPr>
        <w:t>PrognomIQ</w:t>
      </w:r>
      <w:r>
        <w:rPr>
          <w:rFonts w:ascii="Times New Roman" w:cs="Times New Roman" w:eastAsia="Times New Roman" w:hAnsi="Times New Roman"/>
          <w:sz w:val="18"/>
          <w:szCs w:val="18"/>
          <w:color w:val="auto"/>
        </w:rPr>
        <w:t>.” We do not view these amounts to be material to our financial condition and results of operations nor do we expect these amounts to ever be material to us in the future.</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result of the COVID-19 pandemic, we could experience disruptions that could severely impact our business. For example, we have experienced longer lead times from Hamilton for orders of our automation instruments and may experience delays and longer lead times from our other suppliers of critical hardware, instrumentation and consumables used for product development and manufacturing operations. Pandemic precautions and preventative measures may also impact our commercialization plans due to restrictions on our customers’ ability to access laboratories, causing delays in the delivery and installation of our Proteograph products, training such customers on our products, and their ability to conduct research. The ongoing build-out of our expansion facilities may also be delayed by COVID-related restrictions. Furthermore, COVID-19 has adversely affected the broader economy and financial markets, resulting in an economic downturn that could curtail the research and development budgets of our customers, our ability to hire additional personnel and our financing prospects. Any of the foregoing could harm our operations and we cannot anticipate all the ways in which it could be adversely impacted by health epidemics such as COVID-19.</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details, see the section 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17" w:right="339" w:bottom="1440" w:gutter="0" w:footer="0" w:header="0"/>
        </w:sectPr>
      </w:pPr>
    </w:p>
    <w:bookmarkStart w:id="79" w:name="page80"/>
    <w:bookmarkEnd w:id="79"/>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have not generated any revenue from product sales and may not do so in the near future. Our revenue to date has been generated from research collaborations and activities.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or R&amp;D, expenses include cost associated with performing services under research and development service contracts and research and development of our technology and product candidates. R&amp;D expenses consist primarily of employee compensation, including stock-based compensation, and related benefits, laboratory supplies used for in-house research, consulting costs, costs related to clinical studies for the collection of biological samples for research use, which relate to the assets transferred to PrognomIQ, and allocated overhead, including rent, depreciation, information technology and utilities.</w:t>
      </w:r>
    </w:p>
    <w:p>
      <w:pPr>
        <w:spacing w:after="0" w:line="1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plan to increase our investment in our R&amp;D efforts related to our Proteograph Product Suite, our product development pipeline and our proprietary engineered NP technology. Therefore, we expect R&amp;D expenses will increase in absolute dollars in future periods as we incur expenses associated with hiring additional personnel, purchasing supplies and materials, and the allocation of facility expense associated with the ongoing build-out of our expansion facilities to support our R&amp;D efforts.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compensation, including stock-based compensation, and related benefits for executive management, finance, administration and human resources, allocated overhead, professional service fees and other general overhead costs to support our operations.</w:t>
      </w:r>
    </w:p>
    <w:p>
      <w:pPr>
        <w:spacing w:after="0" w:line="12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expect to incur additional general and administrative expenses as we continue to invest in our personnel as we grow and with the additional costs incurred as a result of preparing to operate as a public company, including accounting, human resources, legal, insurance and investor relations costs. As a result, we expect general and administrative expenses to increase in absolute dollars in future periods.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consists of interest earned on cash, cash equivalents and investments.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related to certain convertible promissory notes that were issued in May 2019. These notes were converted to convertible preferred stock in November 2019.</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Other expense consists of our share of losses from our equity method investment made in August 2020, the carrying amount of which was reduced to zero during the period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20"/>
          </w:cols>
          <w:pgMar w:left="320" w:top="117" w:right="359" w:bottom="1440" w:gutter="0" w:footer="0" w:header="0"/>
        </w:sectPr>
      </w:pPr>
    </w:p>
    <w:bookmarkStart w:id="80" w:name="page81"/>
    <w:bookmarkEnd w:id="80"/>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Comparisons of the Nine Months Ended September 30, 2019 and 2020</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7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top w:val="single" w:sz="8" w:color="auto"/>
            </w:tcBorders>
          </w:tcPr>
          <w:p>
            <w:pPr>
              <w:jc w:val="center"/>
              <w:ind w:right="411"/>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5"/>
          </w:tcPr>
          <w:p>
            <w:pPr>
              <w:ind w:left="5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 revenue</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39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7"/>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80" w:type="dxa"/>
            <w:vAlign w:val="bottom"/>
          </w:tcPr>
          <w:p>
            <w:pPr>
              <w:spacing w:after="0"/>
              <w:rPr>
                <w:sz w:val="21"/>
                <w:szCs w:val="21"/>
                <w:color w:val="auto"/>
              </w:rPr>
            </w:pPr>
          </w:p>
        </w:tc>
        <w:tc>
          <w:tcPr>
            <w:tcW w:w="108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0" w:type="dxa"/>
            <w:vAlign w:val="bottom"/>
          </w:tcPr>
          <w:p>
            <w:pPr>
              <w:spacing w:after="0"/>
              <w:rPr>
                <w:sz w:val="1"/>
                <w:szCs w:val="1"/>
                <w:color w:val="auto"/>
              </w:rPr>
            </w:pPr>
          </w:p>
        </w:tc>
      </w:tr>
      <w:tr>
        <w:trPr>
          <w:trHeight w:val="26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right="9600" w:hanging="8"/>
        <w:spacing w:after="0" w:line="487" w:lineRule="auto"/>
        <w:tabs>
          <w:tab w:leader="none" w:pos="475" w:val="left"/>
        </w:tabs>
        <w:numPr>
          <w:ilvl w:val="0"/>
          <w:numId w:val="5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Not meaningful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gridSpan w:val="3"/>
          </w:tcPr>
          <w:p>
            <w:pPr>
              <w:jc w:val="right"/>
              <w:ind w:right="35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262</w:t>
            </w:r>
          </w:p>
        </w:tc>
        <w:tc>
          <w:tcPr>
            <w:tcW w:w="11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452%</w:t>
            </w:r>
          </w:p>
        </w:tc>
      </w:tr>
    </w:tbl>
    <w:p>
      <w:pPr>
        <w:spacing w:after="0" w:line="144"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Revenue increased by $0.3 million, or 452%, from $58 thousand in the nine months ended September 30, 2019 to $0.3 million in the nine months ended September 30, 2020, due to a Small Business Innovation Research grant awarded in the third quarter of 2019 and continued through 2020.</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8"/>
                <w:szCs w:val="18"/>
                <w:color w:val="auto"/>
              </w:rPr>
            </w:pPr>
          </w:p>
        </w:tc>
        <w:tc>
          <w:tcPr>
            <w:tcW w:w="17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8"/>
                <w:szCs w:val="18"/>
                <w:color w:val="auto"/>
              </w:rPr>
            </w:pPr>
          </w:p>
        </w:tc>
      </w:tr>
      <w:tr>
        <w:trPr>
          <w:trHeight w:val="209"/>
        </w:trPr>
        <w:tc>
          <w:tcPr>
            <w:tcW w:w="5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8"/>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6"/>
                <w:szCs w:val="16"/>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8,580</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rPr>
              <w:t>4,940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17" w:right="339" w:bottom="1440" w:gutter="0" w:footer="0" w:header="0"/>
          <w:type w:val="continuous"/>
        </w:sectPr>
      </w:pPr>
    </w:p>
    <w:bookmarkStart w:id="81" w:name="page82"/>
    <w:bookmarkEnd w:id="81"/>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R&amp;D expenses increased by $4.9 million, or 58%, from $8.6 million in the nine months ended September 30, 2019 to $13.5 million in the nine months ended September 30, 2020. The increase was primarily due to an increase in product development efforts related to our Proteograph Product Suite including $2.6 million in employee compensation costs, stock-based compensation and other related costs due to growth in research and development personnel, $1.0 million related to the expansion of facilities and maintenance and depreciation of laboratory equipment, $1.2 million in laboratory materials and prototypes, supplies and reagents used for in-house research and $0.8 million in professional and consulting fees. This was offset by a decrease in clinical study fees of $0.6 million related to the costs associated with the ramp down of site enrollment for clinical studies related to the collection of biological samples for research use. These clinical studies are related to the assets transferred to PrognomIQ.</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8"/>
                <w:szCs w:val="18"/>
                <w:color w:val="auto"/>
              </w:rPr>
            </w:pPr>
          </w:p>
        </w:tc>
        <w:tc>
          <w:tcPr>
            <w:tcW w:w="17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8"/>
                <w:szCs w:val="18"/>
                <w:color w:val="auto"/>
              </w:rPr>
            </w:pPr>
          </w:p>
        </w:tc>
      </w:tr>
      <w:tr>
        <w:trPr>
          <w:trHeight w:val="209"/>
        </w:trPr>
        <w:tc>
          <w:tcPr>
            <w:tcW w:w="5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8"/>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6"/>
                <w:szCs w:val="16"/>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2,963</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rPr>
              <w:t>4,445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bl>
    <w:p>
      <w:pPr>
        <w:spacing w:after="0" w:line="14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$4.4 million, or 150%, from $3.0 million in the nine months ended September 30, 2019 to $7.4 million in the nine months ended September 30, 2020, primarily due to a $2.4 million increase in employee compensation, including stock-based compensation and other related expenses, as a result of both converting consultants to full-time employees and an increase in personnel. Other increases include $0.6 million in professional and consulting fees related to non-deferred accounting and audit services related to our proposed initial public offering, $1.0 million in corporate legal matters primarily related to the PrognomIQ transaction and patent activities, $0.2 million in public relation costs, and $0.1 million related to expansion of information technology services and support.</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4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8"/>
                <w:szCs w:val="18"/>
                <w:color w:val="auto"/>
              </w:rPr>
            </w:pPr>
          </w:p>
        </w:tc>
      </w:tr>
      <w:tr>
        <w:trPr>
          <w:trHeight w:val="209"/>
        </w:trPr>
        <w:tc>
          <w:tcPr>
            <w:tcW w:w="5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8"/>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593</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181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bl>
    <w:p>
      <w:pPr>
        <w:spacing w:after="0" w:line="14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Total other income increased by $0.2 million, or 30%, from $0.6 million in the nine months ended September 30, 2019 to $0.8 million in the nine months ended September 30, 2020. The increase was attributable to an increase in interest income, which in turn was attributable to higher amounts of cash invested in money market funds and U.S. Treasury securities in the first nine months of 2020 as a result of $55.0 million raised in convertible preferred stock financings in the fourth quarter of 2019 and $55.0 million raised in convertible preferred stock financings in the second quarter of 2020, compared to $17.1 million raised in convertible preferred stock financings during the first nine months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17" w:right="339" w:bottom="1440" w:gutter="0" w:footer="0" w:header="0"/>
        </w:sectPr>
      </w:pPr>
    </w:p>
    <w:bookmarkStart w:id="82" w:name="page83"/>
    <w:bookmarkEnd w:id="82"/>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Comparisons of the Years Ended December 31, 2018 and 2019</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304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7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191"/>
        </w:trPr>
        <w:tc>
          <w:tcPr>
            <w:tcW w:w="512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top w:val="single" w:sz="8" w:color="auto"/>
            </w:tcBorders>
          </w:tcPr>
          <w:p>
            <w:pPr>
              <w:jc w:val="center"/>
              <w:ind w:right="411"/>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3"/>
        </w:trPr>
        <w:tc>
          <w:tcPr>
            <w:tcW w:w="5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5"/>
          </w:tcPr>
          <w:p>
            <w:pPr>
              <w:ind w:left="5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6"/>
                <w:szCs w:val="16"/>
                <w:color w:val="auto"/>
              </w:rPr>
            </w:pPr>
          </w:p>
        </w:tc>
      </w:tr>
      <w:tr>
        <w:trPr>
          <w:trHeight w:val="23"/>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revenue</w:t>
            </w:r>
          </w:p>
        </w:tc>
        <w:tc>
          <w:tcPr>
            <w:tcW w:w="86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80" w:type="dxa"/>
            <w:vAlign w:val="bottom"/>
          </w:tcPr>
          <w:p>
            <w:pPr>
              <w:spacing w:after="0"/>
              <w:rPr>
                <w:sz w:val="21"/>
                <w:szCs w:val="21"/>
                <w:color w:val="auto"/>
              </w:rPr>
            </w:pPr>
          </w:p>
        </w:tc>
        <w:tc>
          <w:tcPr>
            <w:tcW w:w="108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 revenue</w:t>
            </w:r>
          </w:p>
        </w:tc>
        <w:tc>
          <w:tcPr>
            <w:tcW w:w="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391"/>
              <w:spacing w:after="0"/>
              <w:rPr>
                <w:sz w:val="20"/>
                <w:szCs w:val="20"/>
                <w:color w:val="auto"/>
              </w:rPr>
            </w:pPr>
            <w:r>
              <w:rPr>
                <w:rFonts w:ascii="Times New Roman" w:cs="Times New Roman" w:eastAsia="Times New Roman" w:hAnsi="Times New Roman"/>
                <w:sz w:val="18"/>
                <w:szCs w:val="18"/>
                <w:color w:val="auto"/>
                <w:w w:val="88"/>
              </w:rPr>
              <w:t>*</w:t>
            </w:r>
          </w:p>
        </w:tc>
      </w:tr>
      <w:tr>
        <w:trPr>
          <w:trHeight w:val="237"/>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8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580" w:type="dxa"/>
            <w:vAlign w:val="bottom"/>
          </w:tcPr>
          <w:p>
            <w:pPr>
              <w:spacing w:after="0"/>
              <w:rPr>
                <w:sz w:val="20"/>
                <w:szCs w:val="20"/>
                <w:color w:val="auto"/>
              </w:rPr>
            </w:pPr>
          </w:p>
        </w:tc>
        <w:tc>
          <w:tcPr>
            <w:tcW w:w="108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r>
      <w:tr>
        <w:trPr>
          <w:trHeight w:val="24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7"/>
        </w:trPr>
        <w:tc>
          <w:tcPr>
            <w:tcW w:w="5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57"/>
        </w:trPr>
        <w:tc>
          <w:tcPr>
            <w:tcW w:w="5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57"/>
        </w:trPr>
        <w:tc>
          <w:tcPr>
            <w:tcW w:w="5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391"/>
              <w:spacing w:after="0"/>
              <w:rPr>
                <w:sz w:val="20"/>
                <w:szCs w:val="20"/>
                <w:color w:val="auto"/>
              </w:rPr>
            </w:pPr>
            <w:r>
              <w:rPr>
                <w:rFonts w:ascii="Times New Roman" w:cs="Times New Roman" w:eastAsia="Times New Roman" w:hAnsi="Times New Roman"/>
                <w:sz w:val="18"/>
                <w:szCs w:val="18"/>
                <w:color w:val="auto"/>
                <w:w w:val="88"/>
              </w:rPr>
              <w:t>*</w:t>
            </w:r>
          </w:p>
        </w:tc>
      </w:tr>
      <w:tr>
        <w:trPr>
          <w:trHeight w:val="237"/>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other income</w:t>
            </w:r>
          </w:p>
        </w:tc>
        <w:tc>
          <w:tcPr>
            <w:tcW w:w="8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12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(6,307)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21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4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86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Pr>
          <w:p>
            <w:pPr>
              <w:spacing w:after="0"/>
              <w:rPr>
                <w:sz w:val="21"/>
                <w:szCs w:val="21"/>
                <w:color w:val="auto"/>
              </w:rPr>
            </w:pPr>
          </w:p>
        </w:tc>
        <w:tc>
          <w:tcPr>
            <w:tcW w:w="108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5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(6,307)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32" w:lineRule="exact"/>
        <w:rPr>
          <w:sz w:val="20"/>
          <w:szCs w:val="20"/>
          <w:color w:val="auto"/>
        </w:rPr>
      </w:pPr>
    </w:p>
    <w:p>
      <w:pPr>
        <w:ind w:left="340" w:right="9600" w:hanging="8"/>
        <w:spacing w:after="0" w:line="487" w:lineRule="auto"/>
        <w:tabs>
          <w:tab w:leader="none" w:pos="475" w:val="left"/>
        </w:tabs>
        <w:numPr>
          <w:ilvl w:val="0"/>
          <w:numId w:val="5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Not meaningful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r>
      <w:tr>
        <w:trPr>
          <w:trHeight w:val="188"/>
        </w:trPr>
        <w:tc>
          <w:tcPr>
            <w:tcW w:w="52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9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20" w:type="dxa"/>
            <w:vAlign w:val="bottom"/>
            <w:gridSpan w:val="3"/>
          </w:tcPr>
          <w:p>
            <w:pPr>
              <w:jc w:val="right"/>
              <w:ind w:right="35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116</w:t>
            </w:r>
          </w:p>
        </w:tc>
        <w:tc>
          <w:tcPr>
            <w:tcW w:w="102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 increased by $0.1 million from $0 in 2018 due to approximately $58,000 received under a Small Business Innovation Research grant awarded in the third quarter of 2019, as well as approximately $58,000 earned for research collaboration.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6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5"/>
                <w:szCs w:val="15"/>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9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rPr>
              <w:t>8,617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r>
    </w:tbl>
    <w:p>
      <w:pPr>
        <w:spacing w:after="0" w:line="144"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R&amp;D expenses increased by $8.6 million, or 228%, from $3.8 million in 2018 to $12.4 million in 2019. The increase was primarily due to an increase in product development efforts related to our Proteograph Product Suite including $3.7 million in employee compensation costs, stock-based compensation and other related costs due to</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17" w:right="339" w:bottom="1440" w:gutter="0" w:footer="0" w:header="0"/>
          <w:type w:val="continuous"/>
        </w:sectPr>
      </w:pPr>
    </w:p>
    <w:bookmarkStart w:id="83" w:name="page84"/>
    <w:bookmarkEnd w:id="83"/>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growth in research and development personnel, $1.4 million related to the expansion of facilities and maintenance and depreciation of laboratory equipment, $1.5 million in laboratory materials, supplies and reagents used for in-house research and $0.4 million in professional and consulting fees. It also reflects an increase in clinical study fees of $1.5 million related to the costs associated with clinical studies for the collection of biological samples for research use, which relate to the assets transferred to PrognomIQ.</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8"/>
        </w:trPr>
        <w:tc>
          <w:tcPr>
            <w:tcW w:w="51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5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4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5"/>
                <w:szCs w:val="15"/>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2,982</w:t>
            </w:r>
          </w:p>
        </w:tc>
        <w:tc>
          <w:tcPr>
            <w:tcW w:w="9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rPr>
              <w:t>1,624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bl>
    <w:p>
      <w:pPr>
        <w:spacing w:after="0" w:line="14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$1.6 million, or 54%, from $3.0 million in 2018 to $4.6 million in 2019, primarily due to a $1.0 million increase in employee compensation, including stock-based compensation and other related expenses, as a result of both converting consultants to full-time employees and an increase in personnel. Other increases include $0.4 million in professional and consulting fees related to accounting and audit services and corporate legal matters, and an increase of $0.1 million related to business license fees and taxes.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9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2"/>
        </w:trPr>
        <w:tc>
          <w:tcPr>
            <w:tcW w:w="5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96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9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394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bl>
    <w:p>
      <w:pPr>
        <w:spacing w:after="0" w:line="144"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Total other income increased by $0.4 million, or 87%, from $0.5 million in 2018 to $0.8 million in 2019. The increase in interest income was attributable to higher amounts of excess cash invested in money market funds and U.S. Treasury securities as a result of $71.7 million raised in convertible preferred stock financings during 2019, compared to $29.9 million raised in convertible preferred stock financings during 2018.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Since the date of our incorporation, we have not generated any revenue from product sales and have incurred significant operating losses and negative cash flows from operations. Our operations have been funded primarily through the sale and issuance of convertible preferred stock since inception. We anticipate that we will continue to incur net losses and do not expect positive cash flows from operations for the foreseeable future. As of September 30, 2020, we had an accumulated deficit of $42.4 million. As of September 30, 2020, we had unrestricted cash and cash equivalents of $17.7 million and investments of $103.8 million.</w:t>
      </w:r>
    </w:p>
    <w:p>
      <w:pPr>
        <w:spacing w:after="0" w:line="1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Based upon our current operating plan, we believe our existing cash, cash equivalents and investments will enable us to fund our operating expenses and capital expenditure requirements through at least the next 12 months. We continue to face challenges and uncertainties and, as a result, our available capital resources may be consumed more rapidly than currently expected due to: (i) delays in execution of or a significant expansion of our commercialization plans; (ii) changes we may make to the business that affect ongoing operating expenses; (iii) changes we may make in our business or commercialization strategy; (iv) changes we may make in our research and development spending plans; (v) the impact of the COVID-19 pandemic; and (vi) other items affecting our forecasted level of expenditures and use of cash resources including potential acquisitions.</w:t>
      </w:r>
    </w:p>
    <w:p>
      <w:pPr>
        <w:spacing w:after="0" w:line="13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may be unable to raise additional funds or to enter into financing agreements or arrangements on favorable terms, or at all. Our failure to obtain sufficient funds on acceptable terms when needed could have a material adverse effect on our business, results of operations and financial condition, and could force us to delay future commercialization efforts. We cannot assure you that we will ever be profitable or generate positive cash flow from operating activities or that, if we achieve profitability, we will be able to sustain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17" w:right="339" w:bottom="1440" w:gutter="0" w:footer="0" w:header="0"/>
        </w:sectPr>
      </w:pPr>
    </w:p>
    <w:bookmarkStart w:id="84" w:name="page85"/>
    <w:bookmarkEnd w:id="84"/>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indicated:</w:t>
      </w:r>
    </w:p>
    <w:p>
      <w:pPr>
        <w:sectPr>
          <w:pgSz w:w="11900" w:h="16838" w:orient="portrait"/>
          <w:cols w:equalWidth="0" w:num="1">
            <w:col w:w="11240"/>
          </w:cols>
          <w:pgMar w:left="320" w:top="117" w:right="339" w:bottom="1440" w:gutter="0" w:footer="0" w:header="0"/>
        </w:sectPr>
      </w:pPr>
    </w:p>
    <w:p>
      <w:pPr>
        <w:spacing w:after="0" w:line="217"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24765</wp:posOffset>
            </wp:positionV>
            <wp:extent cx="20485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5340"/>
        <w:spacing w:after="0"/>
        <w:tabs>
          <w:tab w:leader="none" w:pos="698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24765</wp:posOffset>
            </wp:positionV>
            <wp:extent cx="20485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80"/>
        <w:spacing w:after="0"/>
        <w:tabs>
          <w:tab w:leader="none" w:pos="172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9" w:lineRule="exact"/>
        <w:rPr>
          <w:sz w:val="20"/>
          <w:szCs w:val="20"/>
          <w:color w:val="auto"/>
        </w:rPr>
      </w:pPr>
    </w:p>
    <w:p>
      <w:pPr>
        <w:sectPr>
          <w:pgSz w:w="11900" w:h="16838" w:orient="portrait"/>
          <w:cols w:equalWidth="0" w:num="2">
            <w:col w:w="7860" w:space="720"/>
            <w:col w:w="26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(13,073)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(72,383)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6"/>
              </w:rPr>
              <w:t>72,331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55,395</w:t>
            </w:r>
          </w:p>
        </w:tc>
        <w:tc>
          <w:tcPr>
            <w:tcW w:w="0" w:type="dxa"/>
            <w:vAlign w:val="bottom"/>
          </w:tcPr>
          <w:p>
            <w:pPr>
              <w:spacing w:after="0"/>
              <w:rPr>
                <w:sz w:val="1"/>
                <w:szCs w:val="1"/>
                <w:color w:val="auto"/>
              </w:rPr>
            </w:pPr>
          </w:p>
        </w:tc>
      </w:tr>
      <w:tr>
        <w:trPr>
          <w:trHeight w:val="155"/>
        </w:trPr>
        <w:tc>
          <w:tcPr>
            <w:tcW w:w="47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w:t>
            </w:r>
          </w:p>
        </w:tc>
        <w:tc>
          <w:tcPr>
            <w:tcW w:w="5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100" w:type="dxa"/>
            <w:vAlign w:val="bottom"/>
          </w:tcPr>
          <w:p>
            <w:pPr>
              <w:spacing w:after="0"/>
              <w:rPr>
                <w:sz w:val="13"/>
                <w:szCs w:val="13"/>
                <w:color w:val="auto"/>
              </w:rPr>
            </w:pPr>
          </w:p>
        </w:tc>
        <w:tc>
          <w:tcPr>
            <w:tcW w:w="6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rPr>
              <w:t>(13,125)</w:t>
            </w:r>
          </w:p>
        </w:tc>
        <w:tc>
          <w:tcPr>
            <w:tcW w:w="100" w:type="dxa"/>
            <w:vAlign w:val="bottom"/>
          </w:tcPr>
          <w:p>
            <w:pPr>
              <w:spacing w:after="0"/>
              <w:rPr>
                <w:sz w:val="13"/>
                <w:szCs w:val="13"/>
                <w:color w:val="auto"/>
              </w:rPr>
            </w:pPr>
          </w:p>
        </w:tc>
        <w:tc>
          <w:tcPr>
            <w:tcW w:w="5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(20,453)</w:t>
            </w:r>
          </w:p>
        </w:tc>
        <w:tc>
          <w:tcPr>
            <w:tcW w:w="100" w:type="dxa"/>
            <w:vAlign w:val="bottom"/>
          </w:tcPr>
          <w:p>
            <w:pPr>
              <w:spacing w:after="0"/>
              <w:rPr>
                <w:sz w:val="13"/>
                <w:szCs w:val="13"/>
                <w:color w:val="auto"/>
              </w:rPr>
            </w:pPr>
          </w:p>
        </w:tc>
        <w:tc>
          <w:tcPr>
            <w:tcW w:w="6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8"/>
        </w:trPr>
        <w:tc>
          <w:tcPr>
            <w:tcW w:w="47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cash</w:t>
            </w:r>
          </w:p>
        </w:tc>
        <w:tc>
          <w:tcPr>
            <w:tcW w:w="5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2020, cash used in operating activities was $15.3 million, attributable to a net loss of $19.8 million, partially offset by a net change in our net operating assets and liabilities of $0.6 million and non-cash charges of $3.9 million. Non-cash charges primarily consisted of $2.6 million in stock-based compensation, $1.1 million of depreciation and amortization and $0.2 million of net amortization of premiums on available-for-sales securities. The change in our net operating assets and liabilities was primarily due to increased accrued liabilities related to professional, consulting and legal fees of $0.5 million.</w:t>
      </w:r>
    </w:p>
    <w:p>
      <w:pPr>
        <w:spacing w:after="0" w:line="1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2019, cash used in operating activities was $9.7 million, attributable to a net loss of $10.9 million, partially offset by a net change in our net operating assets and liabilities of $0.2 million, and by non-cash charges of $1.4 million. Non-cash charges primarily consisted of $1.2 million in stock-based compensation and $0.5 million of depreciation and amortization, offset by $0.2 million of net accretion of discounts on available-for-sales securities. The change in our net operating assets and liabilities was primarily due to increased accrued liabilities related to clinical study fees of $0.4 million, offset by deposits related to a lease agreement of $0.5 million.</w:t>
      </w:r>
    </w:p>
    <w:p>
      <w:pPr>
        <w:spacing w:after="0" w:line="1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2019, cash used in operating activities was $13.1 million, attributable to a net loss of $16.0 million, partially offset by a net change in our net operating assets and liabilities of $1.0 million, and by non-cash charges of $2.0 million. Non-cash charges primarily consisted of $1.6 million in stock-based compensation and $0.7 million of depreciation and amortization, offset by $0.3 million of net accretion of discounts on available-for-sales securities. The change in our net operating assets and liabilities was primarily due to increased accrued liabilities related to clinical study fees of $0.4 million, tenant improvements of $0.3 million, professional services and consulting costs of $0.4 million, and $0.2 million in other general business expenses, offset by deposits related to a lease agreement of $0.3 million.</w:t>
      </w:r>
    </w:p>
    <w:p>
      <w:pPr>
        <w:spacing w:after="0" w:line="13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2018, cash used in operating activities was $4.7 million, attributable to a net loss of $6.3 million, partially offset by a net change in our net operating assets and liabilities of $1.0 million, and by non-cash charges of $0.7 million, which primarily consisted of stock-based compensation. The change in our net operating assets and liabilities was due to increased account payables and accrued liabilities of $1.3 million which was primarily driven by laboratory equipment purchases, offset by increases in prepaid expenses and other assets that was primarily driven by multi-year maintenance contracts purchased on the laboratory equipment.</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2020, cash used in investing activities was $39.8 million, which related to purchases of available-for-sale securities, net of proceeds from maturities of $35.4 million, in addition to $4.4 million in payments primarily for laboratory equipment.</w:t>
      </w:r>
    </w:p>
    <w:p>
      <w:pPr>
        <w:spacing w:after="0" w:line="10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2019, cash used in investing activities was $28.6 million, which related to purchases of available-for-sale securities, net of proceeds from maturities of $24.8 million, in addition to $3.8 million in payments primarily for laboratory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17" w:right="339" w:bottom="1440" w:gutter="0" w:footer="0" w:header="0"/>
          <w:type w:val="continuous"/>
        </w:sectPr>
      </w:pPr>
    </w:p>
    <w:bookmarkStart w:id="85" w:name="page86"/>
    <w:bookmarkEnd w:id="85"/>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2019, cash used in investing activities was $72.4 million, which related to purchases of available-for-sale securities, net of proceeds from maturities of $68.3 million, in addition to $4.1 million in payments primarily for laboratory equipment.</w:t>
      </w:r>
    </w:p>
    <w:p>
      <w:pPr>
        <w:spacing w:after="0" w:line="108" w:lineRule="exact"/>
        <w:rPr>
          <w:sz w:val="20"/>
          <w:szCs w:val="20"/>
          <w:color w:val="auto"/>
        </w:rPr>
      </w:pPr>
    </w:p>
    <w:p>
      <w:pPr>
        <w:ind w:left="340" w:right="40"/>
        <w:spacing w:after="0" w:line="438" w:lineRule="auto"/>
        <w:rPr>
          <w:sz w:val="20"/>
          <w:szCs w:val="20"/>
          <w:color w:val="auto"/>
        </w:rPr>
      </w:pPr>
      <w:r>
        <w:rPr>
          <w:rFonts w:ascii="Times New Roman" w:cs="Times New Roman" w:eastAsia="Times New Roman" w:hAnsi="Times New Roman"/>
          <w:sz w:val="18"/>
          <w:szCs w:val="18"/>
          <w:color w:val="auto"/>
        </w:rPr>
        <w:t xml:space="preserve">In 2018, cash used in investing activities was $0.2 million, which related to payments for property and equipment used for general business operations. </w:t>
      </w:r>
      <w:r>
        <w:rPr>
          <w:rFonts w:ascii="Times New Roman" w:cs="Times New Roman" w:eastAsia="Times New Roman" w:hAnsi="Times New Roman"/>
          <w:sz w:val="18"/>
          <w:szCs w:val="18"/>
          <w:b w:val="1"/>
          <w:bCs w:val="1"/>
          <w:i w:val="1"/>
          <w:iCs w:val="1"/>
          <w:color w:val="auto"/>
        </w:rPr>
        <w:t>Financing Activities</w:t>
      </w:r>
    </w:p>
    <w:p>
      <w:pPr>
        <w:spacing w:after="0" w:line="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2020, cash provided by financing activities was $55.4 million. This was attributable to the net proceeds of $54.9 million from the issuance of Series D-1 convertible preferred stock, net of issuance costs and $0.6 million from the exercise of stock options.</w:t>
      </w:r>
    </w:p>
    <w:p>
      <w:pPr>
        <w:spacing w:after="0" w:line="10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2019, cash provided by financing activities was $17.7 million. This was attributable to the net proceeds of $17.3 million from the issuance of Series C convertible preferred stock, net of issuance costs and $0.4 million from the issuance of convertible notes payable.</w:t>
      </w:r>
    </w:p>
    <w:p>
      <w:pPr>
        <w:spacing w:after="0" w:line="122" w:lineRule="exact"/>
        <w:rPr>
          <w:sz w:val="20"/>
          <w:szCs w:val="20"/>
          <w:color w:val="auto"/>
        </w:rPr>
      </w:pPr>
    </w:p>
    <w:p>
      <w:pPr>
        <w:ind w:right="80" w:firstLine="324"/>
        <w:spacing w:after="0" w:line="312" w:lineRule="auto"/>
        <w:rPr>
          <w:sz w:val="20"/>
          <w:szCs w:val="20"/>
          <w:color w:val="auto"/>
        </w:rPr>
      </w:pPr>
      <w:r>
        <w:rPr>
          <w:rFonts w:ascii="Times New Roman" w:cs="Times New Roman" w:eastAsia="Times New Roman" w:hAnsi="Times New Roman"/>
          <w:sz w:val="17"/>
          <w:szCs w:val="17"/>
          <w:color w:val="auto"/>
        </w:rPr>
        <w:t>In 2019, cash provided by financing activities was $72.3 million. This was attributable to the net proceeds of $17.3 million from the issuance of Series C convertible preferred stock, net of issuance costs and $54.6 million from the issuance of Series D convertible preferred stock, net of issuance costs.</w:t>
      </w:r>
    </w:p>
    <w:p>
      <w:pPr>
        <w:spacing w:after="0" w:line="8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2018, cash provided by financing activities was $29.9 million which was attributable to the net proceeds from the issuance of Series B convertible preferred stock, net of issuance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1"/>
                <w:szCs w:val="11"/>
                <w:color w:val="auto"/>
              </w:rPr>
            </w:pPr>
          </w:p>
        </w:tc>
        <w:tc>
          <w:tcPr>
            <w:tcW w:w="1040" w:type="dxa"/>
            <w:vAlign w:val="bottom"/>
          </w:tcPr>
          <w:p>
            <w:pPr>
              <w:jc w:val="center"/>
              <w:ind w:right="122"/>
              <w:spacing w:after="0" w:line="134"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00" w:type="dxa"/>
            <w:vAlign w:val="bottom"/>
          </w:tcPr>
          <w:p>
            <w:pPr>
              <w:spacing w:after="0"/>
              <w:rPr>
                <w:sz w:val="11"/>
                <w:szCs w:val="11"/>
                <w:color w:val="auto"/>
              </w:rPr>
            </w:pPr>
          </w:p>
        </w:tc>
        <w:tc>
          <w:tcPr>
            <w:tcW w:w="1240" w:type="dxa"/>
            <w:vAlign w:val="bottom"/>
            <w:vMerge w:val="restart"/>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40" w:type="dxa"/>
            <w:vAlign w:val="bottom"/>
          </w:tcPr>
          <w:p>
            <w:pPr>
              <w:spacing w:after="0"/>
              <w:rPr>
                <w:sz w:val="11"/>
                <w:szCs w:val="11"/>
                <w:color w:val="auto"/>
              </w:rPr>
            </w:pPr>
          </w:p>
        </w:tc>
        <w:tc>
          <w:tcPr>
            <w:tcW w:w="10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300" w:type="dxa"/>
            <w:vAlign w:val="bottom"/>
          </w:tcPr>
          <w:p>
            <w:pPr>
              <w:spacing w:after="0"/>
              <w:rPr>
                <w:sz w:val="11"/>
                <w:szCs w:val="11"/>
                <w:color w:val="auto"/>
              </w:rPr>
            </w:pPr>
          </w:p>
        </w:tc>
        <w:tc>
          <w:tcPr>
            <w:tcW w:w="1100" w:type="dxa"/>
            <w:vAlign w:val="bottom"/>
          </w:tcPr>
          <w:p>
            <w:pPr>
              <w:jc w:val="center"/>
              <w:ind w:right="142"/>
              <w:spacing w:after="0" w:line="134"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83"/>
        </w:trPr>
        <w:tc>
          <w:tcPr>
            <w:tcW w:w="4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ind w:right="18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8,788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1,609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5,035</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 addition, we enter into agreements as a part of normal course of business with various vendors, which are generally cancellable without material penalty upon written notice. Payments associated with these agreements are not included in this table of contractual obligations.</w:t>
      </w:r>
    </w:p>
    <w:p>
      <w:pPr>
        <w:spacing w:after="0" w:line="10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Our operating lease obligations reflect our lease obligations for our headquarters facility in Redwood City, California. In June 2020, we amended the lease agreement for this facility to expand the office and laboratory space covered by the lease, extend the lease through February 2032, and increase the annual base rent for the expanded premises. Upon occupancy of the expansion facility that is anticipated to occur in the second half of 2021, the annual base rent will be $0.9 million in the first 12 months of the lease term (subject to an abatement period of nine months), and increases on an annual basis to $1.2 million in the final 12 months of the lease term. The amendment also provides for tenant incentives in the amount of $2.4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Since the date of our incorporation, we have not engaged in any off-balance sheet arrangements, as such term is defined in the rules and regulations of the SEC.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75"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liabilities, and the disclosure of contingent assets and liabilities at the date of the financial statements, as well as revenue and expenses incurred during the reporting periods. Our estimates are based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17" w:right="339" w:bottom="1440" w:gutter="0" w:footer="0" w:header="0"/>
        </w:sectPr>
      </w:pPr>
    </w:p>
    <w:bookmarkStart w:id="86" w:name="page87"/>
    <w:bookmarkEnd w:id="86"/>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26"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financial statements, we believe that the following critical accounting policies are most important to understanding and evaluating our reported financial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Research and Development Expenses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record accrued liabilities for estimated costs of research and development activities conducted by third-party service providers, which include expenses associated with clinical studies for the collection of biological samples for research use. These costs are a significant component of our research and development expenses. We accrue for these costs based on factors such as estimates of the work completed and in accordance with agreements established with its third-party service providers under the service agreements. We include these costs in accrued research and development in the balance sheets and within research and development expenses in the statements of operations and comprehensive loss. We make significant judgments and estimates such as when services are performed and the level of effort expended in each period to determine the accrued liabilities balance in each reporting period. As actual costs become known, we adjust our accrued liabilities. We have not experienced any material differences between accrued costs and actual costs incurred. However, the status and timing of actual services performed, number of patients enrolled and the rate of patient enrollments may vary from our estimates, resulting in adjustments to expense in future periods. As these accrued expenses are associated with clinical studies for the collection of biological samples for research use, which relate to the assets transferred to PrognomIQ, we do not anticipate similar accrued expenses going forward.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account for stock-based compensation by measuring and recognizing compensation expense for all share-based awards made to employees and non-employees based on estimated grant-date fair values. We use the straight-line method to allocate compensation cost to reporting periods over the requisite service period, which is generally the vesting period. We recognize actual forfeitures by reducing the stock-based compensation in the same period as the forfeitures occur. We estimate the fair value of share-based awards to employees and non-employees using the Black-Scholes option-pricing valuation model. The Black-Scholes model requires the input of subjective assumptions, including fair value of common stock, expected term, expected volatility, risk-free interest rate, and expected dividend yield, which are described in greater detail below.</w:t>
      </w:r>
    </w:p>
    <w:p>
      <w:pPr>
        <w:spacing w:after="0" w:line="133"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Estimating the fair value of equity-settled awards as of the grant date using the Black-Scholes option pricing model is affected by assumptions regarding a number of complex variables. Changes in the assumptions can materially affect the fair value and ultimately how much stock-based compensation is recognized. These inputs are subjective and generally require significant analysis and judgment to develop. These inputs are as follows:</w:t>
      </w:r>
    </w:p>
    <w:p>
      <w:pPr>
        <w:spacing w:after="0" w:line="122" w:lineRule="exact"/>
        <w:rPr>
          <w:sz w:val="20"/>
          <w:szCs w:val="20"/>
          <w:color w:val="auto"/>
        </w:rPr>
      </w:pPr>
    </w:p>
    <w:p>
      <w:pPr>
        <w:ind w:left="660" w:right="40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stock—Historically, as there has been no public market for our common stock, the fair value of our common stock was determined by our board of directors based in part on valuations of our common stock prepared by a third-party valuation specialist. See the subsection titled “Fair Value of Common Stock” below.</w:t>
      </w:r>
    </w:p>
    <w:p>
      <w:pPr>
        <w:spacing w:after="0" w:line="12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term—The expected term represents the average period that our options granted are expected to be outstanding and is determined using the simplified method (based on the mid-point between the weighted-average vesting date and the end of the contractual term). We have very limited historical information to develop reasonable expectations about future exercise patterns and post-vesting employment termination behavior for our stock option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17" w:right="339" w:bottom="1440" w:gutter="0" w:footer="0" w:header="0"/>
        </w:sectPr>
      </w:pPr>
    </w:p>
    <w:bookmarkStart w:id="87" w:name="page88"/>
    <w:bookmarkEnd w:id="87"/>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100" w:hanging="328"/>
        <w:spacing w:after="0" w:line="258"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volatility—Since we are a privately-held company and do not have any trading history for our common stock, the expected volatility was estimated based on the historical average volatility for comparable publicly traded life sciences technology companies over a period equal to the expected term of the stock option grants. The comparable companies were chosen based on their similar size, life cycle stage, or area of specialty. We will continue to apply this process until enough historical information regarding the volatility of our own stock price becomes available.</w:t>
      </w:r>
    </w:p>
    <w:p>
      <w:pPr>
        <w:spacing w:after="0" w:line="129"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risk-free interest rate is based on the U.S. Treasury zero coupon issues in effect at the time of grant for periods corresponding with the expected term of the options.</w:t>
      </w:r>
    </w:p>
    <w:p>
      <w:pPr>
        <w:spacing w:after="0" w:line="10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yield—We have never paid dividends on our common stock and have no plans to pay dividends on our common stock. Therefore, we used an expected dividend yield of zero.</w:t>
      </w:r>
    </w:p>
    <w:p>
      <w:pPr>
        <w:spacing w:after="0" w:line="108"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For options granted to non-employee consultants, the fair value of these options is also measured using the Black-Scholes option-pricing model reflecting the same assumptions as applied to employee options in each of the reported periods, other than the expected term which is assumed to be the remaining contractual life of the option.</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will continue to use judgment in evaluating the expected volatility, expected terms, and interest rates utilized for our stock-based compensation calculations on a prospective basis. Assumptions we used in applying the Black-Scholes option-pricing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2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intrinsic value of all outstanding options as of September 30, 2020 was $109.5 million, of which $15.8 million related to unvested options as of such date, based on the assumed initial public offering price of $17.00 per share, which is the midpoint of the price range set forth on the cover page of this prospectus.</w:t>
      </w:r>
    </w:p>
    <w:p>
      <w:pPr>
        <w:spacing w:after="0" w:line="122"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We expect to incur stock-based compensation of approximately $11.0 million to $12.7 million over the next three to four years as a result of all compensatory equity issuances made in fiscal year 2020.</w:t>
      </w:r>
    </w:p>
    <w:p>
      <w:pPr>
        <w:spacing w:after="0" w:line="10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expect to incur stock-based compensation of approximately $5.1 million to $6.7 million in fiscal year 2021 as a result of all compensatory equity issuances outstanding as of September 30, 2020.</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Common Stock</w:t>
      </w:r>
    </w:p>
    <w:p>
      <w:pPr>
        <w:spacing w:after="0" w:line="175"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Historically, for all periods prior to this initial public offering, the fair values of the shares of our common stock underlying our share-based awards were determined on each grant date by our board of directors with input from management and the assistance of an independent third-party valuation specialist. Given the absence of a public trading market of our common stock, and in accordance with the American Institute of Certified Public Accountants Practice Aid,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or the Practice Aid, our board of directors exercised reasonable judgment and considered numerous objective and subjective factors to determine the best estimate of the fair value of our common stock at each grant date. These factors include:</w:t>
      </w:r>
    </w:p>
    <w:p>
      <w:pPr>
        <w:spacing w:after="0" w:line="133"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life sciences technology industry and trends within the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preferences and privileges of our convertible preferred stock relative to those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shares of our convertible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operating results and financial performance, including our levels of available capital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research and development efforts and business strategy;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market conditions affecting comparable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00"/>
          </w:cols>
          <w:pgMar w:left="320" w:top="117" w:right="379" w:bottom="1440" w:gutter="0" w:footer="0" w:header="0"/>
        </w:sectPr>
      </w:pPr>
    </w:p>
    <w:bookmarkStart w:id="88" w:name="page89"/>
    <w:bookmarkEnd w:id="88"/>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U.S. market conditions;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our common stock.</w:t>
      </w:r>
    </w:p>
    <w:p>
      <w:pPr>
        <w:spacing w:after="0" w:line="17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valuing our common stock, the fair value of our business, or enterprise value, was determined using various valuation methods, including combinations of income, market and asset approaches with input from management. The income approach determines value by using one or more methods that convert anticipated economic benefits into a present single amount. The application of the income approach establishes value by methods that discount or capitalize earnings or cash flow, by a discount or capitalization rate that reflects investors’ rate of return expectations, market conditions, and the relative risk of the subject investment. The market approach involve identifying and evaluating comparable public companies and acquisition targets that operate in the same industry or which have similar operating characteristics as the subject company. From the comparable companies, publicly available information is used to extrapolate market-based valuation multiples that are applied to historical or prospective financial information in order to derive an indication of value. The asset approach determines the value of the underlying assets and liabilities of a business as a means of determining the value of the business in aggregate. This approach can include the value of both tangible and intangible assets.</w:t>
      </w:r>
    </w:p>
    <w:p>
      <w:pPr>
        <w:spacing w:after="0" w:line="134"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08" w:lineRule="exact"/>
        <w:rPr>
          <w:sz w:val="20"/>
          <w:szCs w:val="20"/>
          <w:color w:val="auto"/>
        </w:rPr>
      </w:pPr>
    </w:p>
    <w:p>
      <w:pPr>
        <w:ind w:left="660" w:right="20" w:hanging="328"/>
        <w:spacing w:after="0" w:line="261"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Pricing Method (OPM). Under the OPM, shares are valued by creating a series of call options with exercise prices based on the liquidation preferences and conversion terms of each equity class. The estimated fair values of the convertible preferred stock and common stock are inferred by analyzing these options. This method is appropriate to use when the range of possible future outcomes is difficult to predict and thus creates highly speculative forecasts.</w:t>
      </w:r>
    </w:p>
    <w:p>
      <w:pPr>
        <w:spacing w:after="0" w:line="125"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Probability-Weighted Expected Return Method (PWERM). The PWERM is a scenario-based analysis that estimates value per share based on the probability-weighted present value of expected future investment returns, considering each of the possible outcomes available to us, as well as the economic and control rights of each share class. This method is generally most appropriate to use when the time to a liquidity event is short, making the range of possible future outcomes relatively easy to predict.</w:t>
      </w:r>
    </w:p>
    <w:p>
      <w:pPr>
        <w:spacing w:after="0" w:line="12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Based on our early stage of development and other relevant factors, we determined that an OPM was the most appropriate method for allocating our enterprise value to determine the estimated fair value of our common stock for valuations during 2018 and 2019.</w:t>
      </w:r>
    </w:p>
    <w:p>
      <w:pPr>
        <w:spacing w:after="0" w:line="10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Starting in 2020, we used a hybrid method to determine the estimated fair value of our common stock, which included both the OPM and PWERM models.</w:t>
      </w:r>
    </w:p>
    <w:p>
      <w:pPr>
        <w:spacing w:after="0" w:line="108" w:lineRule="exact"/>
        <w:rPr>
          <w:sz w:val="20"/>
          <w:szCs w:val="20"/>
          <w:color w:val="auto"/>
        </w:rPr>
      </w:pPr>
    </w:p>
    <w:p>
      <w:pPr>
        <w:ind w:right="380" w:firstLine="324"/>
        <w:spacing w:after="0" w:line="274" w:lineRule="auto"/>
        <w:rPr>
          <w:sz w:val="20"/>
          <w:szCs w:val="20"/>
          <w:color w:val="auto"/>
        </w:rPr>
      </w:pPr>
      <w:r>
        <w:rPr>
          <w:rFonts w:ascii="Times New Roman" w:cs="Times New Roman" w:eastAsia="Times New Roman" w:hAnsi="Times New Roman"/>
          <w:sz w:val="17"/>
          <w:szCs w:val="17"/>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 The assumptions underlying these valuations represent our management’s best estimate, which involve inherent uncertainties and the application of management judgment. As a result, if factors or expected outcomes change and we use significantly different assumptions or estimates, our stock-based compensation could be materially different.</w:t>
      </w:r>
    </w:p>
    <w:p>
      <w:pPr>
        <w:spacing w:after="0" w:line="11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After the completion of this offering, the fair value of each share of underlying common stock will be determined based on the closing price as reported on the date of grant on the primary stock exchange on which our common stock is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00"/>
          </w:cols>
          <w:pgMar w:left="320" w:top="117" w:right="379" w:bottom="1440" w:gutter="0" w:footer="0" w:header="0"/>
        </w:sectPr>
      </w:pPr>
    </w:p>
    <w:bookmarkStart w:id="89" w:name="page90"/>
    <w:bookmarkEnd w:id="89"/>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audited financial statements in a registration statement for an initial public offering, an exemption from the requirement to provide an auditor’s report on internal controls over financial reporting pursuant to the Sarbanes-Oxley Act,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 are no longer an emerging growth company or (ii) we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4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(i) the last day of our first fiscal year in which we have total annual gross revenue of $1.07 billion or more, (ii) the date on which we have issued more than $1.0 billion of non-convertible debt instruments during the previous three fiscal years or (iii) the date on which we are deemed a “large accelerated filer” under the rules of the SEC with at least $700.0 million of outstanding equity securities held by non-affiliates, or (iv) the last day of the fiscal year following the fifth anniversary of completion of this offering.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See Note 2 to our financial statements included elsewhere in this prospectus for more information about recent accounting pronouncements, the timing of their adoption, and our assessment, to the extent we have made one yet, of their potential impact on our financial condition of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GAAP. As a result of becoming a public company, we will be required, pursuant to Section 404 of the Sarbanes-Oxley Act of 2002, as amended, to furnish a report by our management on, among other things, the effectiveness of our internal control over financial reporting for the first fiscal year beginning after the effective date of the registration statement of which this prospectus is a part or the date we are no longer an EGC as defined in the JOBS Act, if we take advantage (as we expect to do) of the exemptions for EGCs contained in the JOBS Act. This assessment will need to include disclosures of any material weaknesses identified by our management in our internal control over financial reporting.</w:t>
      </w:r>
    </w:p>
    <w:p>
      <w:pPr>
        <w:spacing w:after="0" w:line="13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audits of our financial statements included elsewhere in this prospectus, we and our independent registered public accounting firm identified material weaknesses related to:</w:t>
      </w:r>
    </w:p>
    <w:p>
      <w:pPr>
        <w:spacing w:after="0" w:line="108" w:lineRule="exact"/>
        <w:rPr>
          <w:sz w:val="20"/>
          <w:szCs w:val="20"/>
          <w:color w:val="auto"/>
        </w:rPr>
      </w:pPr>
    </w:p>
    <w:p>
      <w:pPr>
        <w:ind w:left="660" w:right="1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being insufficient accounting personnel to enable segregation of duties relating to the general ledger, disbursement, and certain accounting functions.</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not being formalized processes or controls for account reconciliations, including independent review of such reconciliations, or related financial statement analysis prepared in conformity with U.S. GAAP;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not being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80"/>
          </w:cols>
          <w:pgMar w:left="320" w:top="117" w:right="399" w:bottom="1440" w:gutter="0" w:footer="0" w:header="0"/>
        </w:sectPr>
      </w:pPr>
    </w:p>
    <w:bookmarkStart w:id="90" w:name="page91"/>
    <w:bookmarkEnd w:id="90"/>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Under standards established by the Public Company Accounting Oversight Board,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2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working to remediate the material weaknesses and are taking steps to strengthen our internal control over financial reporting through the hiring of additional finance and accounting personnel. With the additional personnel, we intend to take appropriate and reasonable steps to remediate these material weaknesses through the implementation of appropriate segregation of duties, formalization of accounting policies and controls and retention of appropriate expertise for complex accounting transactions. However, we cannot assure you that these measures will significantly improve or remediate the material weaknesses described above. As of December 31, 2019, the material weaknesses have not been remediated.</w:t>
      </w:r>
    </w:p>
    <w:p>
      <w:pPr>
        <w:spacing w:after="0" w:line="1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actions that we are taking are subject to ongoing executive management review, and will also be subject to audit committee oversight. If we are unable to successfully remediate the material weakness, or if in the future, we identify further material weaknesses in our internal control over financial reporting, we may not detect errors on a timely basis and our financial statements may be materially misstated.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cash, cash equivalents and investments as of December 31, 2019 and September 30, 2020 consisted of $86.0 million and $121.5 million, respectively, in money market funds and U.S. Treasury securities.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cash equivalents, restricted cash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60"/>
          </w:cols>
          <w:pgMar w:left="320" w:top="117" w:right="419" w:bottom="1440" w:gutter="0" w:footer="0" w:header="0"/>
        </w:sectPr>
      </w:pPr>
    </w:p>
    <w:bookmarkStart w:id="91" w:name="page92"/>
    <w:bookmarkEnd w:id="91"/>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80" w:firstLine="324"/>
        <w:spacing w:after="0" w:line="253" w:lineRule="auto"/>
        <w:rPr>
          <w:sz w:val="20"/>
          <w:szCs w:val="20"/>
          <w:color w:val="auto"/>
        </w:rPr>
      </w:pPr>
      <w:r>
        <w:rPr>
          <w:rFonts w:ascii="Times New Roman" w:cs="Times New Roman" w:eastAsia="Times New Roman" w:hAnsi="Times New Roman"/>
          <w:sz w:val="18"/>
          <w:szCs w:val="18"/>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3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Proteins are the functional units of all forms of life. While deoxyribonucleic acid (DNA) may be used as a static indicator of health risk, proteins are dynamic indicators of physiology and may be used to track health over time, gauge disease progression and monitor therapeutic response. Despite the central role proteins play in biology, the proteome is relatively unexplored compared to the genome, particularly the rich functional content that could be derived from large-scale proteomics studies. We believe large-scale characterization of the proteome has not been feasible with existing proteomics approaches, which broadly fall into two categories: (i) unbiased but not scalable, or (ii) scalable but biased. Current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or unbiased, approaches require complex, lengthy, and labor- and capital-intensive workflows, which limit their scalability to small, under-powered studies, and require significant processing expertise. On the other hand, targeted or biased methods only enable interrogation of a limited number of known proteins per sample. Although biased approaches are scalable, they lack the breadth and depth necessary to appropriately characterize the proteome and catalog its many protein variants. Thus, we believe that proteomics researchers are forced into an unattractive trade-off between the number of samples in a study and the depth and breadth of the analysis. These trade-offs limit researchers’ abilities to advance characterization of the proteome to match the current characterization of the genome. We believe large-scale proteomic analysis is needed for a more complete understanding of biology.</w:t>
      </w:r>
    </w:p>
    <w:p>
      <w:pPr>
        <w:spacing w:after="0" w:line="138"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Much like NGS enabled large-scale access to the genome and transformed science and medicine, we believe that widespread access to unbiased and deep proteomics will lead to novel biological insights, deepen understanding of health and disease, and aid functional characterization of genomic variants. We believe these capabilities appeal to a broad range of researchers and can lead to the creation of substantial end-market opportunities that may extend well beyond human health. We are initially focused on driving adoption of our Proteograph with customers in proteomics and genomics markets, who see the value of large-scale, unbiased, deep proteomics. Allied Market Research estimates the proteomics market was $32 billion in 2019. We believe that our Proteograph’s unique capabilities will enable researchers to undertake studies not possible today, particularly those of larger scale. We also believe that our Proteograph will complement genomics technologies by adding critical missing information that can provide functional context to genomic variation. According to the dbSNP database, approximately 695 million individual genetic variants have been identified to date; however, fewer than 0.2% of those variants have been cataloged in the ClinVar database with a reported relationship between variation and phenotype. We believe unbiased, deep and large-scale proteomics can help researchers map biological function of genomic variants, identify the most impactful disease and response-specific risk factors, and accelerate discovery of molecular mechanisms of health and disease. We believe these capabilities will broadly appeal to researchers and entities undertaking large-scale genomics studies. Therefore, we believe we will attract spending from the genomics market, estimated by Technavio to be $21 billion in 2019. In addition to the markets and applications that apply to current proteomics and genomics researchers, we believe our Proteograph is likely to lead to entirely new applications and market opportunities, much like NGS has done in genomics over the last fifteen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20"/>
          </w:cols>
          <w:pgMar w:left="320" w:top="117" w:right="359" w:bottom="1440" w:gutter="0" w:footer="0" w:header="0"/>
        </w:sectPr>
      </w:pPr>
    </w:p>
    <w:bookmarkStart w:id="92" w:name="page93"/>
    <w:bookmarkEnd w:id="92"/>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plan to initially focus on research applications for our Proteograph Product Suite and will sell and market our Proteograph for research use only (RUO).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Our first Proteograph was delivered to one of our first collaborators in October 2020, and we expect to place another Proteograph with a second collaborator before the end of 2020, pending any COVID-19-related delays. In consideration of our initial collaborators’ significant contributions to the development of our Proteograph Product Suite, including providing us with helpful data and feedback on our Proteograph, we have offered our early collaborators a special discount program for consumables that is not reflective of our expected commercial pricing. Additionally, we have provided these early collaborators with the ability to purchase our Proteograph automation instrument at a discount following the completion of the the first phase of our commercialization plan.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 During the second and third phases, we expect to sell our Proteograph at list prices though we may offer volume-based discounts on consumables, consistent with industry practice. We believe by following this approach we can appropriately scale our operations, deliver exceptional customer experiences, foster publications and develop a robust pipeline of customers to drive our revenue growth.</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Importance of Proteomics</w:t>
      </w:r>
    </w:p>
    <w:p>
      <w:pPr>
        <w:spacing w:after="0" w:line="175"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Proteomics has been a key area of focus for researchers given the utility of the detailed and complex information to understanding biology that resides at the protein level. Virtually every function within a living organism occurs by the action of a protein or a group of proteins interacting with each other and working in concert. For example, enzymes catalyze chemical and biochemical reactions, hormones regulate cellular processes, receptors facilitate signal detection, antibodies provide immunity, and proteins also function in cellular and sub-cellular structure, storage, motility, and transport processes. Proteins are dynamic indicators of status and can be used to track a person’s health, disease progression and therapeutic response. By contrast, DNA is effectively a blueprint of what a person’s physiology could be, not an indicator of current physiological state. In short, DNA represents risk and proteins represent status.</w:t>
      </w:r>
    </w:p>
    <w:p>
      <w:pPr>
        <w:spacing w:after="0" w:line="11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Despite the impact that proteins have on biology and physiology, the human proteome is relatively unexplored compared to the human genome. While the understanding of biology and disease mechanisms has advanced significantly over the past decade through large-scale data collection technologies, we believe these advances have mainly been in genomics. The widespread adoption of molecular profiling techniques, including NGS, has led to the identification of approximately 695 million genetic variations across all genomes that have been sequenced. Although this information has significantly improved the understanding of biology, the functional context at the protein level has not been established for the vast majority of this genomics information. In other words, researchers have not been able to connect phenotypic information with the relevant genotypic information. We believe that if we enable researchers to generate large bodies of proteomic data, to couple with large bodies of genomic data, they will be better positioned to understand the relationship between variation and function and its impact on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20"/>
          </w:cols>
          <w:pgMar w:left="320" w:top="117" w:right="359" w:bottom="1440" w:gutter="0" w:footer="0" w:header="0"/>
        </w:sectPr>
      </w:pPr>
    </w:p>
    <w:bookmarkStart w:id="93" w:name="page94"/>
    <w:bookmarkEnd w:id="93"/>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808355</wp:posOffset>
            </wp:positionV>
            <wp:extent cx="5349240" cy="2074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Challenges of Accessing the Proteome</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human proteome is dynamic and far more complex and diverse in structure, composition and number of variants than either the genome or transcriptome. Starting from the genome, there are multiple biological steps that take place to arrive at the proteome, each step driving increasing complexity and diversity. The human genome of approximately 20,000 genes is estimated to give rise to 1,000,000 or more protein variants, in part because a single gene produces distinct ribonucleic acid (RNA) isoforms through the process of transcription and a myriad of structurally distinct proteins through the process of translation. Biological processes can further chemically modify these proteins in unique ways, resulting in a large number of protein variants through post-translational modifications. Overall, these processes result in many levels of protein diversity, from amino acid sequence and structural variations, to post-translational modifications (PTMs), to functional changes due to interactions between the proteins themselves, known as protein-protein interactions (PPIs). In addition, all of these forms of diversity can differ between states of health and disease. We believe the fundamental challenge with existing proteomics methods is their inability to measure the breadth and depth of the proteome’s complexity, rapidly and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97155</wp:posOffset>
            </wp:positionV>
            <wp:extent cx="5143500" cy="2091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Image from Isabell Bludau et al. Proteomic and interactomic insights into the molecular basis of cell functional diversity. </w:t>
      </w:r>
      <w:r>
        <w:rPr>
          <w:rFonts w:ascii="Times New Roman" w:cs="Times New Roman" w:eastAsia="Times New Roman" w:hAnsi="Times New Roman"/>
          <w:sz w:val="14"/>
          <w:szCs w:val="14"/>
          <w:i w:val="1"/>
          <w:iCs w:val="1"/>
          <w:color w:val="auto"/>
        </w:rPr>
        <w:t>Nature Reviews Molecular Cell Biology</w:t>
      </w:r>
      <w:r>
        <w:rPr>
          <w:rFonts w:ascii="Times New Roman" w:cs="Times New Roman" w:eastAsia="Times New Roman" w:hAnsi="Times New Roman"/>
          <w:sz w:val="14"/>
          <w:szCs w:val="14"/>
          <w:color w:val="auto"/>
        </w:rPr>
        <w:t xml:space="preserv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20"/>
          </w:cols>
          <w:pgMar w:left="320" w:top="117" w:right="359" w:bottom="1440" w:gutter="0" w:footer="0" w:header="0"/>
        </w:sectPr>
      </w:pPr>
    </w:p>
    <w:bookmarkStart w:id="94" w:name="page95"/>
    <w:bookmarkEnd w:id="94"/>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Limitations of Biased Approaches to Proteomics</w:t>
      </w:r>
    </w:p>
    <w:p>
      <w:pPr>
        <w:spacing w:after="0" w:line="17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Unlike DNA, proteins’ structures, chemistries and concentrations in any given sample are widely variable. Proteins also lack a direct amplification mechanism which creates technological challenges for identifying proteins at low concentration. This is different than DNA, which has an inherent and direct amplification mechanism for its replication, a mechanism that researchers have exploited with technologies such as polymerase chain reaction (PCR) for detection of DNA at low concentrations. Given the diversity of protein structures, coupled with the lack of a common amplification mechanism, researchers often use analyte-specific reagents (ASRs) to measure proteins. ASRs are ligands, such as antibodies, that have been designed to bind to specific areas of proteins, and therefore, involve a targeted or biased approach. This biased approach is limited in that ASRs do not have the capability to interrogate the entirety of the protein structure that they bind to and may not detect the presence of important protein variants. The average length of a human protein is approximately 470 amino acids, whereas the average binding site of an ASR is an epitope with a length of five to eight amino acids. ASRs cannot recognize differences between proteins outside of this small epitope binding site and therefore may not differentiate among protein variants. While a large number of ASRs can be designed to detect a large number of different proteins, because this approach is limited in its ability to measure protein variation, we believe that ASRs and other biased approaches are not optimal for discovery given the inherent protein complexity. This limitation of biased approaches is illustrated in the figure below where an antibody is unable to differentiate between two distinct variants of the same protein. If such variants are differentially related to health and disease, such approach may fail to discover important insights. Biased approaches, in general, are useful when the scientist or clinician knows what he or she is specifically analyzing. This is analogous to the role of PCR in genomics, which amplifies a specific DNA fragment in a targeted or biased manner to confirm the presence of a specific mutation, whereas NGS employs an unbiased approach to interrogate the breadth of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100965</wp:posOffset>
            </wp:positionV>
            <wp:extent cx="4500245" cy="213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002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Limitations of Current Unbiased Approaches to Proteomics</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Rather than interrogating proteins at the amino acid level, there are unbiased approaches that interrogate proteins at the peptide level, providing amino-acid level resolution to protein variants. However, current unbiased approaches are limited by lack of scalability due to the vastly different concentrations of different proteins in samples. The concentration of proteins in plasma, for example, can span ten orders of magnitude from the most abundant protein, which is albumin, to some of the least abundant proteins, such as cytokines. The top 22 most abundant proteins account for approximately 99% of the total protein mass in the plasma, yet the many thousands of less abundant proteins comprising the other one percent of the total proteins by mass have significant impact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17" w:right="339" w:bottom="1440" w:gutter="0" w:footer="0" w:header="0"/>
        </w:sectPr>
      </w:pPr>
    </w:p>
    <w:bookmarkStart w:id="95" w:name="page96"/>
    <w:bookmarkEnd w:id="95"/>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biology. Therefore, it is critical to be able to broadly and deeply detect proteins across the proteome, including those proteins that appear in low concentrations in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80010</wp:posOffset>
            </wp:positionV>
            <wp:extent cx="4286250" cy="18942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8625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 xml:space="preserve">Mass spectrometry (MS) can be used as an unbiased or biased detection technology, and has been used for detection of proteins and their variants for unbiased discovery, biased research and clinical applications. Given the varying dynamic range of protein concentrations in plasma and other biological samples, current MS methods for proteomic detection require complex sample preparation workflows that involve depletion of abundant proteins and grouping of the remaining proteins into smaller units through fractionation in order to measure deeper into the proteome. We believe current unbiased approaches are not widely adopted by researchers because the workflows, protocols and unit operations are extremely complex, the process is expensive and the time required to complete such analysis is significant. As one example of these complex methods, in a paper from </w:t>
      </w:r>
      <w:r>
        <w:rPr>
          <w:rFonts w:ascii="Times New Roman" w:cs="Times New Roman" w:eastAsia="Times New Roman" w:hAnsi="Times New Roman"/>
          <w:sz w:val="18"/>
          <w:szCs w:val="18"/>
          <w:i w:val="1"/>
          <w:iCs w:val="1"/>
          <w:color w:val="auto"/>
        </w:rPr>
        <w:t>Keshishian, H. et al.</w:t>
      </w:r>
      <w:r>
        <w:rPr>
          <w:rFonts w:ascii="Times New Roman" w:cs="Times New Roman" w:eastAsia="Times New Roman" w:hAnsi="Times New Roman"/>
          <w:sz w:val="18"/>
          <w:szCs w:val="18"/>
          <w:color w:val="auto"/>
        </w:rPr>
        <w:t>, the researchers first depleted the most abundant proteins with immuno-affinity columns and then separated the remaining proteins by many subsequent and complex chromatographic steps and mass spectrometer injections. This approach identified 4,500 different proteins, but only across 16 samples. The study took multiple months to complete.</w:t>
      </w:r>
    </w:p>
    <w:p>
      <w:pPr>
        <w:spacing w:after="0" w:line="13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critical unmet needs in proteomic analysis remain how to collect unbiased proteomic data on thousands of proteins in a sample spanning more than ten orders of dynamic range in concentration and how to do so in thousands of samples at a reasonable cost and in a reasonable amount of time. Genomics faced a similar unmet need before the advent of NGS, which allowed for massively parallel sampling.</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Background of Massively Parallel Sampling</w:t>
      </w:r>
    </w:p>
    <w:p>
      <w:pPr>
        <w:spacing w:after="0" w:line="17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ability to perform massively parallel sampling in biology has been transformational to researchers’ ability to perform large-scale and unbiased biological analysis. For example, before NGS, genomic approaches were not scalable to either read the entire genome or process very large numbers of samples. Researchers could only sequence hundreds of fragments of DNA or RNA at a time, and not easily in parallel. Genetic analysis was limited to biased, shallow genetic studies that were time-consuming and not scalable. As a result, researchers in genomics faced similar challenges that researchers currently face in proteomics. The introduction of NGS enabled massively parallel sampling of small fragments of DNA, allowing researchers to, in parallel, sequence tens of millions, and, through subsequent innovations, currently tens of billions, of fragments of DNA per sample. This transformative approach to sampling enabled genomic sequencing technologies to scale and created the path to genomic end-market opportunities, including basic research and discovery, translational research and clinical applications, including early cancer detection, recurrence monitoring and non-invasive prenatal testing. While there are no assurances that our Proteograph will have the same effect on the proteomics market as NGS technologies have had on the genomics market, given the utility of proteins for measuring function, health and disease, we believe the same, if not a greater, market opportunity exists for providing unbiased, deep, rapid and scalable access to the proteome.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17" w:right="339" w:bottom="1440" w:gutter="0" w:footer="0" w:header="0"/>
        </w:sectPr>
      </w:pPr>
    </w:p>
    <w:bookmarkStart w:id="96" w:name="page97"/>
    <w:bookmarkEnd w:id="96"/>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Engineered Nanoparticle Technology</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proprietary engineered NP technology overcomes the limitations of existing methods and is the foundation for our Proteograph Product Suite’s easy-to-use workflow for unbiased, deep, rapid and scalable proteomic analysis. Our approach is based on proprietary engineered NPs that enable unbiased and massively parallel sampling of intact proteins across the proteome, capturing a myriad of molecular information at the level of protein variants as well as PPIs. Our NPs are designed to eliminate the need for complex workflows required by other unbiased approaches, which we believe will make proteomics more accessible to the broader scientific community.</w:t>
      </w:r>
    </w:p>
    <w:p>
      <w:pPr>
        <w:spacing w:after="0" w:line="1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diameter of a nanoparticle is typically in the tens to hundreds of nanometers. As a reference, the diameter of the human hair is 80,000 nanometers. When nanoparticles are placed in contact with a biological sample, a thin layer of intact proteins rapidly, selectively and reproducibly adsorbs onto the surface of a nanoparticle upon contact, forming what is called a protein “corona.” Additional intact proteins can also join the corona layer by binding directly to a protein that has already attached to the nanoparticle through PPIs and intact protein complexes may also attach to the nanoparticle directly. Our NPs’ ability to capture whole and intact proteins and their many diverse variants provides access to protein structural information, including information on PPIs. At binding equilibrium, which occurs within minutes after our NPs come into contact with the protein, the selective sampling of proteins by our NPs is robust and highly reproducible.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97155</wp:posOffset>
            </wp:positionV>
            <wp:extent cx="5349240" cy="1834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protein sampling and binding of proteins to the nanoparticle surface are driven by three primary factors: (i) affinity of a given protein for a given nanoparticle’s physicochemical surface; (ii) concentration of a given protein in a biological sample; and (iii) affinity of the proteins for other proteins on the surface of the nanoparticle, forming PPIs. We can use a variety of different methods and materials to design and create different nanoparticles. Each nanoparticle can have distinct physicochemical properties that generate a unique protein corona pattern and a unique proteomic fingerprint. We can combine nanoparticles into panels to provide a representative and thorough sampling across the dynamic range of the proteome, from high to low abundance proteins. In effect, the properties of protein binding to a panel of nanoparticles are functionally equivalent to, and can replace, complex, biochemical laboratory workflows for the preparation of samples for deep, unbiased MS, and which enable the capture of thousands of proteins from biofluids for large-scale proteomics studies. Virtually any solubilized biological sample can be interrogated with nanoparticles, including cell or tissue homogenates, blood or blood components (such as plasma or serum, urine), saliva, cerebrospinal fluid and synovial fluid. The versatility of nanoparticles provides the opportunity to use a vast universe of different nanoparticles with different physicochemical properties to selectively, reproducibly and deeply sample the proteome in an unbiased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17" w:right="339" w:bottom="1440" w:gutter="0" w:footer="0" w:header="0"/>
        </w:sectPr>
      </w:pPr>
    </w:p>
    <w:bookmarkStart w:id="97" w:name="page98"/>
    <w:bookmarkEnd w:id="97"/>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figure below illustrates the dynamic range of the proteome with high abundance proteins in the upper left of the curve and low abundance proteins in the lower right of the curve. Each of our unique nanoparticles has different physicochemical properties, which allows it to sample selectively across the breadth of the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88900</wp:posOffset>
            </wp:positionV>
            <wp:extent cx="5349240" cy="2700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NPs enable the unique capabilities of our Proteograph Product Suite, including the ability to:</w:t>
      </w:r>
    </w:p>
    <w:p>
      <w:pPr>
        <w:spacing w:after="0" w:line="171"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complex biofluid processing workflows required by other unbiased proteomic approaches;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sample in an unbiased manner across the dynamic range of the proteome in a variety of biological samples, including cell or tissue homogenates, blood or blood components (such as plasma or serum), urine, saliva, cerebrospinal fluid, and synovial fluid;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distinguish protein variants at the peptide level;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quantify protein variants and PPIs;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machine learning to design, synthesize and select different NPs and NP panels to create multiple products and applications; and</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compatible across a wide range of laboratory workflows, automation equipment and sample processing and detection methods, lowering the hurdle for product adoption.</w:t>
      </w:r>
    </w:p>
    <w:p>
      <w:pPr>
        <w:spacing w:after="0" w:line="108"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have validated our NP technology and the principle of protein corona formation as a robust and reproducible method to deeply and broadly profile the proteome in a high-throughput manner. In our recent publication in </w:t>
      </w:r>
      <w:r>
        <w:rPr>
          <w:rFonts w:ascii="Times New Roman" w:cs="Times New Roman" w:eastAsia="Times New Roman" w:hAnsi="Times New Roman"/>
          <w:sz w:val="18"/>
          <w:szCs w:val="18"/>
          <w:i w:val="1"/>
          <w:iCs w:val="1"/>
          <w:color w:val="auto"/>
        </w:rPr>
        <w:t>Nature Communications</w:t>
      </w:r>
      <w:r>
        <w:rPr>
          <w:rFonts w:ascii="Times New Roman" w:cs="Times New Roman" w:eastAsia="Times New Roman" w:hAnsi="Times New Roman"/>
          <w:sz w:val="18"/>
          <w:szCs w:val="18"/>
          <w:color w:val="auto"/>
        </w:rPr>
        <w:t xml:space="preserve"> (Blume et al.), we demonstrated a rapid, deep and precise profiling of the plasma proteome with our proprietary engineered NP technology.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Proteograph Product Suite</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proprietary engineered NP technology forms the basis for our first product, the Proteograph Product Suite. Our Proteograph is an integrated solution consisting of consumables, an automation instrument and software to perform unbiased, deep proteomic analysis at scale in a matter of hours. We designed our Proteograph to be efficient and easy-to-use, and to leverage broadly-used laboratory instrumentation to enable adoption in both decentralized and centralized settings and be widely available to life sciences researchers.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00"/>
          </w:cols>
          <w:pgMar w:left="320" w:top="117" w:right="379" w:bottom="1440" w:gutter="0" w:footer="0" w:header="0"/>
        </w:sectPr>
      </w:pPr>
    </w:p>
    <w:bookmarkStart w:id="98" w:name="page99"/>
    <w:bookmarkEnd w:id="98"/>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firstLine="324"/>
        <w:spacing w:after="0" w:line="272" w:lineRule="auto"/>
        <w:rPr>
          <w:sz w:val="20"/>
          <w:szCs w:val="20"/>
          <w:color w:val="auto"/>
        </w:rPr>
      </w:pPr>
      <w:r>
        <w:rPr>
          <w:rFonts w:ascii="Times New Roman" w:cs="Times New Roman" w:eastAsia="Times New Roman" w:hAnsi="Times New Roman"/>
          <w:sz w:val="17"/>
          <w:szCs w:val="17"/>
          <w:color w:val="auto"/>
        </w:rPr>
        <w:t>Our Proteograph consumables consist of our NP panel and all other consumables necessary to assay samples on our automation instrument. Our Proteograph automation instrument is custom-configured for researchers to assay samples in approximately seven hours, which includes thirty minutes of set-up time and six and a half hours of automated instrument time. The output from our automation instrument is peptides ready to be processed on an MS instrument, which is a widely-accessible platform for protein detection. The Proteograph Product Suite is detector agnostic and, therefore, we believe, will be adaptable to other protein detection instruments in the future. The MS component of our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by researchers. Finally, we provide a data analytics software suite to analyze the output from the system that helps researchers interpret and gain insights into their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86360</wp:posOffset>
            </wp:positionV>
            <wp:extent cx="5349240" cy="17487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Consumables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For our first Proteograph assay, we will employ a panel of five NPs. Our Proteograph consumables also include buffers and reagents for protein lysis and digestion, peptide purification and peptide quantification. We designed the performance specifications of our Proteograph to meet the core needs of the market in terms of protein coverage and sample throughput required for proteomic experiments that are unbiased and at-scale. The product will allow for the interrogation and processing of up to 16 samples by our five proprietary engineered NPs in parallel on a single 96-well plate in approximately seven hours. Eighty wells are arrayed in two groups of columns with eight samples and five particles in each column. The remaining 16 wells are for integrated quality control samples for gathering assay metrics and aid in troubleshooting. We include these quality controls because they greatly facilitate comparison of results across different assays, and also help to differentiate between anomalous versus accurate results in an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97155</wp:posOffset>
            </wp:positionV>
            <wp:extent cx="2057400" cy="22371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80"/>
          </w:cols>
          <w:pgMar w:left="320" w:top="117" w:right="399" w:bottom="1440" w:gutter="0" w:footer="0" w:header="0"/>
        </w:sectPr>
      </w:pPr>
    </w:p>
    <w:bookmarkStart w:id="99" w:name="page100"/>
    <w:bookmarkEnd w:id="99"/>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ready availability of the non-particle reagents combined with our ability to efficiently and quickly design different NPs with different properties, greatly simplifies the development and production of future iterations or additional versions of our Proteograph assays to address potential customer needs, such as expanded coverage or specialized assays. Additionally, we can introduce new assays that include a different number of NPs and process different sample numbers. Our customers also can easily process the new assay using their existing Proteograph automation instrument, which allows for a greater number of samples to be analyzed in parallel, or additional NPs to analyze the proteome at greater depth.</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Automation Instrument</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designed our NPs for robust performance in assays run on our Proteograph automation instrument, which is a custom-configured industry-standard liquid handling workstation. Our Proteograph instrument is designed to be robust and reproducible in its ability to consistently run experiments at the scale of hundreds to thousands of samples. Our instrument allows for rapid highly parallel proteomic sampling of multiple biosamples using multiple NPs on a 96-well plate. The assay protocol is fully automated after approximately thirty minutes of set-up time. The flexibility of our instrument, coupled with the inherent diversity of our NP technology, provides for many potential applications and study workflows that can suit particular experimental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93980</wp:posOffset>
            </wp:positionV>
            <wp:extent cx="2357120" cy="1774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5712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Proteograph automation instrument has been configured to process one full 96-well plate at a time. For our first Proteograph assay this translates into processing 16 samples in parallel for each 96-well plate run. Our Proteograph Instrument Control Software (PICS) for the Proteograph is fixed and tailored to our specified workflow. Each new Proteograph assay will be able to run on our same Proteograph automation instrument with a new NP panel and an accompanying software update. After an initial 30 minute set-up process, our first Proteograph assay runs for approximately six and one-half hours on our automation instrument. The output of our Proteograph assay and instrument is peptides that are quantified, dried, and reconstituted when ready to inject into a mass spectrometer for quantitative detection, either on an MS provided by the user or sent out for MS analysis to a third-party provider.</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Proteograph software was designed for ease-of-use and was developed to help users arrive at insights quickly and efficiently following peptide detection by an MS instrument. To accommodate varying customer needs, we have designed our Proteograph software to be deployed as cloud-based and, in the future, on-premise. Both deployment options will provide a predefined workflow for data management and analysis that leverages publicly available MS data analysis tools. Without our software, the use of these tools requires expert knowledge and scalable high-performance computer infrastructure to run efficiently. We believe that our software could accelerate adoption among non-proteomic experts by providing an intuitive user interface that automates and simplifies data handling, processing and analysis, and which provides access to a scalable infrastructure.</w:t>
      </w:r>
    </w:p>
    <w:p>
      <w:pPr>
        <w:spacing w:after="0" w:line="133"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Another potential roadblock for researchers is understanding and evaluating the quality of their results. Our Proteograph assay incorporates a series of controls for monitoring quality of the assay. Our software provides an integrated view of the results of these control runs. Using the software, the customer can evaluate trends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00"/>
          </w:cols>
          <w:pgMar w:left="320" w:top="117" w:right="379" w:bottom="1440" w:gutter="0" w:footer="0" w:header="0"/>
        </w:sectPr>
      </w:pPr>
    </w:p>
    <w:bookmarkStart w:id="100" w:name="page101"/>
    <w:bookmarkEnd w:id="100"/>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and implement performance boundaries around the expected values that flag unexpected outcomes in the data. Providing a simple, consistent interface for customers to evaluate the control data and generate a quality control (QC) report will help them understand our approach to QC in our Proteograph and simplify support. Eventually, user communities might provide an avenue for customers to share their experiences against the backdrop of a common environment and understanding.</w:t>
      </w:r>
    </w:p>
    <w:p>
      <w:pPr>
        <w:spacing w:after="0" w:line="12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expect that our Proteograph will enable generation of large volumes of proteomic data, and we have developed our Proteograph software to ensure that handling, management and analysis of data does not create new bottlenecks for researchers. Our Proteograph software offers ease of implementation and addresses key customer needs, which include analysis of raw MS data with pre-configured parameters, integrated QC reporting, the ability to visualize and download the primary data analysis, and statistical analysis tools. Our software is highly scalable and is designed to accommodate multi-instrument settings, rapidly expanding data volumes and emerging data analysis tools. Finally, as we continue to improve and extend our product portfolio, we expect to expand our Proteograph software suite to include advanced data analysis tools, including PPI analysis, mapping of PTMs, genetic polymorphisms, multi-omics integration, and systems biology framework analysis.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From Sample to Data Using our Proteograph Product Suite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Proteomic analysis using our Proteograph Product Suite has five primary steps:</w:t>
      </w:r>
    </w:p>
    <w:p>
      <w:pPr>
        <w:spacing w:after="0" w:line="169" w:lineRule="exact"/>
        <w:rPr>
          <w:sz w:val="20"/>
          <w:szCs w:val="20"/>
          <w:color w:val="auto"/>
        </w:rPr>
      </w:pPr>
    </w:p>
    <w:p>
      <w:pPr>
        <w:ind w:left="660" w:right="100" w:hanging="328"/>
        <w:spacing w:after="0" w:line="261"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Particle-Matrix Association</w:t>
      </w:r>
      <w:r>
        <w:rPr>
          <w:rFonts w:ascii="Times New Roman" w:cs="Times New Roman" w:eastAsia="Times New Roman" w:hAnsi="Times New Roman"/>
          <w:sz w:val="18"/>
          <w:szCs w:val="18"/>
          <w:color w:val="auto"/>
        </w:rPr>
        <w:t>. NPs can be mixed with a wide variety of soluble biological sample types (matrices), including cell or tissue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homogenates, blood or blood components (such as plasma or serum), urine, saliva, cerebrospinal fluid, and synovial fluid. After combining the biosample and the NP, the mixture is incubated in a solution that mimics physiological conditions, producing protein-corona on the surface of the NPs.</w:t>
      </w:r>
    </w:p>
    <w:p>
      <w:pPr>
        <w:spacing w:after="0" w:line="125" w:lineRule="exact"/>
        <w:rPr>
          <w:rFonts w:ascii="Times New Roman" w:cs="Times New Roman" w:eastAsia="Times New Roman" w:hAnsi="Times New Roman"/>
          <w:sz w:val="18"/>
          <w:szCs w:val="18"/>
          <w:color w:val="auto"/>
        </w:rPr>
      </w:pPr>
    </w:p>
    <w:p>
      <w:pPr>
        <w:ind w:left="660" w:right="280" w:hanging="328"/>
        <w:spacing w:after="0" w:line="28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Particle Wash</w:t>
      </w:r>
      <w:r>
        <w:rPr>
          <w:rFonts w:ascii="Times New Roman" w:cs="Times New Roman" w:eastAsia="Times New Roman" w:hAnsi="Times New Roman"/>
          <w:sz w:val="18"/>
          <w:szCs w:val="18"/>
          <w:color w:val="auto"/>
        </w:rPr>
        <w:t>. NPs are then captured by a magnetic field, after which they undergo repeated cycles of wash with buffer to remove unbound,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loosely bound, proteins.</w:t>
      </w:r>
    </w:p>
    <w:p>
      <w:pPr>
        <w:spacing w:after="0" w:line="104" w:lineRule="exact"/>
        <w:rPr>
          <w:rFonts w:ascii="Times New Roman" w:cs="Times New Roman" w:eastAsia="Times New Roman" w:hAnsi="Times New Roman"/>
          <w:sz w:val="18"/>
          <w:szCs w:val="18"/>
          <w:color w:val="auto"/>
        </w:rPr>
      </w:pPr>
    </w:p>
    <w:p>
      <w:pPr>
        <w:ind w:left="660" w:right="500" w:hanging="328"/>
        <w:spacing w:after="0" w:line="28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In-plate Digestion</w:t>
      </w:r>
      <w:r>
        <w:rPr>
          <w:rFonts w:ascii="Times New Roman" w:cs="Times New Roman" w:eastAsia="Times New Roman" w:hAnsi="Times New Roman"/>
          <w:sz w:val="18"/>
          <w:szCs w:val="18"/>
          <w:color w:val="auto"/>
        </w:rPr>
        <w:t>. Washed NPs are subject to enzymatic digestion to generate peptides, which are collected, quantified, dried and ready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MS analysis.</w:t>
      </w:r>
    </w:p>
    <w:p>
      <w:pPr>
        <w:spacing w:after="0" w:line="104" w:lineRule="exact"/>
        <w:rPr>
          <w:rFonts w:ascii="Times New Roman" w:cs="Times New Roman" w:eastAsia="Times New Roman" w:hAnsi="Times New Roman"/>
          <w:sz w:val="18"/>
          <w:szCs w:val="18"/>
          <w:color w:val="auto"/>
        </w:rPr>
      </w:pPr>
    </w:p>
    <w:p>
      <w:pPr>
        <w:ind w:left="660" w:right="360" w:hanging="328"/>
        <w:spacing w:after="0" w:line="267"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Mass Spectrometry</w:t>
      </w:r>
      <w:r>
        <w:rPr>
          <w:rFonts w:ascii="Times New Roman" w:cs="Times New Roman" w:eastAsia="Times New Roman" w:hAnsi="Times New Roman"/>
          <w:sz w:val="18"/>
          <w:szCs w:val="18"/>
          <w:color w:val="auto"/>
        </w:rPr>
        <w:t>. The researcher prepares the digested peptides for measurement by dissolution in appropriate peptide reconstitution buffer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suitable for MS injection, at a volume and concentration that meets the researcher’s MS instrument and liquid chromatography gradient requirements.</w:t>
      </w:r>
    </w:p>
    <w:p>
      <w:pPr>
        <w:spacing w:after="0" w:line="119" w:lineRule="exact"/>
        <w:rPr>
          <w:rFonts w:ascii="Times New Roman" w:cs="Times New Roman" w:eastAsia="Times New Roman" w:hAnsi="Times New Roman"/>
          <w:sz w:val="18"/>
          <w:szCs w:val="18"/>
          <w:color w:val="auto"/>
        </w:rPr>
      </w:pPr>
    </w:p>
    <w:p>
      <w:pPr>
        <w:ind w:left="660" w:right="360" w:hanging="328"/>
        <w:spacing w:after="0" w:line="267"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analysis. </w:t>
      </w:r>
      <w:r>
        <w:rPr>
          <w:rFonts w:ascii="Times New Roman" w:cs="Times New Roman" w:eastAsia="Times New Roman" w:hAnsi="Times New Roman"/>
          <w:sz w:val="18"/>
          <w:szCs w:val="18"/>
          <w:color w:val="auto"/>
        </w:rPr>
        <w:t>After data acquisition, typical MS analysis methods are employed within our Proteograph software to identify and quantify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peptides and proteins in the sample. Quality control metrics are reported for the MS sample data, sample data summaries and output files are created, and initial cross-sample analyses are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19685</wp:posOffset>
            </wp:positionV>
            <wp:extent cx="4928870" cy="2048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2887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20"/>
          </w:cols>
          <w:pgMar w:left="320" w:top="117" w:right="359" w:bottom="1440" w:gutter="0" w:footer="0" w:header="0"/>
        </w:sectPr>
      </w:pPr>
    </w:p>
    <w:bookmarkStart w:id="101" w:name="page102"/>
    <w:bookmarkEnd w:id="101"/>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Given the seven-hour run time per plate for our initial five-NP panel, our Proteograph Product Suite could process 48 samples in a 24-hour period for unbiased and deep proteomic analysis. By comparison, the workflows developed by leading proteomics labs can take as long as several days to weeks, for sample preparation for MS measurement to reach an equivalent depth of proteomic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88900</wp:posOffset>
            </wp:positionV>
            <wp:extent cx="5143500" cy="2194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Proteograph Product Suite Performance</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four key technical attributes of our Proteograph Product Suite are its breadth of protein sampling, depth of coverage, accuracy and precision of measurement. In addition to its technical performance, our Proteograph automation instrument’s rapid throughput is an important characteristic to scale the number of samples assayed. We believe that our Proteograph Product Suite is the only product to provide these technical and operational capabilities in an integrated solution to enable large-scale proteomic analysis. As described below, we discuss the performance of our first Proteograph assay relative to existing unbiased proteomics methods across the technical attributes of breadth, depth, accuracy and precision of measurement and the operational aspect of throughput.</w:t>
      </w:r>
    </w:p>
    <w:p>
      <w:pPr>
        <w:spacing w:after="0" w:line="129" w:lineRule="exact"/>
        <w:rPr>
          <w:sz w:val="20"/>
          <w:szCs w:val="20"/>
          <w:color w:val="auto"/>
        </w:rPr>
      </w:pPr>
    </w:p>
    <w:p>
      <w:pPr>
        <w:ind w:left="660" w:right="60" w:hanging="328"/>
        <w:spacing w:after="0" w:line="257"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Breadth of protein sampling. </w:t>
      </w:r>
      <w:r>
        <w:rPr>
          <w:rFonts w:ascii="Times New Roman" w:cs="Times New Roman" w:eastAsia="Times New Roman" w:hAnsi="Times New Roman"/>
          <w:sz w:val="18"/>
          <w:szCs w:val="18"/>
          <w:color w:val="auto"/>
        </w:rPr>
        <w:t>Breadth of protein sampling refers to our Proteograph Product Suite’s ability to conduct unbiased, highly parallel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sampling of the proteome across its entire dynamic range, from high to low abundant proteins. Given the unique characteristics of our NPs, our Proteograph Product Suite allows for the unbiased highly parallel sampling of the proteome, and it does this across its entire dynamic range from high to low abundant proteins. Each uniquely engineered NP selectively captures hundreds of distinct intact proteins from a biosample based on their abundance and affinity for the NP surface. Our Proteograph leverages a panel of unique NPs to capture significantly more proteins and protein variants than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60"/>
          </w:cols>
          <w:pgMar w:left="320" w:top="117" w:right="419" w:bottom="1440" w:gutter="0" w:footer="0" w:header="0"/>
        </w:sectPr>
      </w:pPr>
    </w:p>
    <w:bookmarkStart w:id="102" w:name="page103"/>
    <w:bookmarkEnd w:id="102"/>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methods of unbiased proteomic analysis, as shown in the figure below. This advantage of our Proteograph Product Suite is particularly strong in complex biofluids such as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80010</wp:posOffset>
            </wp:positionV>
            <wp:extent cx="1285875" cy="31972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587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illustrated above, we compared our Proteograph Product Suite with other unbiased proteomics methods in a head-to-head experiment using the same biological sample. Neat plasma represents the simplest form of unbiased proteomic analysis, requiring minimal processing time, and resulted in a breadth of coverage of 312 proteins. By adding processing steps such as depletion of high abundance proteins and separation of the remaining proteins into multiple fractions (a process called fractionation), the breadth of protein sampling increased to 670 proteins. However, with our Proteograph, we detected 1,656 proteins in plasma, which represents a major expansion in breadth of protein coverage.</w:t>
      </w:r>
    </w:p>
    <w:p>
      <w:pPr>
        <w:spacing w:after="0" w:line="125" w:lineRule="exact"/>
        <w:rPr>
          <w:sz w:val="20"/>
          <w:szCs w:val="20"/>
          <w:color w:val="auto"/>
        </w:rPr>
      </w:pPr>
    </w:p>
    <w:p>
      <w:pPr>
        <w:ind w:left="660" w:hanging="328"/>
        <w:spacing w:after="0" w:line="254"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Depth of coverage. </w:t>
      </w:r>
      <w:r>
        <w:rPr>
          <w:rFonts w:ascii="Times New Roman" w:cs="Times New Roman" w:eastAsia="Times New Roman" w:hAnsi="Times New Roman"/>
          <w:sz w:val="18"/>
          <w:szCs w:val="18"/>
          <w:color w:val="auto"/>
        </w:rPr>
        <w:t>Depth of coverage refers to our Proteograph’s ability to evaluate the proteome across the wide dynamic range of abundance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proteins. The range from the most abundant to the least abundant protein in biological samples can vary greatly. In plasma, this range is estimated to be at least ten orders of magnitude, and the rich diversity of biology resides outside the most abundant proteins. Sampling across the entire dynamic range has been one of the seminal challenges in the field of proteomics. Conventional approaches to address this challenge have employed laborious depletion and fractionation methods, which can be avoided with the automated and scalable workflow of our Proteograph Product Suite. We compared the depth of coverage of our Proteograph with other unbiased proteomic methods in a head-to-head experiment, shown in the figure below. Our Proteograph samples proteins across the entire dynamic range of the plasma proteome, as defined in the Human Plasma Proteome Project database (Schwenk et al.), with the 75th percentile point of depth of coverage shown with the orange bar. The depth of coverage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80"/>
          </w:cols>
          <w:pgMar w:left="320" w:top="117" w:right="399" w:bottom="1440" w:gutter="0" w:footer="0" w:header="0"/>
        </w:sectPr>
      </w:pPr>
    </w:p>
    <w:bookmarkStart w:id="103" w:name="page104"/>
    <w:bookmarkEnd w:id="103"/>
    <w:p>
      <w:pPr>
        <w:ind w:left="8"/>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Proteograph reaches further into the low abundant proteins than the fractionation, depletion and neat plasma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120015</wp:posOffset>
            </wp:positionV>
            <wp:extent cx="4286250" cy="3111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8625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8" w:hanging="328"/>
        <w:spacing w:after="0" w:line="255" w:lineRule="auto"/>
        <w:tabs>
          <w:tab w:leader="none" w:pos="3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Accuracy of measurement. </w:t>
      </w:r>
      <w:r>
        <w:rPr>
          <w:rFonts w:ascii="Times New Roman" w:cs="Times New Roman" w:eastAsia="Times New Roman" w:hAnsi="Times New Roman"/>
          <w:sz w:val="18"/>
          <w:szCs w:val="18"/>
          <w:color w:val="auto"/>
        </w:rPr>
        <w:t>Accuracy refers to how close the measured abundance of a protein is to the true abundance in a sample. Accuracy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protein abundance measurement can be demonstrated by MS signal intensity of the proteins sampled with our Proteograph, and comparing these values with measurements obtained directly by immuno-assay (ELISA). In the below experiment, purified C-Reactive Protein (CRP) was added or “spiked” in to plasma at levels of 2x, 5x, 10x, and 100x of the baseline measured levels for CRP in the plasma. These samples with known concentrations of CRP were then interrogated with our Proteograph Product Suite and ELISA. The figure shows the linearity of measurement of our Proteograph, as determined by MS signal intensity of four peptides within CRP when compared to the ELISA measurement of CRP. Our Proteograph assay can distinguish changes in protein abundance with significant accuracy, as demonstrated by a slope response approximately equal to one and an r-squared value greater than 0.95.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888"/>
          </w:cols>
          <w:pgMar w:left="652" w:top="117" w:right="359" w:bottom="1440" w:gutter="0" w:footer="0" w:header="0"/>
        </w:sectPr>
      </w:pPr>
    </w:p>
    <w:bookmarkStart w:id="104" w:name="page105"/>
    <w:bookmarkEnd w:id="104"/>
    <w:p>
      <w:pPr>
        <w:ind w:left="8"/>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808355</wp:posOffset>
            </wp:positionV>
            <wp:extent cx="2571750" cy="2143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8" w:hanging="328"/>
        <w:spacing w:after="0" w:line="254" w:lineRule="auto"/>
        <w:tabs>
          <w:tab w:leader="none" w:pos="32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Precision of measurement. </w:t>
      </w:r>
      <w:r>
        <w:rPr>
          <w:rFonts w:ascii="Times New Roman" w:cs="Times New Roman" w:eastAsia="Times New Roman" w:hAnsi="Times New Roman"/>
          <w:sz w:val="18"/>
          <w:szCs w:val="18"/>
          <w:color w:val="auto"/>
        </w:rPr>
        <w:t>Precision refers to how close several measurements of protein abundance in the same sample are to each other. 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precision in the measurement of a protein adds noise to an experiment, requiring a larger number of samples in the study to observe a true difference. Precision is typically measured as the coefficient of variation (CV%), or standard deviation divided by the mean times 100. Therefore, a lower CV% represents a more precise outcome. We compared the precision of our Proteograph with that of depletion, fractionation, and neat, by evaluating the same sample three times and calculating the CV% for the detected peptides and proteins. On average across the peptides, the median precision was 16.9 CV%. At this level of performance, our Proteograph has 80% statistical power to detect a 50% change in a peptide levels with only ten samples per sample group. Our Proteograph analysis shows lower CV%s than fractionation and depletion methods, which is notable since we achieve lower CV%s while concurrently sampling significantly more proteins, as shown in the figure below. In general, in unbiased assays, CV%s are expected to increase as the number of analytes detected increases. However, our Proteograph can increase the number of analytes that it detects while achieving comparatively better CV%s. Although neat plasma has a lower CV%, it is limited in the breadth of protein coverage to 312 proteins compared to 1,652 proteins sampled by our Proteograph.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95885</wp:posOffset>
            </wp:positionV>
            <wp:extent cx="1714500" cy="26403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848"/>
          </w:cols>
          <w:pgMar w:left="652" w:top="117" w:right="399" w:bottom="1440" w:gutter="0" w:footer="0" w:header="0"/>
        </w:sectPr>
      </w:pPr>
    </w:p>
    <w:bookmarkStart w:id="105" w:name="page106"/>
    <w:bookmarkEnd w:id="105"/>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40" w:hanging="328"/>
        <w:spacing w:after="0" w:line="253"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Rapid and large-scale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Proteograph enables rapid and large-scale proteomic sample processing in a seven-hour workflow, compared to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unbiased solutions that can take days to weeks. We recently reviewed major published plasma and serum proteomics studies from 2016 to 2019 to compare protein coverage, throughput and sample size. We have compared the results of 14 published unbiased, deep proteomics studies with the results from our recent </w:t>
      </w:r>
      <w:r>
        <w:rPr>
          <w:rFonts w:ascii="Times New Roman" w:cs="Times New Roman" w:eastAsia="Times New Roman" w:hAnsi="Times New Roman"/>
          <w:sz w:val="18"/>
          <w:szCs w:val="18"/>
          <w:i w:val="1"/>
          <w:iCs w:val="1"/>
          <w:color w:val="auto"/>
        </w:rPr>
        <w:t>Nature Communications</w:t>
      </w:r>
      <w:r>
        <w:rPr>
          <w:rFonts w:ascii="Times New Roman" w:cs="Times New Roman" w:eastAsia="Times New Roman" w:hAnsi="Times New Roman"/>
          <w:sz w:val="18"/>
          <w:szCs w:val="18"/>
          <w:color w:val="auto"/>
        </w:rPr>
        <w:t xml:space="preserve"> paper (Blume et al.). While unbiased proteomics studies are vastly different in terms of their workflows, they may be considered more comparable in the quantifiable outputs of protein coverage, the amount of MS time required for the study and number of samples in the study. We only utilize the published MS time and did not account for up-front sample processing time. We examined these three outputs from the literature review against our published study. While we do not consider this to be a head-to-head comparison, it does provide general guidance to understand the comparative performance of our assay. We observed an average protein coverage of 1,960, with an average throughput of 1.5 proteins per minute, and average study size of 15 samples. This compares to our protein coverage of 2,094, a throughput of 14.2 proteins per minute, and study size of 141 samples. This advantage in throughput reflects only the MS time and does not include the additional throughput advantages of our Proteograph automation instrument, which enables simpler and faster sample processing, which is otherwise also a lengthy part of unbiased studies.</w:t>
      </w:r>
    </w:p>
    <w:p>
      <w:pPr>
        <w:spacing w:after="0" w:line="140"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studies demonstrate that our Proteograph Product Suite has a unique combination of attributes spanning breadth, depth, accuracy and precision of measurement and throughput necessary for large-scale proteomics studies. We believe our Proteograph will broadly appeal to researchers seeking an easy to use, scalable approach for such studies.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proteome comprises millions of protein variants whose expression varies by cell, tissue, organ and system, as well as across time, and whose interaction with other proteins and biomolecules are essential to driving health and disease. No commercial product has existed that enables researchers to assess the proteome deeply, broadly, rapidly and at scale across thousands of samples. Despite this limitation, researchers rely on laborious, expensive and complex methods to survey as much of the proteome as they can. While NGS transformed life sciences end-markets through massively parallel access to the genome, lack of similar unbiased, deep, rapid and large-scale capabilities has to date evaded the field of proteomics. We believe our Proteograph enables such access to the proteome, and will allow researchers to undertake the scale of studies we believe are needed to understand the complexity of the proteome, and by extension biology.</w:t>
      </w:r>
    </w:p>
    <w:p>
      <w:pPr>
        <w:spacing w:after="0" w:line="13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believe the two primary near-term markets for our Proteograph are the proteomics market, which was $32 billion in 2019, according to Allied Market Research, and the genomics market, which was $21 billion in 2019, according to Technavio. Within these markets, potential applications of our Proteograph span basic research and discovery, translational research, diagnostics and applied applications. Of the $32 billion proteomics market, $25 billion is estimated to be spent on reagents, $5 billion on instruments, and $2 billion on services. In the near-term, we believe we will compete in both the proteomics reagent and instrument markets. Furthermore, the $21 billion genomics market consists of approximately $13 billion spent on products and $7 billion spent on services. In the near-term, we believe we will be able to garner spend from both products and services as genomic customers link genotype to phenotype by supplementing existing genomic data with proteomics data. While we initially plan to sell and market our Proteograph for RUO, we believe that the capabilities of our Proteograph Product Suite may enable our customers to use our Proteograph in other applications. While we currently do not intend to pursue clinical diagnostics applications, we may in the future seek premarket approval or clearance for our Proteograph in order to allow our customers to use our Proteograph in other product offerings. We believe that our Proteograph’s unique value proposition will resonate with proteomics researchers who already value deep and unbiased proteomic information, and who desire to scale experiments to far greater sample sizes at a fraction of the time and cost of current approaches. We also believe that as more genomics researchers incorporate other -omics approaches to elucidate key genomic findings, our Proteograph will uniquely provide large-scale, unbiased and deep proteomic information to complement genomic information, and enable researchers to gain a clearer picture of biology and a deeper understanding of genomic risk factors. Longer-term, we believe that the capabilities offered by our Proteograph and future products may potentially lead to new end-markets, applications, and business models that complement existing proteomics and genomics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20"/>
          </w:cols>
          <w:pgMar w:left="320" w:top="117" w:right="359" w:bottom="1440" w:gutter="0" w:footer="0" w:header="0"/>
        </w:sectPr>
      </w:pPr>
    </w:p>
    <w:bookmarkStart w:id="106" w:name="page107"/>
    <w:bookmarkEnd w:id="106"/>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808355</wp:posOffset>
            </wp:positionV>
            <wp:extent cx="5349240" cy="2091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Proteomics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Allied Market Research estimates the global proteomics market was $32 billion in 2019, and is expected to grow to $64 billion in 2024, representing a 15% compound annual growth rate. According to Allied Market Research, 60% of the proteomics market is focused on life sciences research, 35% for clinical applications and 5% other applications. Products in the proteomics market include spectrometry, microarray and chromatography instruments as well as reagents, used for both unbiased and biased proteomics. The majority of proteomic analysis to date either relies on biased or targeted methods or expensive, complex, and laborious unbiased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deep methods that are applied only to tens of samples versus the thousands needed to power large-scale studies. Few methods are based on capture of intact proteins that enable analysis of proteome complexity at the level of amino acid variants, PTMs and PPIs, all of which have the potential to generate important biological insights. We believe the unique capabilities of our Proteograph will appeal to researchers either as a complement or substitute for current approaches, or in creating an entirely novel path to survey the proteome. We estimate that there are approximately 16,000 MS instruments with configurations typically used to perform proteomic analysis installed worldwide. Since our Proteograph can leverage most MS instruments as a detector, we believe that we can take advantage of this installed base to accelerate adoption of our Proteograph. We believe that we have an opportunity to provide a strong alternative to both unbiased and biased proteomics approaches, particularly in the discovery of new biology, and to grow the proteomics market by enabling new applications for unbiased proteomics. These applications currently span research, translational and clinical settings, and we believe that our Proteograph can address all these applications over time.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Technavio estimates the global genomics market was $21 billion in 2019 and is expected to grow to $38 billion by 2024, representing a 13% compound annual growth rate. Over the last fifteen years, application of large-scale genomics across the population has led to discovery of approximately 695 million individual human variants and it is expected the total number of such variants will only expand as more exomes and genomes are sequenced. However, despite this impressive rate of variant discovery, fewer than 0.2% of those variants have been cataloged in the ClinVar database with a reported relationship between genetic variation and phenotype. We believe that large-scale deep, unbiased proteomics studies, such as those our Proteograph could enable, will provide important missing biological information to improve functional characterization of genomic variants. In genomics markets, complementing large-scale genomics analysis with large-scale proteomic analysis has the potential to enhance and accelerate our understanding of biology, human health and ultimately the treatment of disease. Therefore, we believe our Proteograph can appeal to an increasing number of genomics customers, especially those in translational settings, who are looking to leverage multi-omics approaches to further annotate genomic variants in terms of function and connect genotype to phenotype.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20"/>
          </w:cols>
          <w:pgMar w:left="320" w:top="117" w:right="359" w:bottom="1440" w:gutter="0" w:footer="0" w:header="0"/>
        </w:sectPr>
      </w:pPr>
    </w:p>
    <w:bookmarkStart w:id="107" w:name="page108"/>
    <w:bookmarkEnd w:id="107"/>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 Markets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also believe that our Proteograph Product Suite will enable novel applications and insights leading to new end-markets, similar to the impact that broad access to genomics products have had in creating new applications, end-markets and business models. For example, non-invasive prenatal testing and precision oncology currently make up a significant part of the current $21 billion genomics market, yet we believe that it would have been difficult to anticipate these market opportunities a decade ago. We believe the same dynamic of new market creation will occur in proteomics. One such application for proteomics is early disease detection. We recently spun out a new entity, PrognomIQ, Inc. (PrognomIQ), which aims to develop and commercialize novel diagnostic tests that leverage our Proteograph, in combination with genomics and metabolomics information, and will be a participant in the existing ecosystem of early disease detection. More broadly, we believe our Proteograph has the potential to further stimulate growth of new applications and end-markets in additional ecosystems.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Advantages of Our Proteograph Product Suite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our Proteograph Product Suite and its underlying NP technology have the following advantages:</w:t>
      </w:r>
    </w:p>
    <w:p>
      <w:pPr>
        <w:spacing w:after="0" w:line="167" w:lineRule="exact"/>
        <w:rPr>
          <w:sz w:val="20"/>
          <w:szCs w:val="20"/>
          <w:color w:val="auto"/>
        </w:rPr>
      </w:pPr>
    </w:p>
    <w:p>
      <w:pPr>
        <w:ind w:left="340" w:right="60" w:hanging="332"/>
        <w:spacing w:after="0" w:line="257" w:lineRule="auto"/>
        <w:tabs>
          <w:tab w:leader="none" w:pos="3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Proteograph Product Suite is expected to be the first commercially available solution to provide the combination of unbiased, deep, rapid and large-scale access to the proteome. </w:t>
      </w:r>
      <w:r>
        <w:rPr>
          <w:rFonts w:ascii="Times New Roman" w:cs="Times New Roman" w:eastAsia="Times New Roman" w:hAnsi="Times New Roman"/>
          <w:sz w:val="18"/>
          <w:szCs w:val="18"/>
          <w:color w:val="auto"/>
        </w:rPr>
        <w:t>While other proteomics technologies exist today, we believe that our Proteograph is the first and only product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the combination of these four attributes in a single integrated solution with an easy-to-use workflow. We believe these capabilities fill a gap that to date has been one of the rate-limiting steps in unlocking the complexity of biology. This creates a unique opportunity for us to drive widespread adoption of our Proteograph, transform proteomics and biological research, and establish our Proteograph as the industry standard for generating deep, unbiased proteomic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95250</wp:posOffset>
            </wp:positionV>
            <wp:extent cx="5349240" cy="2434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right="60" w:hanging="332"/>
        <w:spacing w:after="0" w:line="255" w:lineRule="auto"/>
        <w:tabs>
          <w:tab w:leader="none" w:pos="3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Proteograph Product Suite provides insight into protein variation and PPIs at a depth and scale that we believe sets a new standard for unbiased and deep proteomics, and is unattainable with other existing approaches. </w:t>
      </w:r>
      <w:r>
        <w:rPr>
          <w:rFonts w:ascii="Times New Roman" w:cs="Times New Roman" w:eastAsia="Times New Roman" w:hAnsi="Times New Roman"/>
          <w:sz w:val="18"/>
          <w:szCs w:val="18"/>
          <w:color w:val="auto"/>
        </w:rPr>
        <w:t>The ability to observe the myriad of possible protein variations,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go beyond simple total protein abundance, with the accuracy and precision necessary to extract useful insights across large numbers of subjects, is a key differentiating attribute of our Proteograph. Furthermore, capturing these variations at scale enables synergistic insights when combined with genomic variations, finally enabling the development of informative, individualized models of biology at population scale. As noted in the figure above, biased approaches can capture individual proteins at scale, but are not readily able to capture protein variants at scale. Current unbiased approaches are able to capture some protein variants at the peptide level and can capture polymorphisms and PTMs, but not at scale. Moreover, these unbiased approaches are not able to capture PPIs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17" w:right="339" w:bottom="1440" w:gutter="0" w:footer="0" w:header="0"/>
        </w:sectPr>
      </w:pPr>
    </w:p>
    <w:bookmarkStart w:id="108" w:name="page109"/>
    <w:bookmarkEnd w:id="108"/>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and protein pathway information at scale. We believe that our Proteograph is uniquely positioned to fully capture the breadth, depth and the complexity of the proteome at scale.</w:t>
      </w:r>
    </w:p>
    <w:p>
      <w:pPr>
        <w:spacing w:after="0" w:line="104" w:lineRule="exact"/>
        <w:rPr>
          <w:sz w:val="20"/>
          <w:szCs w:val="20"/>
          <w:color w:val="auto"/>
        </w:rPr>
      </w:pPr>
    </w:p>
    <w:p>
      <w:pPr>
        <w:ind w:left="340" w:right="240" w:hanging="332"/>
        <w:spacing w:after="0" w:line="255" w:lineRule="auto"/>
        <w:tabs>
          <w:tab w:leader="none" w:pos="3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Proteograph Product Suite was designed to enable broad adoption across a wide variety of customers in both decentralized and centralized settings. </w:t>
      </w:r>
      <w:r>
        <w:rPr>
          <w:rFonts w:ascii="Times New Roman" w:cs="Times New Roman" w:eastAsia="Times New Roman" w:hAnsi="Times New Roman"/>
          <w:sz w:val="18"/>
          <w:szCs w:val="18"/>
          <w:color w:val="auto"/>
        </w:rPr>
        <w:t>Our Proteograph is an integrated solution comprised of consumables, an automation instrument and software, and was designed to deliver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ease-of-use, efficiency, robustness and reproducibility of results and to complement existing laboratory infrastructure. Our Proteograph’s simple and integrated workflow enables the customer to use their own MS instrument or leverage a widely available installed base of MS instruments . We estimate that there are approximately 16,000 MS instruments with configurations typically used to perform proteomic analysis installed worldwide. Since our Proteograph can leverage most MS instruments as a detector, we believe that we can take advantage of this installed base to accelerate adoption of our Proteograph. We believe these characteristics will facilitate broad adoption of our Proteograph across a variety of laboratories and institutions in both decentralized and centralized settings.</w:t>
      </w:r>
    </w:p>
    <w:p>
      <w:pPr>
        <w:spacing w:after="0" w:line="130" w:lineRule="exact"/>
        <w:rPr>
          <w:rFonts w:ascii="Times New Roman" w:cs="Times New Roman" w:eastAsia="Times New Roman" w:hAnsi="Times New Roman"/>
          <w:sz w:val="18"/>
          <w:szCs w:val="18"/>
          <w:color w:val="auto"/>
        </w:rPr>
      </w:pPr>
    </w:p>
    <w:p>
      <w:pPr>
        <w:ind w:left="340" w:right="60" w:hanging="332"/>
        <w:spacing w:after="0" w:line="255" w:lineRule="auto"/>
        <w:tabs>
          <w:tab w:leader="none" w:pos="3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proprietary engineered NPs are a core technology from which we can develop a range of products, applications and platforms.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evaluated over 250 different NPs with diverse sets of physicochemical properties, from which our five NPs for our first Proteograph assay were selected. From our growing and diverse NP library, we can develop new arrays of NP consumables that address a variety of applications and customer needs. We plan to use machine learning techniques and apply large-scale data analyses of our NP binding properties to understand relationships between NP surfaces and protein binding and interactions in order to rationally design our NP panels. Our NPs are versatile and can be designed to work with different sample types from plasma to homogenized tissue and collect proteomic, molecular and other -omics information. We believe these characteristics will enable development of additional differentiated products to enable our customers to utilize applications across the life sciences industry, ranging from basic research and discovery, translational research, diagnostics and applied applications.</w:t>
      </w:r>
    </w:p>
    <w:p>
      <w:pPr>
        <w:spacing w:after="0" w:line="130" w:lineRule="exact"/>
        <w:rPr>
          <w:rFonts w:ascii="Times New Roman" w:cs="Times New Roman" w:eastAsia="Times New Roman" w:hAnsi="Times New Roman"/>
          <w:sz w:val="18"/>
          <w:szCs w:val="18"/>
          <w:color w:val="auto"/>
        </w:rPr>
      </w:pPr>
    </w:p>
    <w:p>
      <w:pPr>
        <w:ind w:left="340" w:right="40" w:hanging="332"/>
        <w:spacing w:after="0" w:line="257" w:lineRule="auto"/>
        <w:tabs>
          <w:tab w:leader="none" w:pos="3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NP technology inherently provides significant operational leverage in research and development, manufacturing and commercialization. </w:t>
      </w:r>
      <w:r>
        <w:rPr>
          <w:rFonts w:ascii="Times New Roman" w:cs="Times New Roman" w:eastAsia="Times New Roman" w:hAnsi="Times New Roman"/>
          <w:sz w:val="18"/>
          <w:szCs w:val="18"/>
          <w:color w:val="auto"/>
        </w:rPr>
        <w:t>NPs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efficient to design, develop and manufacture. We believe we will be able to rapidly increase and deploy our understanding of NP design to develop new products with our software and data analytics capabilities. In the NP manufacturing process, we use well-characterized inputs and methods, which require relatively modest capital equipment and space investments. Since our core technology resides in the NP consumables, not the instrument, new products will often involve commercializing new NP assays and software that can be run on the existing instrumentation. This capital-efficient and labor-efficient model has the potential to provide significant operating leverage to our organization.</w:t>
      </w:r>
    </w:p>
    <w:p>
      <w:pPr>
        <w:spacing w:after="0" w:line="128" w:lineRule="exact"/>
        <w:rPr>
          <w:rFonts w:ascii="Times New Roman" w:cs="Times New Roman" w:eastAsia="Times New Roman" w:hAnsi="Times New Roman"/>
          <w:sz w:val="18"/>
          <w:szCs w:val="18"/>
          <w:color w:val="auto"/>
        </w:rPr>
      </w:pPr>
    </w:p>
    <w:p>
      <w:pPr>
        <w:ind w:left="340" w:right="160" w:hanging="332"/>
        <w:spacing w:after="0" w:line="256" w:lineRule="auto"/>
        <w:tabs>
          <w:tab w:leader="none" w:pos="3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Proteograph Product Suite has the potential to provide sustainable differentiation. </w:t>
      </w:r>
      <w:r>
        <w:rPr>
          <w:rFonts w:ascii="Times New Roman" w:cs="Times New Roman" w:eastAsia="Times New Roman" w:hAnsi="Times New Roman"/>
          <w:sz w:val="18"/>
          <w:szCs w:val="18"/>
          <w:color w:val="auto"/>
        </w:rPr>
        <w:t>Our Proteograph is uniquely capable of generating robust,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reproducible, deep and unbiased proteomic data, and as more of this data gets created over our time and used by more customers to generate insights, we expect to create a virtuous cycle that will fuel further adoption of our Proteograph throughout the industry. Our Proteograph was designed to fully integrate with customer workflows and provide a unique user experience, supported by our software packages, to create a sustainable solution within our customers’ organizations. Our Proteograph automation instrument and NP technology are covered by five issued patents and over 25 pending patent applications, worldwide, as of September 30, 2020, covering improvements in NPs, assay methods and ways to leverage proteomic data and information for life sciences research and clinical diagnostic and drug discovery applications.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aim to enable exceptional scientific outcomes by commercializing transformative products for researchers to unlock deep, unbiased biological information. Our growth strategy is to:</w:t>
      </w:r>
    </w:p>
    <w:p>
      <w:pPr>
        <w:spacing w:after="0" w:line="104" w:lineRule="exact"/>
        <w:rPr>
          <w:sz w:val="20"/>
          <w:szCs w:val="20"/>
          <w:color w:val="auto"/>
        </w:rPr>
      </w:pPr>
    </w:p>
    <w:p>
      <w:pPr>
        <w:ind w:left="340" w:right="660" w:hanging="332"/>
        <w:spacing w:after="0" w:line="268" w:lineRule="auto"/>
        <w:tabs>
          <w:tab w:leader="none" w:pos="33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 adoption of our Proteograph Product Suite to enable researchers to create large-scale unbiased proteomic datasets that generate transformative scientific insights. </w:t>
      </w:r>
      <w:r>
        <w:rPr>
          <w:rFonts w:ascii="Times New Roman" w:cs="Times New Roman" w:eastAsia="Times New Roman" w:hAnsi="Times New Roman"/>
          <w:sz w:val="18"/>
          <w:szCs w:val="18"/>
          <w:color w:val="auto"/>
        </w:rPr>
        <w:t>Our initial product, the Proteograph, uniquely enables researchers and clinicians to generate unbiased, deep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proteomic information at speed and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17" w:right="339" w:bottom="1440" w:gutter="0" w:footer="0" w:header="0"/>
        </w:sectPr>
      </w:pPr>
    </w:p>
    <w:bookmarkStart w:id="109" w:name="page110"/>
    <w:bookmarkEnd w:id="109"/>
    <w:p>
      <w:pPr>
        <w:ind w:left="332"/>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2" w:right="100"/>
        <w:spacing w:after="0" w:line="258" w:lineRule="auto"/>
        <w:rPr>
          <w:sz w:val="20"/>
          <w:szCs w:val="20"/>
          <w:color w:val="auto"/>
        </w:rPr>
      </w:pPr>
      <w:r>
        <w:rPr>
          <w:rFonts w:ascii="Times New Roman" w:cs="Times New Roman" w:eastAsia="Times New Roman" w:hAnsi="Times New Roman"/>
          <w:sz w:val="18"/>
          <w:szCs w:val="18"/>
          <w:color w:val="auto"/>
        </w:rPr>
        <w:t>which are not possible today. The utility and potential applications of these capabilities are broad, spanning across basic research and discovery, translational research, diagnostics and applied applications. We believe our first NP assay for our Proteograph is particularly well suited to address the core needs of researchers focused on basic and translational research and diagnostics. We intend to drive adoption of our Proteograph through a three phase commercial launch plan that includes an initial collaboration phase with key opinion leaders, then an early access limited availability phase in 2021 to initiate and build momentum of customer references, and finally broad commercial availability in early 2022.</w:t>
      </w:r>
    </w:p>
    <w:p>
      <w:pPr>
        <w:spacing w:after="0" w:line="125" w:lineRule="exact"/>
        <w:rPr>
          <w:sz w:val="20"/>
          <w:szCs w:val="20"/>
          <w:color w:val="auto"/>
        </w:rPr>
      </w:pPr>
    </w:p>
    <w:p>
      <w:pPr>
        <w:ind w:left="332" w:right="20" w:hanging="332"/>
        <w:spacing w:after="0" w:line="256" w:lineRule="auto"/>
        <w:tabs>
          <w:tab w:leader="none" w:pos="32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 in market development activities to increase awareness of the importance of large-scale proteomic data and the ability to access it</w:t>
      </w:r>
      <w:r>
        <w:rPr>
          <w:rFonts w:ascii="Times New Roman" w:cs="Times New Roman" w:eastAsia="Times New Roman" w:hAnsi="Times New Roman"/>
          <w:sz w:val="18"/>
          <w:szCs w:val="18"/>
          <w:color w:val="auto"/>
        </w:rPr>
        <w:t>. In order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expand and accelerate demand for our products, particularly as new applications are created and adopted by customers, we plan to invest in market development activities to educate prospective customers, funding bodies, commercial entities, government-sponsored -omics programs, and other stakeholders of the importance and value of large-scale unbiased and deep proteomic data. These activities will likely include collaborations with key opinion leaders, generation of peer-reviewed publications, sponsorship of targeted projects, joint publications and seminars, and industry partnerships. These activities aim to establish the value of large-scale unbiased and deep proteomic data, and demonstrate the unique capabilities offered by our products.</w:t>
      </w:r>
    </w:p>
    <w:p>
      <w:pPr>
        <w:spacing w:after="0" w:line="128" w:lineRule="exact"/>
        <w:rPr>
          <w:rFonts w:ascii="Times New Roman" w:cs="Times New Roman" w:eastAsia="Times New Roman" w:hAnsi="Times New Roman"/>
          <w:sz w:val="18"/>
          <w:szCs w:val="18"/>
          <w:color w:val="auto"/>
        </w:rPr>
      </w:pPr>
    </w:p>
    <w:p>
      <w:pPr>
        <w:ind w:left="332" w:hanging="332"/>
        <w:spacing w:after="0" w:line="257" w:lineRule="auto"/>
        <w:tabs>
          <w:tab w:leader="none" w:pos="32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Continually innovate to develop and commercialize additional transformative products to access the proteome and accelerate our understanding of biology</w:t>
      </w:r>
      <w:r>
        <w:rPr>
          <w:rFonts w:ascii="Times New Roman" w:cs="Times New Roman" w:eastAsia="Times New Roman" w:hAnsi="Times New Roman"/>
          <w:sz w:val="18"/>
          <w:szCs w:val="18"/>
          <w:color w:val="auto"/>
        </w:rPr>
        <w:t>. We aim to continually innovate and develop new products, applications, workflows and analysis tools that simplify and accelerate researchers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clinicians’ ability to generate proteomic data and to connect proteomic data to genomic and transcriptomic data that drive novel biological insights. As leaders in NGS have demonstrated, our sustainable advantage will come from continual development and commercialization of new products and applications based on our technology, and we will drive innovation through both internal R&amp;D projects and from collaborations with customers and partners.</w:t>
      </w:r>
    </w:p>
    <w:p>
      <w:pPr>
        <w:spacing w:after="0" w:line="128" w:lineRule="exact"/>
        <w:rPr>
          <w:rFonts w:ascii="Times New Roman" w:cs="Times New Roman" w:eastAsia="Times New Roman" w:hAnsi="Times New Roman"/>
          <w:sz w:val="18"/>
          <w:szCs w:val="18"/>
          <w:color w:val="auto"/>
        </w:rPr>
      </w:pPr>
    </w:p>
    <w:p>
      <w:pPr>
        <w:ind w:left="332" w:right="120" w:hanging="332"/>
        <w:spacing w:after="0" w:line="259" w:lineRule="auto"/>
        <w:tabs>
          <w:tab w:leader="none" w:pos="32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Rapidly build our commercial infrastructure and NP manufacturing capabilities to provide for our commercial launch in the United States and internationally. </w:t>
      </w:r>
      <w:r>
        <w:rPr>
          <w:rFonts w:ascii="Times New Roman" w:cs="Times New Roman" w:eastAsia="Times New Roman" w:hAnsi="Times New Roman"/>
          <w:sz w:val="18"/>
          <w:szCs w:val="18"/>
          <w:color w:val="auto"/>
        </w:rPr>
        <w:t>We are initially building our commercial infrastructure to sell and support our products directly in the United States, the European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Union and United Kingdom. We expect to expand access to our products in other geographies, starting with select countries in Asia Pacific through distributors, and eventually to the rest of the world. We are also scaling our NP manufacturing capabilities in our facility in Redwood City, California, and will continually evaluate and optimize our manufacturing and supply chain footprint to meet our business objectives.</w:t>
      </w:r>
    </w:p>
    <w:p>
      <w:pPr>
        <w:spacing w:after="0" w:line="125" w:lineRule="exact"/>
        <w:rPr>
          <w:rFonts w:ascii="Times New Roman" w:cs="Times New Roman" w:eastAsia="Times New Roman" w:hAnsi="Times New Roman"/>
          <w:sz w:val="18"/>
          <w:szCs w:val="18"/>
          <w:color w:val="auto"/>
        </w:rPr>
      </w:pPr>
    </w:p>
    <w:p>
      <w:pPr>
        <w:ind w:left="332" w:right="40" w:hanging="332"/>
        <w:spacing w:after="0" w:line="256" w:lineRule="auto"/>
        <w:tabs>
          <w:tab w:leader="none" w:pos="32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Foster the creation of an ecosystem of customers, partners and collaborators whose expertise and offerings complement and enhance the power and utility of our products. </w:t>
      </w:r>
      <w:r>
        <w:rPr>
          <w:rFonts w:ascii="Times New Roman" w:cs="Times New Roman" w:eastAsia="Times New Roman" w:hAnsi="Times New Roman"/>
          <w:sz w:val="18"/>
          <w:szCs w:val="18"/>
          <w:color w:val="auto"/>
        </w:rPr>
        <w:t>We intend to seed and develop a new ecosystem of applications and organizations that can take advantage of large-scale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proteomic analysis. This ecosystem can include areas such as disease detection, large-scale population studies, agriculture, environmental monitoring and food safety. Much as we have seen large-scale genomic analysis spur new innovations in non-invasive prenatal testing, early cancer detection and recurrence monitoring, we believe large-scale proteomics will enhance these markets and spur the development of new markets and applications. To help seed the growth of this ecosystem, we recently spun-out a new company called PrognomIQ, which plans to develop and commercialize diagnostic tests for early disease detection, leveraging our Proteograph in combination with other -omics technologies.</w:t>
      </w:r>
    </w:p>
    <w:p>
      <w:pPr>
        <w:spacing w:after="0" w:line="128" w:lineRule="exact"/>
        <w:rPr>
          <w:rFonts w:ascii="Times New Roman" w:cs="Times New Roman" w:eastAsia="Times New Roman" w:hAnsi="Times New Roman"/>
          <w:sz w:val="18"/>
          <w:szCs w:val="18"/>
          <w:color w:val="auto"/>
        </w:rPr>
      </w:pPr>
    </w:p>
    <w:p>
      <w:pPr>
        <w:ind w:left="332" w:right="20" w:hanging="332"/>
        <w:spacing w:after="0" w:line="257" w:lineRule="auto"/>
        <w:tabs>
          <w:tab w:leader="none" w:pos="32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proprietary engineered NP technology to analyze molecules beyond proteins. </w:t>
      </w:r>
      <w:r>
        <w:rPr>
          <w:rFonts w:ascii="Times New Roman" w:cs="Times New Roman" w:eastAsia="Times New Roman" w:hAnsi="Times New Roman"/>
          <w:sz w:val="18"/>
          <w:szCs w:val="18"/>
          <w:color w:val="auto"/>
        </w:rPr>
        <w:t>Given the inherent flexibility and ability to synthesize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myriad NPs, we intend to seek over the long-term to expand the scope of our propriety engineered NP technology to analyze other biomolecules such nucleic acids, metabolites and small molecules among others. As we continue to work closely with our initial and future customers, we will better understand their needs and requirements, which will inform our product development pathway and development of our library of NPs and our software capabilities to address other -omics applications. We believe our management’s knowledge and experience in both the proteomics and genomics markets will position us to take advantage of such new expansion opportunities as they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32"/>
          </w:cols>
          <w:pgMar w:left="328" w:top="117" w:right="339" w:bottom="1440" w:gutter="0" w:footer="0" w:header="0"/>
        </w:sectPr>
      </w:pPr>
    </w:p>
    <w:bookmarkStart w:id="110" w:name="page111"/>
    <w:bookmarkEnd w:id="110"/>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Applications of our Proteograph Product Suite</w:t>
      </w:r>
    </w:p>
    <w:p>
      <w:pPr>
        <w:spacing w:after="0" w:line="175"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We believe the ability to generate unbiased, deep proteomic data at scale, with rich content at the protein variant level will have broad applications in proteomics, encompassing basic research and discovery, translational research, diagnostics and applied markets. We believe this data will be used in many of the same application areas as are used with genomics data, proteomics applications that are uniquely possible with unbiased proteomic data, and in new applications that the field will develop in the future.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Basic Research and Discovery Applications</w:t>
      </w:r>
    </w:p>
    <w:p>
      <w:pPr>
        <w:spacing w:after="0" w:line="17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believe that researchers will use our Proteograph for a variety of basic research and discovery applications, including cataloging protein diversity, proteogenomics and exploring the interactome. While researchers are pursing these applications today, the studies are either limited in scale due to the complex workflows of current unbiased methods or the limited set of ASRs that are available for biased methods. Our Proteograph is designed to enable the use of unbiased proteomic data at scale, which we believe will greatly accelerate these areas of basic research and discovery.</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Cataloging protein diversity</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Proteograph is designed to enable researchers to broadly explore the complexity and diversity of the proteome at the peptide and amino acid levels and discover many distinct protein variants. This is analogous to how NGS enabled genomic researchers to change their experimental focus from exploring genes to exploring exons and nucleotides, revealing approximately 695 million genetic variants to date. We expect that researchers will use our Proteograph to catalog these protein variants much like the cataloging of genetic variants that occurred over the past fifteen years, and this will uniquely provide functional context at a scale that is not accessible today with other proteomics methods. We believe the utility of these protein variants has the potential to impact a broad spectrum of the life sciences field.</w:t>
      </w:r>
    </w:p>
    <w:p>
      <w:pPr>
        <w:spacing w:after="0" w:line="13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figure below shows the type of protein cataloging possible with our Proteograph Product Suite. Interrogating the protein data from our previously published work in </w:t>
      </w:r>
      <w:r>
        <w:rPr>
          <w:rFonts w:ascii="Times New Roman" w:cs="Times New Roman" w:eastAsia="Times New Roman" w:hAnsi="Times New Roman"/>
          <w:sz w:val="18"/>
          <w:szCs w:val="18"/>
          <w:i w:val="1"/>
          <w:iCs w:val="1"/>
          <w:color w:val="auto"/>
        </w:rPr>
        <w:t>Nature Communications</w:t>
      </w:r>
      <w:r>
        <w:rPr>
          <w:rFonts w:ascii="Times New Roman" w:cs="Times New Roman" w:eastAsia="Times New Roman" w:hAnsi="Times New Roman"/>
          <w:sz w:val="18"/>
          <w:szCs w:val="18"/>
          <w:color w:val="auto"/>
        </w:rPr>
        <w:t xml:space="preserve"> (Blume et al.), we illustrate below that our Proteograph can identify a range of peptides for the proteins in plasma samples from lung cancer patients and healthy controls, which is not feasible or practical using a biased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88900</wp:posOffset>
            </wp:positionV>
            <wp:extent cx="2571750" cy="2537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717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17" w:right="339" w:bottom="1440" w:gutter="0" w:footer="0" w:header="0"/>
        </w:sectPr>
      </w:pPr>
    </w:p>
    <w:bookmarkStart w:id="111" w:name="page112"/>
    <w:bookmarkEnd w:id="111"/>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following figure, we have analyzed the Bone Morphogenic Protein 1 (BMP1) gene, which is known to have seven variants at the RNA level from alternative splicing and four variants at the protein level. Of these four variants, two are the long form and two are the short form of the BMP1 protein. Among the peptides that our Proteograph detected in this study, six specific peptides came from various parts of BMP1. Interestingly, the short form of the BMP1 protein was expressed predominantly in cancer patients, whereas the long forms of the protein were seen more often among the healthy controls. According to Pubmed, this observation has not been previously reported in the literature and may merit further investigation for the potential role of different BMP1 protein variants in health and cancer. We believe that researchers will therefore use our Proteograph to pursue large-scale proteomics studies in order to generate data that may link disease biology to protein variants produced from alternative RNA splicing, alternative transcription and from PTMs.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99060</wp:posOffset>
            </wp:positionV>
            <wp:extent cx="4714875" cy="3437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14875"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cataloging protein variants, researchers can also gain valuable insights with PTMs, such as phosphorylation. These PTMs are dynamic and the resulting protein variants can be seen with different states of health and disease. The figure below shows the differences in the ratio of phosphorylated to unphosphorylated states of a specific peptide within Heparin Co-factor 2 across 14 samples taken from each group of early and late stage lung cancer patients, healthy and comorbid controls. We show that the phosphorylation state of this peptide may vary as the disease state varies. Heparin Co-factor 2 has been previously shown to play a role in cancer and is associated with over-expression in lung cancer (Liao et al.). The phosphorylation observations below may merit further investigation for their roles in lung cancer. We believe that as researchers pursue large-scale proteomics studies, the literature that links disease biology to protein variants produced from alternative RNA splicing and from PTMs will exponentially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40"/>
          </w:cols>
          <w:pgMar w:left="320" w:top="117" w:right="439" w:bottom="1440" w:gutter="0" w:footer="0" w:header="0"/>
        </w:sectPr>
      </w:pPr>
    </w:p>
    <w:bookmarkStart w:id="112" w:name="page113"/>
    <w:bookmarkEnd w:id="112"/>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808355</wp:posOffset>
            </wp:positionV>
            <wp:extent cx="1714500" cy="2768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Proteogenomics</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Proteogenomics is an emerging area of research, whereby personalized protein sequence databases are generated using genomic and transcriptomic information to help identify novel peptides. In turn, the proteomic data provides functional context to genomic information and refines gene expression models for transcriptomic information. Our Proteograph generates large-scale unbiased proteomic data, which will facilitate mapping protein variants to genomic variants, and therefore, the advancement of the emerging proteogenomics field. As an example, we performed individual exon-based sequencing on 29 patient samples from our previously published proteomics work in </w:t>
      </w:r>
      <w:r>
        <w:rPr>
          <w:rFonts w:ascii="Times New Roman" w:cs="Times New Roman" w:eastAsia="Times New Roman" w:hAnsi="Times New Roman"/>
          <w:sz w:val="18"/>
          <w:szCs w:val="18"/>
          <w:i w:val="1"/>
          <w:iCs w:val="1"/>
          <w:color w:val="auto"/>
        </w:rPr>
        <w:t>Nature Communications</w:t>
      </w:r>
      <w:r>
        <w:rPr>
          <w:rFonts w:ascii="Times New Roman" w:cs="Times New Roman" w:eastAsia="Times New Roman" w:hAnsi="Times New Roman"/>
          <w:sz w:val="18"/>
          <w:szCs w:val="18"/>
          <w:color w:val="auto"/>
        </w:rPr>
        <w:t xml:space="preserve"> (Blume et al.) to enable proteogenomic analysis on these samples and evaluate additional protein variants that could be revealed with the addition of genomic information. As shown in the left panel of the figure below, the sequencing information from these 29 samples, coupled to matching unbiased and deep analyses of the samples’ proteomic data using our Proteograph, yielded an average of approximately 70 predicted and confirmed peptide variations per sample. The right panel of the figure shows a subject who is heterozygous at the KLKB1 gene, which codes for the prekallikrein protein. This subject has both the reference allele for KLKB1 and a minor allele with a frequency of 0.01% in the population, resulting in a glycine to arginine amino acid change in the prekallikrein. Interestingly, we identified both prekallikrein variants in the plasma sample of this subject. Given the current level of access to genomic and transcriptomic information, as researchers conduct the large-scale proteomics studies that our Proteograph enables, we expect proteogenomic content to rapidly increase, providing functional information to existing genomics and gene expression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00"/>
          </w:cols>
          <w:pgMar w:left="320" w:top="117" w:right="379" w:bottom="1440" w:gutter="0" w:footer="0" w:header="0"/>
        </w:sectPr>
      </w:pPr>
    </w:p>
    <w:bookmarkStart w:id="113" w:name="page114"/>
    <w:bookmarkEnd w:id="113"/>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808355</wp:posOffset>
            </wp:positionV>
            <wp:extent cx="5349240" cy="26574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Interactome</w:t>
      </w:r>
    </w:p>
    <w:p>
      <w:pPr>
        <w:spacing w:after="0" w:line="17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interactome refers to the broad set of interaction networks among molecules, such as those interactions among proteins, also referred to as protein-protein interactions, or PPIs. Protein interaction networks have been used to infer the function of proteins. Different types of interaction maps can be composed by the research community for different applications. These include physical interactions or the functional pathway implications of these interactions. PPI network maps can be constructed by pegging individual proteins as nodes and linking proteins that interact to them by a drawn line. These maps naturally cluster into hubs of proteins that fall into related pathways or have related functions.</w:t>
      </w:r>
    </w:p>
    <w:p>
      <w:pPr>
        <w:spacing w:after="0" w:line="1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interrogated the plasma proteome of 276 subjects across early- and late-stage non-small-cell lung carcinoma (NSCLC), co-morbid and healthy controls. These subjects are a subset of those described in our </w:t>
      </w:r>
      <w:r>
        <w:rPr>
          <w:rFonts w:ascii="Times New Roman" w:cs="Times New Roman" w:eastAsia="Times New Roman" w:hAnsi="Times New Roman"/>
          <w:sz w:val="18"/>
          <w:szCs w:val="18"/>
          <w:i w:val="1"/>
          <w:iCs w:val="1"/>
          <w:color w:val="auto"/>
        </w:rPr>
        <w:t>Nature Communications</w:t>
      </w:r>
      <w:r>
        <w:rPr>
          <w:rFonts w:ascii="Times New Roman" w:cs="Times New Roman" w:eastAsia="Times New Roman" w:hAnsi="Times New Roman"/>
          <w:sz w:val="18"/>
          <w:szCs w:val="18"/>
          <w:color w:val="auto"/>
        </w:rPr>
        <w:t xml:space="preserve"> publication (Blume et al.). Using proteins detected in these samples, we analyzed potential PPI interactions using the STRING PPI database (Szklarczyk et al.). In the figure below, we show a map of healthy versus early- and late-stage NSCLC where each protein is represented as a node and colored by its relative abundance. Green represents high abundance of proteins and red represents low abundance relative to the average abundance of the proteins across the samples. Multiple nodes can group together forming hubs with related common pathways or functions. Correlated changes in the abundance of proteins in these hubs may represent functional changes between health and disease. We highlight three hubs in the figure below with turquoise circles, and show changes depending upon health and disease state. Examination of the hubs can suggest biological hypotheses for the change in quantities. For example, the proteins in the central cluster are associated with Golgi vesicle transport, which is potentially linked to NSCLC. Access to the deep unbiased proteomic information provided by our Proteograph may enable researchers to better understand biological implications of known PPIs. Furthermore, given our highly parallel sampling of the proteome across multiple NPs and many samples, we believe researchers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17" w:right="339" w:bottom="1440" w:gutter="0" w:footer="0" w:header="0"/>
        </w:sectPr>
      </w:pPr>
    </w:p>
    <w:bookmarkStart w:id="114" w:name="page115"/>
    <w:bookmarkEnd w:id="114"/>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Proteograph may be able to leverage machine learning methods on the resulting large data sets to derive novel PPIs.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120015</wp:posOffset>
            </wp:positionV>
            <wp:extent cx="5349240" cy="19888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Translational Research Applications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Researchers can use our Proteograph to address translational research applications, which aim to shorten the cycle time from early discovery research to clinical application. Our Proteograph allows clinical and translational researchers to conduct unbiased, deep and large-scale proteomics studies in therapeutic and diagnostic research and clinical trials, which can allow for significant advances in biomarker discovery, target identification and exploration, and clinical trial applications.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Biomarker discovery</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To date, most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biomarker discovery research is limited by the size of studies that can be done in an unbiased way, or limited to targeted studies that leverage existing knowledge. These approaches have yet to uncover the vast number of putative biomarkers that may be available as single markers or as combinations of markers for a range of clinical applications. We believe our Proteograph can greatly enable the discovery of biomarkers through large-scale, unbiased and deep proteomics studies.</w:t>
      </w:r>
    </w:p>
    <w:p>
      <w:pPr>
        <w:spacing w:after="0" w:line="12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utility of our Proteograph for exploration of potential biomarkers is illustrated in a proof-of-principle study in lung-cancer, as published in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Communications </w:t>
      </w:r>
      <w:r>
        <w:rPr>
          <w:rFonts w:ascii="Times New Roman" w:cs="Times New Roman" w:eastAsia="Times New Roman" w:hAnsi="Times New Roman"/>
          <w:sz w:val="18"/>
          <w:szCs w:val="18"/>
          <w:color w:val="auto"/>
        </w:rPr>
        <w:t>(Blume et al.). In this study, approximately 2,000 proteins were quantified across 141 subjects comprising early stage lung cancer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Stages 1, 2 or 3) and age- and gender-matched non-cancer controls. Machine-learning-based classifiers were developed. Plotting the sensitivity and specificity levels of our classifiers in a receiver operating characteristic (ROC) curve, we achieved a mean Area Under the Curve (AUC) of 0.91 on a scale from 1.0 (i.e., perfect) to 0.5 (i.e., random), as shown in the left panel of the figure below. In the right panel of the figure below, we show the most important classifiers in the study, with accompanying OpenTargets scores, where a score of one represents a validated target for a drug that is on-market, and a score of zero represents a target with no known target validation data in the literature. In our study, our Proteograph identified proteins with high OpenTargets scores such as tubulin 1-alpha and syndecin 1; the former is the molecular target for paclitaxel used in first-line therapy for NSCLC, and the latter is a molecular target for an antibody-drug conjugate, indatuximab ravtansine, currently in clinical trials for different cancer types. Our Proteograph identified proteins with low OpenTargets scores, and these could represent novel biomarker candidates for therapeutics and diagnostics development. A study of this size can be completed using our Proteograph in a fraction of the time of conventional methods, thus highlighting the efficiency of our Proteograph in biomarker discovery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40"/>
          </w:cols>
          <w:pgMar w:left="320" w:top="117" w:right="439" w:bottom="1440" w:gutter="0" w:footer="0" w:header="0"/>
        </w:sectPr>
      </w:pPr>
    </w:p>
    <w:bookmarkStart w:id="115" w:name="page116"/>
    <w:bookmarkEnd w:id="115"/>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808355</wp:posOffset>
            </wp:positionV>
            <wp:extent cx="5349240" cy="2314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92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Target Identification and Exploration</w:t>
      </w:r>
    </w:p>
    <w:p>
      <w:pPr>
        <w:spacing w:after="0" w:line="17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Currently FDA-approved drugs are directed to 754 separate human proteins that are directly related to the mechanism of action for the drug, and there are 4,009 genes in the UniProt database that have experimental evidence for being involved in disease. We believe that large-scale access to protein variant information that map to different states of health and disease, as enabled by our Proteograph and concurrent advances in proteogenomics, has the potential to lead to the discovery of personalized drug targets that could reach the hundred thousand range. We believe that the translational application of our Proteograph for potential biomarker development, as exemplified above in our NSCLC study, may also be applied to the identification of novel targets for therapeutic development. Components of classifiers may directly be targets themselves for drug development, or they may highlight new knowledge with respect to disease mechanism which then could help in the exploration of additional targets and/or help to elucidate the function of potential targets, particularly if these targets are discovered with genomics approaches, and lack protein functional context.</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Clinical Trial Applications</w:t>
      </w:r>
    </w:p>
    <w:p>
      <w:pPr>
        <w:spacing w:after="0" w:line="173"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Clinical researchers can use our Proteograph for deep and broad proteomic profiling for subjects in therapeutic clinical trials, including to make observations on efficacy and adverse events. Applications could include the real-time monitoring of protein-related drug effects, distribution, and metabolism. Virtually all clinical trials in drug development include monitoring of this type, but currently use biased or targeted panels of proteins. It is currently impractical to do this type of monitoring with unbiased proteomic methods given the inability of these methods to scale to the hundreds or thousands of samples that are evaluated in clinical trials.</w:t>
      </w:r>
    </w:p>
    <w:p>
      <w:pPr>
        <w:spacing w:after="0" w:line="1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Proteograph may also be used to select and group patients in clinical studies based on their proteomics profiles. As our understanding of the complexity of biology increases with new data accrued from our Proteograph as well as in adjacent -omics spaces, our ability to refine patient selection at a higher resolution may improve the ability to confirm efficacy for novel therapies, particularly in complex diseases that involve many inter-related physiological systems. Genomic approaches are widely used to select patients in cancer and rare genetic disease clinical trials, but the use of genomics-based selection for clinical trials outside of these indications has not been as widely used, given the relative lack of genetic understanding of these diseases. We believe that our Proteograph has the potential to generate useful proteomic signatures that can complement genomic and other patient selection criteria to improve how clinical researchers select and segment patients for these trials, particularly for indications outside of cancer and rare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00"/>
          </w:cols>
          <w:pgMar w:left="320" w:top="117" w:right="379" w:bottom="1440" w:gutter="0" w:footer="0" w:header="0"/>
        </w:sectPr>
      </w:pPr>
    </w:p>
    <w:bookmarkStart w:id="116" w:name="page117"/>
    <w:bookmarkEnd w:id="116"/>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Diagnostic Applications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see significant opportunities for researchers to use our Proteograph Product Suite for diagnostic development. Similar to the way in which NGS enabled the development of ecosystems that included genomics-based diagnostics in disease areas such as cancer and rare genetic diseases, we see the unbiased, deep and scalable proteomic information provided by our Proteograph potentially creating ecosystems, including proteomics and multi-omics based diagnostics in cancer and other complex disease areas. To help accelerate the future growth of this end-market, we recently spun-out a new company, PrognomIQ, that will leverage our Proteograph to develop multi-omics tests for health and disease. We expect that PrognomIQ will be our customer. We expect that our Proteograph will be used by other companies in the healthcare testing space, and we will support all of these customers as the ecosystem grows. We plan to enable our customers by providing our Proteograph for their basic research and translational research applications, as they develop their own diagnostic applications.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Applied Applications in Agriculture, Environmental and Food Safety</w:t>
      </w:r>
    </w:p>
    <w:p>
      <w:pPr>
        <w:spacing w:after="0" w:line="175"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7"/>
          <w:szCs w:val="17"/>
          <w:color w:val="auto"/>
        </w:rPr>
        <w:t>Outside of the areas related to human health, we believe there are opportunities for our Proteograph to be applied in other applied applications, including those applications where broad scale genomics is being widely applied today, and other applications where proteomics can uniquely enable the creation of end-markets. We believe that unbiased, deep and large-scale proteomic information as enabled by our Proteograph can complement and extend the value of genomics, transcriptomics, and metabolomics information in fields such as agriculture, environmental monitoring and food safety. This is exemplified in a recent plant proteomics study that identified PPIs and multi-protein complexes that likely play a role in important agronomic traits.</w:t>
      </w:r>
    </w:p>
    <w:p>
      <w:pPr>
        <w:spacing w:after="0" w:line="11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Pathogen monitoring is a core research area in environmental sciences. Genomics-based approaches have been applied for environmental monitoring, and we believe that unbiased proteomic data can be used to complement genomic information in monitoring environmental pathogens.</w:t>
      </w:r>
    </w:p>
    <w:p>
      <w:pPr>
        <w:spacing w:after="0" w:line="108"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food industry has complex supply chains where food can be subject to contamination and spoilage in the food product itself as one moves from raw material to processing to distribution, storage and consumption of the food product. We believe that unbiased proteomic data from our Proteograph could complement existing biochemical approaches for tracking signals of contamination and food spoilage.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PrognomIQ</w:t>
      </w:r>
    </w:p>
    <w:p>
      <w:pPr>
        <w:spacing w:after="0" w:line="175"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In August 2020, we transferred certain assets related to disease testing to PrognomIQ, a wholly-owned subsidiary of the Company, in exchange for all of its outstanding equity interests. Following the transfer, we completed a pro-rata distribution to our stockholders of most of the shares of capital stock of PrognomIQ. Following the distribution and a subsequent $55.0 million financing of PrognomIQ, we hold approximately 19% of the outstanding equity in PrognomIQ.</w:t>
      </w:r>
    </w:p>
    <w:p>
      <w:pPr>
        <w:spacing w:after="0" w:line="12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to any customer in any geography, nor does it preclude our customers from using our Proteograph in any way. PrognomIQ has indicated that it plans to combine the protein data from our Proteograph with genomics and other -omics data, to create a multi-omics approach to health and disease testing, which we believe will help us drive the adoption of our Proteograph Product Suite in these applications.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Omid Farokhzad, Chief Executive Officer and Chair of our board of directors, serves as the Chair of PrognomIQ’s board of directors. Philip Ma, Ph.D. our former Chief Business Officer serves as the Chief Executive Officer of PrognomIQ. While Dr. Ma has fully transitioned to PrognomIQ, he will remain our consultant until April 2021. In addition, three of our other employees have also transitioned to PrognomIQ. We will be providing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00"/>
          </w:cols>
          <w:pgMar w:left="320" w:top="117" w:right="379" w:bottom="1440" w:gutter="0" w:footer="0" w:header="0"/>
        </w:sectPr>
      </w:pPr>
    </w:p>
    <w:bookmarkStart w:id="117" w:name="page118"/>
    <w:bookmarkEnd w:id="117"/>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transition services and support, including laboratory and office space to PrognomIQ during the transition period. We anticipate these services to continue through the first half of 2021.</w:t>
      </w:r>
    </w:p>
    <w:p>
      <w:pPr>
        <w:spacing w:after="0" w:line="10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granted PrognomIQ a non-exclusive license to certain patents and patent applications that we own and a non-exclusive sublicense to certain patent applications we exclusively licensed from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For further discussion of our license and sublicense arrangement with PrognomIQ, see the section titled “Business — Collaboration and License Agreements — </w:t>
      </w:r>
      <w:r>
        <w:rPr>
          <w:rFonts w:ascii="Times New Roman" w:cs="Times New Roman" w:eastAsia="Times New Roman" w:hAnsi="Times New Roman"/>
          <w:sz w:val="18"/>
          <w:szCs w:val="18"/>
          <w:i w:val="1"/>
          <w:iCs w:val="1"/>
          <w:color w:val="auto"/>
        </w:rPr>
        <w:t>PrognomIQ</w:t>
      </w:r>
      <w:r>
        <w:rPr>
          <w:rFonts w:ascii="Times New Roman" w:cs="Times New Roman" w:eastAsia="Times New Roman" w:hAnsi="Times New Roman"/>
          <w:sz w:val="18"/>
          <w:szCs w:val="18"/>
          <w:color w:val="auto"/>
        </w:rPr>
        <w:t>.” We do not view these amounts to be material to our financial condition and results of operations nor do we expect these amounts to ever be material to us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Commercial Strategy</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Proteograph Product Suite is an integrated solution comprising consumables, an automation instrument and software. We have developed our Proteograph to simplify and accelerate proteomics workflow, reduce labor and capital requirements, and deliver robust and reproducible performance. We will focus on growing the installed base of our Proteograph across a wide variety of customer types and driving applications, scale of experimentation and discoveries that lead to increasing utilization of our Proteograph by our customers.</w:t>
      </w:r>
    </w:p>
    <w:p>
      <w:pPr>
        <w:spacing w:after="0" w:line="12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intend to initially target potential customers who value unbiased and deep proteomic information and are performing proteomic or genomic analysis at academic institutions, translational research groups and biopharmaceutical companies. Our direct sales and marketing efforts will be focused on the principal investigators, researchers, department heads, research laboratory directors and core facility directors who control the buying decision. We expect these customers to purchase our Proteograph automation instruments and associated consumables in line with typical purchases of other life science instrumentation and consumables. We intend to price our Proteograph Product Suite within the authorization range of most researchers who can directly make the buying decision, without the need for additional levels of approval, simplifying our sales process. For example, we intend to price our Proteograph automation instrument on a comparable basis to other similar automated fluid handling systems currently available. We anticipate pricing our Proteograph consumables, on a per sample basis, in a range similar to that of other life sciences consumables that provide deep and unbiased -omic information.</w:t>
      </w:r>
    </w:p>
    <w:p>
      <w:pPr>
        <w:spacing w:after="0" w:line="13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believe broad accessibility of MS instruments simplifies the adoption of our Proteograph Product Suite. We estimate that there are approximately 16,000 MS instruments with configurations typically used to perform proteomic analysis installed worldwide. We expect that many of our potential customers will have their own MS instrument, and for those who do not, will be able to outsource the MS portion of the Proteograph workflow to a third-party service provider.</w:t>
      </w:r>
    </w:p>
    <w:p>
      <w:pPr>
        <w:spacing w:after="0" w:line="12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generation of publications and scientific presentations is a core pillar of our market awareness strategy and is important for establishing validity and utility of new products in the life sciences community. We plan to work closely with our customers, including key opinion leaders, to generate clear use-cases, as well as peer-reviewed publications that illustrate our product performance claims and value proposition. In addition, we plan to drive awareness by developing and deploying online and in-person training and educational tools that explain our Proteograph technology and key applications in easy-to-access, easy-to-understand, and scientifically rigorous and credible ways. We also expect to partner with select service facilities and core labs globally and certify them as Centers of Excellence for our Proteograph. We expect these sites will become our customers and potentially provide fee-for service capabilities that allow interested parties to evaluate our Proteograph using their own samples. We expect that these Centers of Excellence will actively promote our Proteograph and its capabilities and help us further raise awareness.</w:t>
      </w:r>
    </w:p>
    <w:p>
      <w:pPr>
        <w:spacing w:after="0" w:line="138"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To service our potential Proteograph customers, we will provide multiple levels of technical service for our Proteograph automation instruments, depending upon customer need. We recognize that excellent customer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80"/>
          </w:cols>
          <w:pgMar w:left="320" w:top="117" w:right="399" w:bottom="1440" w:gutter="0" w:footer="0" w:header="0"/>
        </w:sectPr>
      </w:pPr>
    </w:p>
    <w:bookmarkStart w:id="118" w:name="page119"/>
    <w:bookmarkEnd w:id="118"/>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can be a critical part of a customer experience, and we will invest accordingly in our technical and application support to achieve the desired levels of service.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Proteograph Product Suite Commercial Launch Plan</w:t>
      </w:r>
    </w:p>
    <w:p>
      <w:pPr>
        <w:spacing w:after="0" w:line="175"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We intend to follow a three phase launch plan to commercialize our Proteograph. This approach has been successfully used to introduce transformative technologies in numerous life science sectors over many years, including in genomics with the roll-out of NGS products. We believe that this phased approach allows us to introduce the product in a measured way, demonstrate clear customer use-cases, help to ensure we are scaling and expanding in a way that delivers a positive and differentiated customer experience, and builds a prospective customer pipeline to provide visibility to future demand.</w:t>
      </w:r>
    </w:p>
    <w:p>
      <w:pPr>
        <w:spacing w:after="0" w:line="110" w:lineRule="exact"/>
        <w:rPr>
          <w:sz w:val="20"/>
          <w:szCs w:val="20"/>
          <w:color w:val="auto"/>
        </w:rPr>
      </w:pPr>
    </w:p>
    <w:p>
      <w:pPr>
        <w:ind w:left="660" w:right="60" w:hanging="328"/>
        <w:spacing w:after="0" w:line="254"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phase: We began collaborating with two sites in the third quarter of 2020 and we expect to collaborate with additional sites as we expand and continue this phase in 2021. Our first Proteograph was delivered to one of our first collaborators in October 2020, and we expect to place another Proteograph with a second collaborator before the end of 2020, pending any COVID-19-related delays. We plan to complement these two initial collaborators with one or two additional collaborators in the genomics or multi-omics fields. We are targeting key opinion leaders who are highly-skilled at evaluating novel technologies and whose feedback can help us solidify our commercialization plans and processes. We will work with these collaborators to establish early models of impactful research and discovery that will highlight the unique capabilities and value proposition of our Proteograph. During this phase, we plan to provide our Proteograph automation instrument for a minimal fee and also provide consumables at a reduced price. The sites will be given the option to purchase the automation instrument at a reduced price following the completion of the collaboration phase.</w:t>
      </w:r>
    </w:p>
    <w:p>
      <w:pPr>
        <w:spacing w:after="0" w:line="134" w:lineRule="exact"/>
        <w:rPr>
          <w:rFonts w:ascii="Times New Roman" w:cs="Times New Roman" w:eastAsia="Times New Roman" w:hAnsi="Times New Roman"/>
          <w:sz w:val="18"/>
          <w:szCs w:val="18"/>
          <w:color w:val="auto"/>
        </w:rPr>
      </w:pPr>
    </w:p>
    <w:p>
      <w:pPr>
        <w:ind w:left="660" w:right="40" w:hanging="328"/>
        <w:spacing w:after="0" w:line="254"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access limited release: We expect to start the second phase of our commercial roll-out in 2021 in parallel with winding down the collaboration phase. In this second phase, we will expand to six to ten additional potential customers across our target segments, including key opinion leaders in proteomics as well those in genomics. We will primarily target customers who can scale quickly and demonstrate the power and utility of our Proteograph across a number of applications, such as discovery research, oncology, complex diseases, and proteogenomics. We believe these customers will become important reference sites and key influencers whose adoption of the technologies gives others a clear blueprint to follow. During this phase, we expect to broaden our commercial footprint to access and support an increasing number of customers and to set the foundation for the final phase of our commercial roll out. We plan to offer our Proteograph Product Suite to customers in the early access limited release phase at our proposed list price, with certain volume discounts for consumables consistent with industry standards.</w:t>
      </w:r>
    </w:p>
    <w:p>
      <w:pPr>
        <w:spacing w:after="0" w:line="13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commercial availability: We intend to build on the momentum we expect to have created through both the collaboration and early access limited release phases of our roll-out to provide for broad commercial availability in early 2022.</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Commercial Organization</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in the process of building out our commercial organization and we expect to have direct commercial staff in marketing, sales, customer success, and technical support functions. We will scale each function within our commercial organization in anticipation of demand and with the intent to deliver exceptional customer experience. We believe that coupling exceptional customer experience with a transformative product will allow us to deliver substantial value to our customers, build long-term customer loyalty, enhance our competitive differentiation, and, importantly, use our customer relationships to gain insights that inform our product development to grow our offerings in ways that will benefit our customers.</w:t>
      </w:r>
    </w:p>
    <w:p>
      <w:pPr>
        <w:spacing w:after="0" w:line="1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expect to initially target customers in North America, the European Union and United Kingdom through direct sales and customer support organizations. We expect to grow into other geographies over time, initially through distributors, starting with key countries in Asia Pacific. We expect a highly efficient sales model since our Proteograph does not have a large capital expenditure component, can leverage the existing installed base of MS instruments and complements large-scale genomics data ecosystems.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17" w:right="339" w:bottom="1440" w:gutter="0" w:footer="0" w:header="0"/>
        </w:sectPr>
      </w:pPr>
    </w:p>
    <w:bookmarkStart w:id="119" w:name="page120"/>
    <w:bookmarkEnd w:id="119"/>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 and Manufacturing</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overall manufacturing strategy is to continuously develop and refine our processes to achieve our objectives of continuity of supply, quality of supply and margin enhancement. Over time, this may lead to in-sourcing or outsourcing certain functions, including manufacturing, in various geographic locations in order to achieve our objectives.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Consumables</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pilot line and building out our manufacturing capabilities as we ramp towards broad commercial availability. We obtain some of the reagents and components used in our Proteograph workflow from third-party suppliers. While some of these reagents and components are sourced from a single supplier, these products are readily available from numerous suppliers. While we currently plan to handle filling and packaging of our Proteograph assay and the related consumables, in the future, we may have our filling and packaging outsourced to a third-party. We conduct vendor and component qualification for components provided by third-party suppliers and quality control tests on our NPs.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Automation Instrument</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designed our Proteograph automation instrument and have outsourced the manufacturing of our Proteograph automation instrument to Hamilton Company, a leading manufacturer of automated liquid handling workstations. We have entered into a non-exclusive agreement with Hamilton that covers the manufacturing of our Proteograph automation instrument and its continued supply on a purchase order basis. The agreement has an initial term that runs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life sciences technology industry is characterized by rapidly advancing technologies, intense competition and a strong emphasis on intellectual property. Today the proteomics market is served by companies that offer a variety of analytical instruments, such as chromatography and MS instruments, and associated reagents. We believe that competitors in the proteomics market are differentiated by their proprietary technologies, rapid product development capabilities, applications and intellectual property. We believe that there are currently no commercially available products that offer the capability to conduct unbiased, deep proteomics studies at the same scale and throughput as our Proteograph Product Suite. Given the potential market opportunity and scientific promise of proteomics, we expect the intensity of the competition to increase and, as a result, one or more competing products emerging in the future. Competing products may emerge from various sources, including life sciences tools, diagnostics, pharmaceutical and biotechnology companies, third-party service providers, academic research institutions, governmental agencies and public and private research institutions.</w:t>
      </w:r>
    </w:p>
    <w:p>
      <w:pPr>
        <w:spacing w:after="0" w:line="138"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Current companies that provide proteomics products include Agilent Technologies, Bio-Rad Laboratories, Danaher, Luminex, Merck (and its subsidiary MilliporeSigma) and Thermo Fisher Scientific. There are also a number of companies that provide proteomic analysis services. In addition, a number of emerging growth companies have developed, or are developing, proteomics products, services and solutions, such as Nautilus Biotechnology, Olink Proteomics, Quanterix and SomaLogic.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17" w:right="339" w:bottom="1440" w:gutter="0" w:footer="0" w:header="0"/>
        </w:sectPr>
      </w:pPr>
    </w:p>
    <w:bookmarkStart w:id="120" w:name="page121"/>
    <w:bookmarkEnd w:id="120"/>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3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3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4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80"/>
          </w:cols>
          <w:pgMar w:left="320" w:top="117" w:right="399" w:bottom="1440" w:gutter="0" w:footer="0" w:header="0"/>
        </w:sectPr>
      </w:pPr>
    </w:p>
    <w:bookmarkStart w:id="121" w:name="page122"/>
    <w:bookmarkEnd w:id="121"/>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and special controls together, are sufficient to provide a reasonable assurance of the device’s safety and effectiveness. The de novo classification route is generally less burdensome than the PMA approval process.</w:t>
      </w:r>
    </w:p>
    <w:p>
      <w:pPr>
        <w:spacing w:after="0" w:line="10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3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3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26"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4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20"/>
          </w:cols>
          <w:pgMar w:left="320" w:top="117" w:right="359" w:bottom="1440" w:gutter="0" w:footer="0" w:header="0"/>
        </w:sectPr>
      </w:pPr>
    </w:p>
    <w:bookmarkStart w:id="122" w:name="page123"/>
    <w:bookmarkEnd w:id="122"/>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26"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Recently, as part of the Trump Administration’s efforts to combat COVID-19 and consistent with the President's direction in Executive Orders 13771 (Executive Order on Reducing Regulation and Controlling Regulatory Costs) and 13924 (Executive Order on Regulatory Relief to Support Economic Recovery),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RUOs, whether by the FDA or Congress, could adversely affect demand for our specialized reagents and instruments.</w:t>
      </w:r>
    </w:p>
    <w:p>
      <w:pPr>
        <w:spacing w:after="0" w:line="14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For further discussion of the risks we face relating to regulation, see the section titled “Risk factors—Risks related to our business and industry—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20"/>
          </w:cols>
          <w:pgMar w:left="320" w:top="117" w:right="359" w:bottom="1440" w:gutter="0" w:footer="0" w:header="0"/>
        </w:sectPr>
      </w:pPr>
    </w:p>
    <w:bookmarkStart w:id="123" w:name="page124"/>
    <w:bookmarkEnd w:id="123"/>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33"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w:t>
      </w:r>
    </w:p>
    <w:p>
      <w:pPr>
        <w:spacing w:after="0" w:line="14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For further discussion of the risks we face relating to regulation, see the section titled “Risk factors—Risks related to our business and industry—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are currently subject to, and may in the future become subject to additional, U.S., state and foreign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 compliance with such laws could also impair our efforts to maintain and expand our future customer base, and thereby decrease our revenue.</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2020, we own approximately two issued U.S. patents, eight U.S. pending patent applications and four pending Patent Cooperation Treaty (PCT) patent applications. Our owned patents and patent applications, if issued, are expected to expire between 2023 and 2041, in each case without taking into account any possible patent term adjustments or extensions and assuming payment of all appropriate maintenance, renewal, annuity, or other governmental fees.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Such patent portfolio owned by us includes:</w:t>
      </w:r>
    </w:p>
    <w:p>
      <w:pPr>
        <w:spacing w:after="0" w:line="171" w:lineRule="exact"/>
        <w:rPr>
          <w:sz w:val="20"/>
          <w:szCs w:val="20"/>
          <w:color w:val="auto"/>
        </w:rPr>
      </w:pPr>
    </w:p>
    <w:p>
      <w:pPr>
        <w:ind w:left="660" w:right="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U.S. and PCT patent applications that are directed to methods for sampling a proteome at specific levels of protein coverage, methods for sampling a proteome under particular assay conditions, and nanoparticle compositions for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20"/>
          </w:cols>
          <w:pgMar w:left="320" w:top="117" w:right="359" w:bottom="1440" w:gutter="0" w:footer="0" w:header="0"/>
        </w:sectPr>
      </w:pPr>
    </w:p>
    <w:bookmarkStart w:id="124" w:name="page125"/>
    <w:bookmarkEnd w:id="124"/>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U.S. patent applications that are directed to methods for interrogating protein pathways and PPIs with the biosensors;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issued U.S. patent and a pending U.S. patent application directed to the classification of biological states; and</w:t>
      </w:r>
    </w:p>
    <w:p>
      <w:pPr>
        <w:spacing w:after="0" w:line="17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issued U.S. patent and a pending PCT patent application directed to methods for biomarker discovery, including an algorithm-based method that uses data sampled by the biosensor platform.</w:t>
      </w:r>
    </w:p>
    <w:p>
      <w:pPr>
        <w:spacing w:after="0" w:line="108"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We exclusively license from The Brigham and Women’s Hospital, Inc. (BWH), two issued U.S. patents, five U.S. pending patent applications, one issued ex-U.S. patent and eight ex-U.S. pending patent applications, as of September 30, 2020. These patents and patent applications are directed to methods for identifying a biological state, including classification and early detection of cancers and other diseases, using nanoparticle and biosensor compositions, as well as other nanoparticle compositions. Our in-licensed patents and patent applications, if issued, are expected to expire between 2027 and 2037, in each case without taking into account any possible patent term adjustments or extensions and assuming payment of all appropriate maintenance, renewal, annuity, or other governmental fees.</w:t>
      </w:r>
    </w:p>
    <w:p>
      <w:pPr>
        <w:spacing w:after="0" w:line="13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addition to licensing patents and patent applications from BWH, we have also non-exclusively licensed certain of our patents and patent applications to PrognomIQ for use in the field of human diagnostics. Pursuant to our agreement with PrognomIQ, we also assigned a patent application related to lung cancer biomarkers to PrognomIQ. In connection with our agreement with PrognomIQ, we have granted PrognomIQ a non-exclusive sublicense to certain patents and patent applications that we license from BWH under our license agreement with BWH for use in the field of human diagnostics. For further information on the intellectual property transfer and license agreement with PrognomIQ and the license agreement with BWH, see the section titled </w:t>
      </w:r>
      <w:r>
        <w:rPr>
          <w:rFonts w:ascii="Times New Roman" w:cs="Times New Roman" w:eastAsia="Times New Roman" w:hAnsi="Times New Roman"/>
          <w:sz w:val="18"/>
          <w:szCs w:val="18"/>
          <w:i w:val="1"/>
          <w:iCs w:val="1"/>
          <w:color w:val="auto"/>
        </w:rPr>
        <w:t>“Business —Collaboration and License Agreements.”</w:t>
      </w:r>
    </w:p>
    <w:p>
      <w:pPr>
        <w:spacing w:after="0" w:line="13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our owned and in-licensed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 Even if our pending patent applications are granted as issued patents, those patents may be challenged, circumvented or invalidated by third parties. Consequently, we may not obtain or maintain adequate patent protection for any of our products or technologies.</w:t>
      </w:r>
    </w:p>
    <w:p>
      <w:pPr>
        <w:spacing w:after="0" w:line="13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addition to our reliance on patent protection for our inventions, products and technologies, we also rely on trade secrets, know-how, confidentiality agreements and continuing technological innovation to develop and maintain our 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w:t>
      </w:r>
      <w:r>
        <w:rPr>
          <w:rFonts w:ascii="Times New Roman" w:cs="Times New Roman" w:eastAsia="Times New Roman" w:hAnsi="Times New Roman"/>
          <w:sz w:val="18"/>
          <w:szCs w:val="18"/>
          <w:i w:val="1"/>
          <w:iCs w:val="1"/>
          <w:color w:val="auto"/>
        </w:rPr>
        <w:t>“Risk factors—Risks Related to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17" w:right="339" w:bottom="1440" w:gutter="0" w:footer="0" w:header="0"/>
        </w:sectPr>
      </w:pPr>
    </w:p>
    <w:bookmarkStart w:id="125" w:name="page126"/>
    <w:bookmarkEnd w:id="125"/>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8240"/>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171" w:lineRule="exact"/>
        <w:rPr>
          <w:sz w:val="20"/>
          <w:szCs w:val="20"/>
          <w:color w:val="auto"/>
        </w:rPr>
      </w:pPr>
    </w:p>
    <w:p>
      <w:pPr>
        <w:jc w:val="right"/>
        <w:ind w:right="8200"/>
        <w:spacing w:after="0"/>
        <w:rPr>
          <w:sz w:val="20"/>
          <w:szCs w:val="20"/>
          <w:color w:val="auto"/>
        </w:rPr>
      </w:pPr>
      <w:r>
        <w:rPr>
          <w:rFonts w:ascii="Times New Roman" w:cs="Times New Roman" w:eastAsia="Times New Roman" w:hAnsi="Times New Roman"/>
          <w:sz w:val="18"/>
          <w:szCs w:val="18"/>
          <w:b w:val="1"/>
          <w:bCs w:val="1"/>
          <w:i w:val="1"/>
          <w:iCs w:val="1"/>
          <w:color w:val="auto"/>
        </w:rPr>
        <w:t>The Brigham and Women’s Hospital</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December 2017, we entered into an exclusive patent license agreement with BWH, pursuant to which we obtained an exclusive, royalty-bearing, sublicensable (with approval from BWH) license to certain U.S. and foreign patents and patent applications in one patent family related to methods for identifying a biological state using nanoparticle and biosensor compositions and other nanoparticle compositions to develop, manufacture, use and commercialize products and processes in all fields, including but not limited to therapeutic, diagnostic, or other uses, on a worldwide basis. In addition, we were also granted an exclusive, royalty-bearing, sublicensable (with approval from BWH) license to certain U.S. pending patent applications in another patent family to develop, manufacture, use and commercialize products and processes in all fields, including but not limited to therapeutic, diagnostic, or other uses, other than for the treatment of cancer through antigen-specific immune stimulation or the treatment of disease through immune tolerance or immune switching of lymphocyte subclasses. We may sublicense the patent rights licensed under the agreement subject to certain conditions, including obtaining the review and approval by BWH of such sublicense and any such sublicense must be consistent with and subject to the terms of the agreement.</w:t>
      </w:r>
    </w:p>
    <w:p>
      <w:pPr>
        <w:spacing w:after="0" w:line="13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consideration for the licenses granted under the agreement, we must pay BWH annual license fees prior to the first commercial sale of a licensed product that range in the low- to mid-five digit figures, and a low single digit royalty on net sales of licensed products beginning with the first commercial sale of a licensed product in any country during the term of the agreement. In the event we commercialize a product in the therapeutic space, we are also required to make certain drug-approval regulatory and commercialization milestone payments to BWH of up to a mid seven digit figure in the aggregate for licensed products. In the event we sublicense any of the licensed intellectual property, we must pay BWH a percentage of any sublicense income received by us, which on a going-forward basis will be in the high single digits.</w:t>
      </w:r>
    </w:p>
    <w:p>
      <w:pPr>
        <w:spacing w:after="0" w:line="13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we are required to use commercially reasonable efforts to develop and commercialize the licensed products, including in accordance to certain developmental, funding, regulatory and commercialization milestones. BWH controls the prosecution, maintenance and enforcement of all licensed patents and patent applications under the agreement.</w:t>
      </w:r>
    </w:p>
    <w:p>
      <w:pPr>
        <w:spacing w:after="0" w:line="12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Unless earlier terminated, the agreement continues until the expiration of the last to expire patent right licensed under the agreement. Subject to an applicable cure period, BWH may terminate the agreement if we fail to comply with applicable payments or diligence obligations or upon a breach of our obligation under the agreement, or for certain insolvency-related events.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PrognomIQ</w:t>
      </w:r>
    </w:p>
    <w:p>
      <w:pPr>
        <w:spacing w:after="0" w:line="17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August 2020, we entered into an intellectual property transfer and license agreement and, in October 2020, we entered into an intellectual property sublicense agreement, in each case with PrognomIQ in connection with the spin-out of PrognomIQ. Under the intellectual property transfer and license agreement, we granted PrognomIQ a non-exclusive, perpetual, irrevocable (subject to termination for breach) license to certain patents and patent applications that we own and, under the intellectual property sublicense agreement, we granted a non-exclusive sublicense to certain patent applications exclusively licensed from BWH, in each case, relating to our core technology to develop, manufacture and commercialize licensed products for the field of human diagnostics on a worldwide basis. In addition, we assigned a patent application relating to lung cancer biomarkers, and transferred certain clinical samples, contracts and other related assets to PrognomIQ. PrognomIQ may extend such licensed and sublicensed rights to customers of licensed products. PrognomIQ is not required to pay us any royalties or fees pursuant to the intellectual property transfer and license agreement.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intellectual property sublicense agreement.</w:t>
      </w:r>
    </w:p>
    <w:p>
      <w:pPr>
        <w:spacing w:after="0" w:line="138"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In the event we elect to grant an exclusive license to a third party in the field of human diagnostics for any of the patents and patent applications licensed or sublicensed, as applicable, to PrognomIQ under the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17" w:right="339" w:bottom="1440" w:gutter="0" w:footer="0" w:header="0"/>
        </w:sectPr>
      </w:pPr>
    </w:p>
    <w:bookmarkStart w:id="126" w:name="page127"/>
    <w:bookmarkEnd w:id="126"/>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agreements, we are required to first negotiate with PrognomIQ for a period of sixty days for a license or sublicense, as applicable, to such rights on reasonable terms. Furthermore, for a period of two years after the effective date, we are required to negotiate in good faith with PrognomIQ for a license or sublicense, as applicable, to any improvements to the patents and patent applications assigned or licensed or sublicensed, as applicable, under the intellectual property transfer and license agreement and the intellectual property sublicense agreement.</w:t>
      </w:r>
    </w:p>
    <w:p>
      <w:pPr>
        <w:spacing w:after="0" w:line="12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Neither party may assign the intellectual property transfer and license agreement nor any rights or obligations under the agreement without the other party’s prior written consent, other than to an affiliate or pursuant to an acquisition. PrognomIQ may not assign the intellectual property sublicense agreement or any rights or obligations under the agreement without our prior written consent, other than to an affiliate or pursuant to an acquisition, and in any event only with BWH’s prior written consent. Our right to assign the intellectual property sublicense agreement and any rights or obligations under the agreement is subject to the terms and conditions of our license with BWH. Unless terminated earlier, the terms of the both agreements continue until the expiration of the last to expire intellectual property right granted under such agreement. Either party may terminate either agreement for an uncured breach of the other party, upon which all licenses granted under such agreement to the breaching party will terminate.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Collaborators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Oregon Health &amp; Science University (OHSU), an academic health center, and The Broad Institute of MIT and Harvard (Broad Institute), a biomedical and genomic research center, are our collaborators. Researchers at OHSU are using our product to facilitate various research efforts focused on proteomic profiling of various oncology versus control samples to determine protein signatures common between various cancer samples versus signatures found in control samples. Researchers at the Broad Institute intend to use our product to analyze protein signatures in diseased vs. non-diseased samples undergoing drug perturbations in various clinical applications including cardiovascular disease.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Advisory Board</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assembled a highly qualified scientific advisory board composed of advisors who have deep expertise in the fields of nanotechnology, proteomics, genomics, medicine, regulatory compliance and data science. Our scientific advisory board is composed of Robert Langer, Sc.D., Mostafa Ronaghi, Ph.D., Steve Carr, Ph.D., Vivek Farias, Ph.D., Philip Kantoff, M.D., Erwin Böttinger, M.D., Charles Cantor, Ph.D., Bradley Hyman, M.D., Mark McClellan, Ph.D., M.D., Wolfgang Parak, Ph.D. and Ralph Weissleder, M.D.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we had 60 employees, all based in the United States, many of whom hold doctorate degrees. Of these employees, 46 were engaged in in research and development activities, and 14 were engaged in selling, general and administrative activities. None of our employees are represented by a labor union or covered under a collective bargaining agreement.</w:t>
      </w:r>
    </w:p>
    <w:p>
      <w:pPr>
        <w:spacing w:after="0" w:line="12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7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corporate headquarters, research and development facilities, and manufacturing and distribution centers are located at 3800 Bridge Parkway, Redwood City, CA 94065. The facility is approximately 25,600 square feet and is compliant with all relevant state and federal requirements. Our lease on this facility runs through February 2032. We do not own any real property and believe that our current facilities are sufficient to meet our ongoing needs and that, if we require additional space, we will be able to obtain additional facilities on commercially reasonable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80"/>
          </w:cols>
          <w:pgMar w:left="320" w:top="117" w:right="399" w:bottom="1440" w:gutter="0" w:footer="0" w:header="0"/>
        </w:sectPr>
      </w:pPr>
    </w:p>
    <w:bookmarkStart w:id="127" w:name="page128"/>
    <w:bookmarkEnd w:id="127"/>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940"/>
          </w:cols>
          <w:pgMar w:left="320" w:top="117" w:right="639" w:bottom="1440" w:gutter="0" w:footer="0" w:header="0"/>
        </w:sectPr>
      </w:pPr>
    </w:p>
    <w:bookmarkStart w:id="128" w:name="page129"/>
    <w:bookmarkEnd w:id="128"/>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and directors as of September 30,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5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3"/>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Omid Farokhzad, M.D.</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c>
          <w:tcPr>
            <w:tcW w:w="0" w:type="dxa"/>
            <w:vAlign w:val="bottom"/>
          </w:tcPr>
          <w:p>
            <w:pPr>
              <w:spacing w:after="0"/>
              <w:rPr>
                <w:sz w:val="1"/>
                <w:szCs w:val="1"/>
                <w:color w:val="auto"/>
              </w:rPr>
            </w:pPr>
          </w:p>
        </w:tc>
      </w:tr>
      <w:tr>
        <w:trPr>
          <w:trHeight w:val="270"/>
        </w:trPr>
        <w:tc>
          <w:tcPr>
            <w:tcW w:w="4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David R. Horn</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70"/>
        </w:trPr>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Omead Ostadan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Operating Officer and Director</w:t>
            </w:r>
          </w:p>
        </w:tc>
        <w:tc>
          <w:tcPr>
            <w:tcW w:w="0" w:type="dxa"/>
            <w:vAlign w:val="bottom"/>
          </w:tcPr>
          <w:p>
            <w:pPr>
              <w:spacing w:after="0"/>
              <w:rPr>
                <w:sz w:val="1"/>
                <w:szCs w:val="1"/>
                <w:color w:val="auto"/>
              </w:rPr>
            </w:pPr>
          </w:p>
        </w:tc>
      </w:tr>
      <w:tr>
        <w:trPr>
          <w:trHeight w:val="270"/>
        </w:trPr>
        <w:tc>
          <w:tcPr>
            <w:tcW w:w="4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Elona Kogan</w:t>
            </w:r>
            <w:r>
              <w:rPr>
                <w:rFonts w:ascii="Times New Roman" w:cs="Times New Roman" w:eastAsia="Times New Roman" w:hAnsi="Times New Roman"/>
                <w:sz w:val="23"/>
                <w:szCs w:val="23"/>
                <w:color w:val="auto"/>
                <w:vertAlign w:val="superscript"/>
              </w:rPr>
              <w:t>(1)</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David Hallal</w:t>
            </w:r>
            <w:r>
              <w:rPr>
                <w:rFonts w:ascii="Times New Roman" w:cs="Times New Roman" w:eastAsia="Times New Roman" w:hAnsi="Times New Roman"/>
                <w:sz w:val="23"/>
                <w:szCs w:val="23"/>
                <w:color w:val="auto"/>
                <w:vertAlign w:val="superscript"/>
              </w:rPr>
              <w:t>(3)(4)</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0" w:type="dxa"/>
            <w:vAlign w:val="bottom"/>
          </w:tcPr>
          <w:p>
            <w:pPr>
              <w:spacing w:after="0"/>
              <w:rPr>
                <w:sz w:val="1"/>
                <w:szCs w:val="1"/>
                <w:color w:val="auto"/>
              </w:rPr>
            </w:pPr>
          </w:p>
        </w:tc>
      </w:tr>
      <w:tr>
        <w:trPr>
          <w:trHeight w:val="270"/>
        </w:trPr>
        <w:tc>
          <w:tcPr>
            <w:tcW w:w="4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Catherine J. Friedman</w:t>
            </w:r>
            <w:r>
              <w:rPr>
                <w:rFonts w:ascii="Times New Roman" w:cs="Times New Roman" w:eastAsia="Times New Roman" w:hAnsi="Times New Roman"/>
                <w:sz w:val="23"/>
                <w:szCs w:val="23"/>
                <w:color w:val="auto"/>
                <w:vertAlign w:val="superscript"/>
              </w:rPr>
              <w:t>(2)(4)</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312"/>
        </w:trPr>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Robert Langer, Sc.D.</w:t>
            </w:r>
            <w:r>
              <w:rPr>
                <w:rFonts w:ascii="Times New Roman" w:cs="Times New Roman" w:eastAsia="Times New Roman" w:hAnsi="Times New Roman"/>
                <w:sz w:val="23"/>
                <w:szCs w:val="23"/>
                <w:color w:val="auto"/>
                <w:vertAlign w:val="superscript"/>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tcPr>
          <w:p>
            <w:pPr>
              <w:spacing w:after="0"/>
              <w:rPr>
                <w:sz w:val="24"/>
                <w:szCs w:val="24"/>
                <w:color w:val="auto"/>
              </w:rPr>
            </w:pPr>
          </w:p>
        </w:tc>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20"/>
        </w:trPr>
        <w:tc>
          <w:tcPr>
            <w:tcW w:w="4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4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Terrance McGuire</w:t>
            </w:r>
            <w:r>
              <w:rPr>
                <w:rFonts w:ascii="Times New Roman" w:cs="Times New Roman" w:eastAsia="Times New Roman" w:hAnsi="Times New Roman"/>
                <w:sz w:val="23"/>
                <w:szCs w:val="23"/>
                <w:color w:val="auto"/>
                <w:vertAlign w:val="superscript"/>
              </w:rPr>
              <w:t>(2)(3)</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shd w:val="clear" w:color="auto" w:fill="CCEEFF"/>
          </w:tcPr>
          <w:p>
            <w:pPr>
              <w:spacing w:after="0"/>
              <w:rPr>
                <w:sz w:val="24"/>
                <w:szCs w:val="24"/>
                <w:color w:val="auto"/>
              </w:rPr>
            </w:pPr>
          </w:p>
        </w:tc>
        <w:tc>
          <w:tcPr>
            <w:tcW w:w="59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20"/>
        </w:trPr>
        <w:tc>
          <w:tcPr>
            <w:tcW w:w="4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9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4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David Singer</w:t>
            </w:r>
            <w:r>
              <w:rPr>
                <w:rFonts w:ascii="Times New Roman" w:cs="Times New Roman" w:eastAsia="Times New Roman" w:hAnsi="Times New Roman"/>
                <w:sz w:val="23"/>
                <w:szCs w:val="23"/>
                <w:color w:val="auto"/>
                <w:vertAlign w:val="superscript"/>
              </w:rPr>
              <w:t>(2)(3)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24"/>
                <w:szCs w:val="24"/>
                <w:color w:val="auto"/>
              </w:rPr>
            </w:pPr>
          </w:p>
        </w:tc>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14"/>
        </w:trPr>
        <w:tc>
          <w:tcPr>
            <w:tcW w:w="4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 w:lineRule="exact"/>
        <w:rPr>
          <w:sz w:val="20"/>
          <w:szCs w:val="20"/>
          <w:color w:val="auto"/>
        </w:rPr>
      </w:pPr>
    </w:p>
    <w:p>
      <w:pPr>
        <w:ind w:left="320" w:hanging="312"/>
        <w:spacing w:after="0"/>
        <w:tabs>
          <w:tab w:leader="none" w:pos="3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Joined the Company on November 6, 2020</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corporate governance and nominating committee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Omid Farokhzad, M.D. </w:t>
      </w:r>
      <w:r>
        <w:rPr>
          <w:rFonts w:ascii="Times New Roman" w:cs="Times New Roman" w:eastAsia="Times New Roman" w:hAnsi="Times New Roman"/>
          <w:sz w:val="18"/>
          <w:szCs w:val="18"/>
          <w:color w:val="auto"/>
        </w:rPr>
        <w:t>co-founded our Company and has served as our Chief Executive Officer since February 2018 and as a member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since March 2017, serving as the Chair since September 2020. From September 2004 to February 2018, he was a Professor at Harvard Medical School and directed the Center for Nanomedicine at Brigham and Women’s Hospital. He previously co-founded BIND Therapeutics, a biotechnology company acquired by Pfizer Inc., Selecta Biosciences, Inc., a clinical-stage biotechnology company, and Tarveda Therapeutics, Inc., a clinical stage biopharmaceutical company. He currently serves as a member of the board of directors of several privately-held companies and previously served as a director of Selecta Biosciences and BIND Therapeutics. Dr. Farokhzad holds an M.A. and M.D. from Boston University and an M.B.A. from Massachusetts Institute of Technology Sloan School of Management. We believe Dr. Farokhzad is qualified to serve on our board of directors because of the perspective and experience he brings as our Chief Executive Officer, his experience in leadership positions in the biotechnology and life science industry, his educational background and his strong scientific knowledge.</w:t>
      </w:r>
    </w:p>
    <w:p>
      <w:pPr>
        <w:spacing w:after="0" w:line="13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David R. Horn </w:t>
      </w:r>
      <w:r>
        <w:rPr>
          <w:rFonts w:ascii="Times New Roman" w:cs="Times New Roman" w:eastAsia="Times New Roman" w:hAnsi="Times New Roman"/>
          <w:sz w:val="18"/>
          <w:szCs w:val="18"/>
          <w:color w:val="auto"/>
        </w:rPr>
        <w:t>has served as our Chief Financial Officer since May 2020. Prior to joining us, Mr. Horn was with Morgan Stanley, an investment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financial services company, from May 2007 to May 2020, where he served as a Managing Director in the Global Healthcare Group within the Investment Banking Department. From May 2003 to May 2007, Mr. Horn served as a Principal at Montgomery &amp; Co., LLC, a provider of merger and acquisition and private placement services. He holds an A.B. in Politics from Princeton University and an M.B.A. from Stanford University Graduate School of Business.</w:t>
      </w:r>
    </w:p>
    <w:p>
      <w:pPr>
        <w:spacing w:after="0" w:line="1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Omead Ostadan </w:t>
      </w:r>
      <w:r>
        <w:rPr>
          <w:rFonts w:ascii="Times New Roman" w:cs="Times New Roman" w:eastAsia="Times New Roman" w:hAnsi="Times New Roman"/>
          <w:sz w:val="18"/>
          <w:szCs w:val="18"/>
          <w:color w:val="auto"/>
        </w:rPr>
        <w:t>has served as our President and Chief Operating Officer since July 2020 and as a member of our board of directors since March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joining us, Mr. Ostadan was with Illumina, Inc., a biotechnology company, from January 2007 to June 2020 where he served in various executive roles, most recently as Senior Vice President &amp; Chief Products and Marketing Officer from July 2019 to June 2020 and Senior Vice President, Products &amp; Marketing from April 2015 to June 2019. Mr. Ostadan holds a B.Sc in Biochemistry from the University of</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17" w:right="339" w:bottom="1440" w:gutter="0" w:footer="0" w:header="0"/>
          <w:type w:val="continuous"/>
        </w:sectPr>
      </w:pPr>
    </w:p>
    <w:bookmarkStart w:id="129" w:name="page130"/>
    <w:bookmarkEnd w:id="129"/>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California, Davis and an M.B.A from the Wharton School of Business. We believe Mr. Ostadan is qualified to serve on our board of directors because of his extensive experience in product development at life science companies, his leadership skills, as well as his strong strategic planning and product knowledge.</w:t>
      </w:r>
    </w:p>
    <w:p>
      <w:pPr>
        <w:spacing w:after="0" w:line="120"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Elona Kogan </w:t>
      </w:r>
      <w:r>
        <w:rPr>
          <w:rFonts w:ascii="Times New Roman" w:cs="Times New Roman" w:eastAsia="Times New Roman" w:hAnsi="Times New Roman"/>
          <w:sz w:val="18"/>
          <w:szCs w:val="18"/>
          <w:color w:val="auto"/>
        </w:rPr>
        <w:t>has served as our General Counsel and Secretary since November 2020. Prior to joining us, Ms. Kogan served as General Counsel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Secretary of Selecta Biosciences, Inc., a clinical-stage biotechnology company, from March 2019 to August 2020. From July 2016 to April 2017, Ms. Kogan served as General Counsel and Head of Government Relations at ARIAD Pharmaceuticals, Inc., a rare disease oncology company, where she was a key executive through the acquisition of the company by Takeda Pharmaceuticals Company Limited. Ms. Kogan led the legal and government affairs functions of Avanir Pharmaceuticals, Inc., a publicly traded pharmaceutical company, from May 2011 to August 2015, until its acquisition by Otsuka Pharmaceutical Co. Ltd. Prior roles included positions of increasing responsibility at King Pharmaceuticals, Inc., Bristol-Myers Squibb, and Bergen Brunswig Corporation. Ms. Kogan is also a member of the board of Cardax, Inc. and serves as the Chairperson of the Compensation Committee and a member of the Audit Committee. Ms. Kogan is a graduate of the SCALE program at Southwestern University School of Law. Ms. Kogan graduated cum laude from Columbia University, Barnard College, with a B.A. in economics.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7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David Hallal </w:t>
      </w:r>
      <w:r>
        <w:rPr>
          <w:rFonts w:ascii="Times New Roman" w:cs="Times New Roman" w:eastAsia="Times New Roman" w:hAnsi="Times New Roman"/>
          <w:sz w:val="18"/>
          <w:szCs w:val="18"/>
          <w:color w:val="auto"/>
        </w:rPr>
        <w:t>has served as a member of our board of directors since February 2018 and as Lead Independent Director since September 2020.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Hallal has served as Chief Executive Officer of AlloVir, Inc., a biotechnology company since September 2018 and as Chief Executive Officer of ElevateBio LLC, a biotechnology company he co-founded, since December 2017. From June 2006 to December 2016, he served in various executive roles at Alexion Pharmaceuticals, Inc., a pharmaceutical company, most recently as Chief Executive Officer from April 2015 until December 2016, and as Chief Operating Officer from September 2014 until April 2015. Mr. Hallal currently serves as Chairman of the board at AlloVir, ElevateBio, Scholar Rock Holding Corp. and iTeos Therapeutics S.A. He holds a B.A. in Psychology from the University of New Hampshire. We believe Mr. Hallal is qualified to serve on our board of directors because of his extensive business experience and knowledge of company operations, and his experience working with companies in the life sciences industry.</w:t>
      </w:r>
    </w:p>
    <w:p>
      <w:pPr>
        <w:spacing w:after="0" w:line="13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Catherine J. Friedman </w:t>
      </w:r>
      <w:r>
        <w:rPr>
          <w:rFonts w:ascii="Times New Roman" w:cs="Times New Roman" w:eastAsia="Times New Roman" w:hAnsi="Times New Roman"/>
          <w:sz w:val="18"/>
          <w:szCs w:val="18"/>
          <w:color w:val="auto"/>
        </w:rPr>
        <w:t>has served as a member of our board of directors since September 2020. Ms. Friedman has been an independent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serving public and private companies in the life sciences industry since 2006. Ms. Friedman served in various executive roles from 1982 to 2006 at Morgan Stanley, an investment bank and financial services company, including as Manager Director from 1997 to 2006 and Head of West Coast Healthcare and Co-Head of the Biotechnology Practice from 1993 to 2006. She currently serves as Chairperson of the board at GRAIL, Inc., a cancer testing company, and on the board of directors of Altaba Inc., a closed-end management investment company (formerly Yahoo! Inc.), and Radius Health, Inc., a biopharmaceutical company. Ms. Friedman previously served on the board of directors of EnteroMedics, Inc., GSV Capital Corp., Innoviva, Inc. (formerly Theravance, Inc.), and XenoPort, Inc. She holds an A.B. in Economics from Harvard University and an M.B.A. from the University of Virginia Darden School of Business, where she serves as a member of the Darden School Foundation Board of Trustees. We believe Ms. Friedman is qualified to serve on our board of directors because of her financial expertise, 23-year tenure as an investment banker and extensive experience serving as a member on other public company boards.</w:t>
      </w:r>
    </w:p>
    <w:p>
      <w:pPr>
        <w:spacing w:after="0" w:line="13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Robert Langer, Sc.D. </w:t>
      </w:r>
      <w:r>
        <w:rPr>
          <w:rFonts w:ascii="Times New Roman" w:cs="Times New Roman" w:eastAsia="Times New Roman" w:hAnsi="Times New Roman"/>
          <w:sz w:val="18"/>
          <w:szCs w:val="18"/>
          <w:color w:val="auto"/>
        </w:rPr>
        <w:t>has served as a member of our board of directors since December 2017. Dr. Langer has served as a David H. Koch Institute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Professor at the Massachusetts Institute of Technology since July 2005. He currently serves on the board of directors of Abpro Bio Co. Ltd., Frequency Therapeutics, Inc., Lyra Therapeutics, Inc., Moderna, Inc. and Puretech Health plc, and previously served on the board of directors of Alkermes, Inc., Kala Pharmaceuticals, Inc., Momentum Pharmaceuticals, Inc., Millipore Corp., Rubius Therapeutics and Wyeth. Dr. Langer holds a B.S. in Chemical Engineering from Cornell University and an Sc.D. in Chemical Engineering from Massachusetts Institute of Technology. We believe Dr. Langer is qualified to serve on our board of directors because of his pioneering academic work, extensive medical and scientific knowledge, and experience serving on public company boards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17" w:right="339" w:bottom="1440" w:gutter="0" w:footer="0" w:header="0"/>
        </w:sectPr>
      </w:pPr>
    </w:p>
    <w:bookmarkStart w:id="130" w:name="page131"/>
    <w:bookmarkEnd w:id="130"/>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Terrance McGuire </w:t>
      </w:r>
      <w:r>
        <w:rPr>
          <w:rFonts w:ascii="Times New Roman" w:cs="Times New Roman" w:eastAsia="Times New Roman" w:hAnsi="Times New Roman"/>
          <w:sz w:val="18"/>
          <w:szCs w:val="18"/>
          <w:color w:val="auto"/>
        </w:rPr>
        <w:t>has served as a member of our board of directors since December 2017. Mr. McGuire serves as a General Partner of Polaris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a venture capital firm he co-founded in 1996. He currently serves on the board of directors of Alector, Inc. and Cyclerion, Inc., and previously served on the board of directors of Acceleron Pharma, Inc., Arsanis, Inc., Ironwood Pharmaceuticals, Inc. and Pulmatrix, Inc. Mr. McGuire also serves as a member of the board of The David H. Koch Institute for Integrative Cancer Research at the Massachusetts Institute of Technology, The Arthur Rock Center for Entrepreneurship at Harvard Business School and The Healthcare Initiative Advisory Board and on the Board of Advisors of the Thayer School of Engineering at Dartmouth College. Mr. McGuire holds a B.S. in Physics and Economics from Hobart College, an M.S. in Engineering from the Thayer School at Dartmouth College and an M.B.A. from Harvard Business School. We believe Mr. McGuire is qualified to serve on our board of directors because of his substantial corporate development and business strategy expertise gained in the venture capital industry.</w:t>
      </w:r>
    </w:p>
    <w:p>
      <w:pPr>
        <w:spacing w:after="0" w:line="13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David B. Singe</w:t>
      </w:r>
      <w:r>
        <w:rPr>
          <w:rFonts w:ascii="Times New Roman" w:cs="Times New Roman" w:eastAsia="Times New Roman" w:hAnsi="Times New Roman"/>
          <w:sz w:val="18"/>
          <w:szCs w:val="18"/>
          <w:color w:val="auto"/>
        </w:rPr>
        <w:t>r has served as a member of our board of directors since December 2017. Mr. Singer has held various positions at Maverick Ventures,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 capital firm, or its affiliates, since December 2004, including Managing Partner of Maverick Ventures since February 2015. Mr. Singer currently serves on the board of directors of 1Life Healthcare, Inc. (OneMedical), Castlight Health, Inc. and several privately-held companies. Previously, Mr. Singer served on the board of four other public companies, including Pacific BioSciences of California, Inc. and Affymetrix, Inc., where he was the founding CEO. He previously served as a health commissioner of San Francisco and a member of the San Francisco General Hospital Joint Conference Committee from July 2013 to January 2017. He holds a B.A. in History from Yale University and an M.B.A. from Stanford University. We believe Mr. Singer is qualified to serve on our board of directors because of his knowledge of the healthcare industry and his substantial corporate development and business strategy expertise gained in the venture capital industry.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2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122" w:lineRule="exact"/>
        <w:rPr>
          <w:sz w:val="20"/>
          <w:szCs w:val="20"/>
          <w:color w:val="auto"/>
        </w:rPr>
      </w:pPr>
    </w:p>
    <w:p>
      <w:pPr>
        <w:ind w:left="660" w:right="14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Catherine Friedman and Omead Ostadan, and their terms will expire at the annual meeting of stockholders to be held in 2021;</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Robert Langer Sc.D. and David Singer, and their terms will expire at the annual meeting of stockholders to be held in 2022; and</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Omid Farokhzad, M.D., David Hallal and Terrance McGuire, and their terms will expire at the annual meeting of stockholders to be held in 2023.</w:t>
      </w:r>
    </w:p>
    <w:p>
      <w:pPr>
        <w:spacing w:after="0" w:line="108" w:lineRule="exact"/>
        <w:rPr>
          <w:sz w:val="20"/>
          <w:szCs w:val="20"/>
          <w:color w:val="auto"/>
        </w:rPr>
      </w:pPr>
    </w:p>
    <w:p>
      <w:pPr>
        <w:jc w:val="both"/>
        <w:ind w:right="80" w:firstLine="324"/>
        <w:spacing w:after="0" w:line="281" w:lineRule="auto"/>
        <w:rPr>
          <w:sz w:val="20"/>
          <w:szCs w:val="20"/>
          <w:color w:val="auto"/>
        </w:rPr>
      </w:pPr>
      <w:r>
        <w:rPr>
          <w:rFonts w:ascii="Times New Roman" w:cs="Times New Roman" w:eastAsia="Times New Roman" w:hAnsi="Times New Roman"/>
          <w:sz w:val="17"/>
          <w:szCs w:val="17"/>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classification of our board of directors may have the effect of delaying or preventing changes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20"/>
          </w:cols>
          <w:pgMar w:left="320" w:top="117" w:right="359" w:bottom="1440" w:gutter="0" w:footer="0" w:header="0"/>
        </w:sectPr>
      </w:pPr>
    </w:p>
    <w:bookmarkStart w:id="131" w:name="page132"/>
    <w:bookmarkEnd w:id="131"/>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Upon the completion of this offering, we anticipate that our Class A common stock will be listed on the Nasdaq Global Select Market. Under the rules of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35"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2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3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Catherine Friedman, David Hallal, Terrance McGuire and David Singer, representing a majority of our directors, do not have a relationship that would interfere with the exercise of independent judgment in carrying out the responsibilities of a director and that each of these directors is “independent” as that term is defined under the rules of Nasdaq.</w:t>
      </w:r>
    </w:p>
    <w:p>
      <w:pPr>
        <w:spacing w:after="0" w:line="133"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7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has appointed David Hallal to serve as our Lead Independent Director. As a general matter, our board of directors believes that appointing a Lead Independent Director, while our Chief Executive Officer serves as Chair, creates an environment that encourages objective oversight of management’s performance and enhances the effectiveness of our board of directors as a whole. As Lead Independent Director, David Hallal will preside over periodic meetings of our independent directors, serve as a liaison between our Chair and Chief Executive Officer and our independent directors and perform such additional duties as our board of directors may otherwise determine and delegate.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an active role, as a whole and also at the committee level, in overseeing the management of our risks. Our board of directors is responsible for general oversight of risks and regular review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17" w:right="339" w:bottom="1440" w:gutter="0" w:footer="0" w:header="0"/>
        </w:sectPr>
      </w:pPr>
    </w:p>
    <w:bookmarkStart w:id="132" w:name="page133"/>
    <w:bookmarkEnd w:id="132"/>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an audit committee, a compensation committee and a corporate governance and nominating committee, each of which has the composition and the responsibilities described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members of our audit committee are Catherine Friedman, Terrance McGuire and David Singer. Catherine Friedman is the chair of our audit committee and is an audit committee financial expert, as that term is defined under the SEC rules implementing Section 407 of SOX, and possesses financial sophistication, as defined under the rules of Nasdaq. Our audit committee oversees our corporate accounting and financial reporting process and assists our board of directors in monitoring our financial systems. Our audit committee will also:</w:t>
      </w:r>
    </w:p>
    <w:p>
      <w:pPr>
        <w:spacing w:after="0" w:line="126"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and hire the independent registered public accounting firm to audit our financial statements;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 to ensure the independence and performance of the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audit and non-audit services and fees;</w:t>
      </w:r>
    </w:p>
    <w:p>
      <w:pPr>
        <w:spacing w:after="0" w:line="17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audit committee report that the SEC requires to be included in our annual proxy statement;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reports and communications from the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effectiveness of our internal controls and disclosure controls and procedure;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policies on risk assessment and risk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related-party transactions; and</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0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audit committee will operate under a written charter, to be effective prior to the completion of this offering, which will satisfy the applicable rules of the SEC and the listing standards of Nasdaq.</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members of our compensation committee are Terrance McGuire, David Hallal and David Singer. Terrance McGuire is the chair of our compensation committee. Our compensation committee oversees our compensation policies, plans and benefits programs. The compensation committee will also:</w:t>
      </w:r>
    </w:p>
    <w:p>
      <w:pPr>
        <w:spacing w:after="0" w:line="122"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our overall compensation philosophy and compensation policies, plans and benefit programs;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w:t>
      </w:r>
    </w:p>
    <w:p>
      <w:pPr>
        <w:sectPr>
          <w:pgSz w:w="11900" w:h="16838" w:orient="portrait"/>
          <w:cols w:equalWidth="0" w:num="1">
            <w:col w:w="11200"/>
          </w:cols>
          <w:pgMar w:left="320" w:top="117" w:right="379" w:bottom="1440" w:gutter="0" w:footer="0" w:header="0"/>
        </w:sectPr>
      </w:pPr>
    </w:p>
    <w:bookmarkStart w:id="133" w:name="page134"/>
    <w:bookmarkEnd w:id="133"/>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recommend to the board of directors for approval compensation for our executive officers and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compensation committee report that the SEC will require to be included in our annual proxy statement;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equity compensation plans.</w:t>
      </w:r>
    </w:p>
    <w:p>
      <w:pPr>
        <w:spacing w:after="0" w:line="171"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Our compensation committee will operate under a written charter, to be effective prior to the completion of this offering, which will satisfy the applicable rules of the SEC and the listing standards of Nasdaq.</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and Nominating Committee</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members of our corporate governance and nominating committee are David Hallal, Catherine Friedman and Robert Langer, Sc.D. David Hallal is the chair of our corporate governance and nominating committee. Our corporate governance and nominating committee oversees and assists our board of directors in reviewing and recommending nominees for election as directors. Specifically, the corporate governance and nominating committee will:</w:t>
      </w:r>
    </w:p>
    <w:p>
      <w:pPr>
        <w:spacing w:after="0" w:line="122" w:lineRule="exact"/>
        <w:rPr>
          <w:sz w:val="20"/>
          <w:szCs w:val="20"/>
          <w:color w:val="auto"/>
        </w:rPr>
      </w:pPr>
    </w:p>
    <w:p>
      <w:pPr>
        <w:ind w:left="660" w:right="82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make recommendations to our board of directors regarding nominees for election to our board of directors and its committees;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make recommendations to our board of directors regarding the composition of our board of directors and its committees;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developments in corporate governance practices;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adequacy of our corporate governance practices and reporting;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our board of directors and of individual directors.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corporate governance and nominating committee will operate under a written charter, to be effective prior to the completion of this offering, which will satisfy the applicable rules of the SEC and the listing standards of Nasdaq.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Advisory Board Compensation</w:t>
      </w:r>
    </w:p>
    <w:p>
      <w:pPr>
        <w:spacing w:after="0" w:line="175"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also reimburse each member of our scientific advisory board for all reasonable and necessary expenses in connection with the performance of his or her services. In addition, we grant each new member an option to purchase shares of our Class A common stock. In the future, we may make additional grants to our scientific advisory board members for continued service on the scientific advisory board.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jc w:val="both"/>
        <w:ind w:right="420" w:firstLine="324"/>
        <w:spacing w:after="0" w:line="312" w:lineRule="auto"/>
        <w:rPr>
          <w:sz w:val="20"/>
          <w:szCs w:val="20"/>
          <w:color w:val="auto"/>
        </w:rPr>
      </w:pPr>
      <w:r>
        <w:rPr>
          <w:rFonts w:ascii="Times New Roman" w:cs="Times New Roman" w:eastAsia="Times New Roman" w:hAnsi="Times New Roman"/>
          <w:sz w:val="17"/>
          <w:szCs w:val="17"/>
          <w:color w:val="auto"/>
        </w:rPr>
        <w:t>Our employee director, Dr. Farokhzad, did not receive any compensation for his service as a director for the year ended December 31, 2019. The compensation received by Dr. Farokhzad as an employee is set forth in the section titled “Executive Compensation—Summary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20"/>
          </w:cols>
          <w:pgMar w:left="320" w:top="117" w:right="359" w:bottom="1440" w:gutter="0" w:footer="0" w:header="0"/>
        </w:sectPr>
      </w:pPr>
    </w:p>
    <w:bookmarkStart w:id="134" w:name="page135"/>
    <w:bookmarkEnd w:id="134"/>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compensation of our non-employee directors for service as directors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Option Awards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6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Catherine J. Friedman</w:t>
            </w:r>
            <w:r>
              <w:rPr>
                <w:rFonts w:ascii="Times New Roman" w:cs="Times New Roman" w:eastAsia="Times New Roman" w:hAnsi="Times New Roman"/>
                <w:sz w:val="23"/>
                <w:szCs w:val="23"/>
                <w:color w:val="auto"/>
                <w:vertAlign w:val="superscript"/>
              </w:rPr>
              <w:t>(2)</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Hallal</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Langer, Sc.D.</w:t>
            </w: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McClellan, Ph.D.</w:t>
            </w:r>
            <w:r>
              <w:rPr>
                <w:rFonts w:ascii="Times New Roman" w:cs="Times New Roman" w:eastAsia="Times New Roman" w:hAnsi="Times New Roman"/>
                <w:sz w:val="23"/>
                <w:szCs w:val="23"/>
                <w:color w:val="auto"/>
                <w:vertAlign w:val="superscript"/>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658,600</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658,600</w:t>
            </w: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Terrance McGuire</w:t>
            </w: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Singer</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2"/>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jc w:val="both"/>
        <w:ind w:left="340" w:right="200" w:hanging="332"/>
        <w:spacing w:after="0" w:line="241" w:lineRule="auto"/>
        <w:tabs>
          <w:tab w:leader="none" w:pos="33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the aggregate grant-date fair value of the award as computed as of the grant date of each option awarded in fiscal 2019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elsewhere in this prospectus.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Friedman joined our board of directors in September 2020.</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McClellan resigned from our board of directors in September 2020.</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held by our non-employee directors as of December 31,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Underlying Unvested</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Unexercised Options</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0" w:type="dxa"/>
            <w:vAlign w:val="bottom"/>
          </w:tcPr>
          <w:p>
            <w:pPr>
              <w:spacing w:after="0"/>
              <w:rPr>
                <w:sz w:val="1"/>
                <w:szCs w:val="1"/>
                <w:color w:val="auto"/>
              </w:rPr>
            </w:pPr>
          </w:p>
        </w:tc>
      </w:tr>
      <w:tr>
        <w:trPr>
          <w:trHeight w:val="19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940" w:type="dxa"/>
            <w:vAlign w:val="bottom"/>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2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Catherine J. Friedman</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left="654"/>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David Hallal</w:t>
            </w:r>
          </w:p>
        </w:tc>
        <w:tc>
          <w:tcPr>
            <w:tcW w:w="14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2/19/2018</w:t>
            </w:r>
          </w:p>
        </w:tc>
        <w:tc>
          <w:tcPr>
            <w:tcW w:w="1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89,734</w:t>
            </w: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left="574"/>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9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5/18/2018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58,521</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left="574"/>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80" w:type="dxa"/>
            <w:vAlign w:val="bottom"/>
          </w:tcPr>
          <w:p>
            <w:pPr>
              <w:spacing w:after="0"/>
              <w:rPr>
                <w:sz w:val="4"/>
                <w:szCs w:val="4"/>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9/20/2017</w:t>
            </w:r>
          </w:p>
        </w:tc>
        <w:tc>
          <w:tcPr>
            <w:tcW w:w="10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55,977</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vMerge w:val="restart"/>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restart"/>
          </w:tcPr>
          <w:p>
            <w:pPr>
              <w:jc w:val="center"/>
              <w:ind w:left="574"/>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vMerge w:val="restart"/>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Robert Langer, Sc.D.</w:t>
            </w:r>
          </w:p>
        </w:tc>
        <w:tc>
          <w:tcPr>
            <w:tcW w:w="1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380" w:type="dxa"/>
            <w:vAlign w:val="bottom"/>
            <w:shd w:val="clear" w:color="auto" w:fill="CCEEFF"/>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2/19/2018</w:t>
            </w:r>
          </w:p>
        </w:tc>
        <w:tc>
          <w:tcPr>
            <w:tcW w:w="10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22,242</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vMerge w:val="restart"/>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4"/>
                <w:szCs w:val="4"/>
                <w:color w:val="auto"/>
              </w:rPr>
            </w:pPr>
          </w:p>
        </w:tc>
        <w:tc>
          <w:tcPr>
            <w:tcW w:w="1160" w:type="dxa"/>
            <w:vAlign w:val="bottom"/>
            <w:gridSpan w:val="2"/>
            <w:vMerge w:val="restart"/>
          </w:tcPr>
          <w:p>
            <w:pPr>
              <w:jc w:val="center"/>
              <w:ind w:left="574"/>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vMerge w:val="restart"/>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5/18/2018</w:t>
            </w:r>
          </w:p>
        </w:tc>
        <w:tc>
          <w:tcPr>
            <w:tcW w:w="100" w:type="dxa"/>
            <w:vAlign w:val="bottom"/>
          </w:tcPr>
          <w:p>
            <w:pPr>
              <w:spacing w:after="0"/>
              <w:rPr>
                <w:sz w:val="18"/>
                <w:szCs w:val="18"/>
                <w:color w:val="auto"/>
              </w:rPr>
            </w:pP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104,036</w:t>
            </w: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634"/>
              <w:spacing w:after="0" w:line="176" w:lineRule="exact"/>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8"/>
                <w:szCs w:val="18"/>
                <w:color w:val="auto"/>
              </w:rPr>
            </w:pPr>
          </w:p>
        </w:tc>
        <w:tc>
          <w:tcPr>
            <w:tcW w:w="122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w w:val="98"/>
              </w:rPr>
              <w:t>5/17/2028</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Mark McClellan, Ph.D.</w:t>
            </w:r>
            <w:r>
              <w:rPr>
                <w:rFonts w:ascii="Times New Roman" w:cs="Times New Roman" w:eastAsia="Times New Roman" w:hAnsi="Times New Roman"/>
                <w:sz w:val="23"/>
                <w:szCs w:val="23"/>
                <w:color w:val="auto"/>
                <w:vertAlign w:val="superscript"/>
              </w:rPr>
              <w:t>(7)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6/27/2019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301,367</w:t>
            </w:r>
          </w:p>
        </w:tc>
        <w:tc>
          <w:tcPr>
            <w:tcW w:w="460" w:type="dxa"/>
            <w:vAlign w:val="bottom"/>
          </w:tcPr>
          <w:p>
            <w:pPr>
              <w:ind w:left="40"/>
              <w:spacing w:after="0" w:line="96" w:lineRule="exact"/>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9"/>
                <w:szCs w:val="19"/>
                <w:color w:val="auto"/>
              </w:rPr>
            </w:pPr>
          </w:p>
        </w:tc>
        <w:tc>
          <w:tcPr>
            <w:tcW w:w="108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9"/>
                <w:szCs w:val="19"/>
                <w:color w:val="auto"/>
              </w:rPr>
            </w:pPr>
          </w:p>
        </w:tc>
        <w:tc>
          <w:tcPr>
            <w:tcW w:w="12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6/26/2029</w:t>
            </w: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Terrance McGuire</w:t>
            </w:r>
          </w:p>
        </w:tc>
        <w:tc>
          <w:tcPr>
            <w:tcW w:w="14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11/15/2017</w:t>
            </w:r>
          </w:p>
        </w:tc>
        <w:tc>
          <w:tcPr>
            <w:tcW w:w="1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60,845</w:t>
            </w: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left="574"/>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9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380" w:type="dxa"/>
            <w:vAlign w:val="bottom"/>
            <w:shd w:val="clear" w:color="auto" w:fill="CCEEFF"/>
          </w:tcPr>
          <w:p>
            <w:pPr>
              <w:spacing w:after="0"/>
              <w:rPr>
                <w:sz w:val="4"/>
                <w:szCs w:val="4"/>
                <w:color w:val="auto"/>
              </w:rPr>
            </w:pPr>
          </w:p>
        </w:tc>
        <w:tc>
          <w:tcPr>
            <w:tcW w:w="14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22,242</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vMerge w:val="restart"/>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4"/>
                <w:szCs w:val="4"/>
                <w:color w:val="auto"/>
              </w:rPr>
            </w:pPr>
          </w:p>
        </w:tc>
        <w:tc>
          <w:tcPr>
            <w:tcW w:w="1160" w:type="dxa"/>
            <w:vAlign w:val="bottom"/>
            <w:gridSpan w:val="2"/>
            <w:vMerge w:val="restart"/>
          </w:tcPr>
          <w:p>
            <w:pPr>
              <w:jc w:val="center"/>
              <w:ind w:left="574"/>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vMerge w:val="restart"/>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2/19/2018</w:t>
            </w: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5/18/2018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104,036</w:t>
            </w: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9"/>
                <w:szCs w:val="19"/>
                <w:color w:val="auto"/>
              </w:rPr>
            </w:pPr>
          </w:p>
        </w:tc>
        <w:tc>
          <w:tcPr>
            <w:tcW w:w="12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5/17/2028</w:t>
            </w:r>
          </w:p>
        </w:tc>
        <w:tc>
          <w:tcPr>
            <w:tcW w:w="0" w:type="dxa"/>
            <w:vAlign w:val="bottom"/>
          </w:tcPr>
          <w:p>
            <w:pPr>
              <w:spacing w:after="0"/>
              <w:rPr>
                <w:sz w:val="1"/>
                <w:szCs w:val="1"/>
                <w:color w:val="auto"/>
              </w:rPr>
            </w:pPr>
          </w:p>
        </w:tc>
      </w:tr>
      <w:tr>
        <w:trPr>
          <w:trHeight w:val="20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Singer</w:t>
            </w:r>
          </w:p>
        </w:tc>
        <w:tc>
          <w:tcPr>
            <w:tcW w:w="10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left="574"/>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-1709420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-1263650</wp:posOffset>
            </wp:positionV>
            <wp:extent cx="7132320" cy="436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132320" cy="436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ind w:left="320" w:hanging="312"/>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Friedman joined our board of directors in September 2020.</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acquired pursuant to a restricted stock award and vest in 27 equal monthly installments beginning on January 23, 2020, subject to continued service to the Company.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acquired pursuant to an early option exercise and vest in 27 equal monthly installments beginning on January 23, 2020, subject to continued service to the Company.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acquired pursuant to a restricted stock award and vest in 23 equal monthly installments beginning on January 31, 2020, subject to continued service to the Company.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acquired pursuant to a restricted stock award and vest in 25 equal monthly installments beginning on January 31, 2020, subject to continued service to the Company.</w:t>
      </w:r>
    </w:p>
    <w:p>
      <w:pPr>
        <w:spacing w:after="0" w:line="1" w:lineRule="exact"/>
        <w:rPr>
          <w:rFonts w:ascii="Times New Roman" w:cs="Times New Roman" w:eastAsia="Times New Roman" w:hAnsi="Times New Roman"/>
          <w:sz w:val="14"/>
          <w:szCs w:val="14"/>
          <w:color w:val="auto"/>
        </w:rPr>
      </w:pPr>
    </w:p>
    <w:p>
      <w:pPr>
        <w:ind w:left="340" w:right="180" w:hanging="332"/>
        <w:spacing w:after="0" w:line="241" w:lineRule="auto"/>
        <w:tabs>
          <w:tab w:leader="none" w:pos="33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the option are subject to an early exercise provision and are immediately exercisable. One-fourth of the shares underlying the option vested on March 23, 2019, and 1/48th of the shares vest monthly thereafter, subject to continued service to the Company.</w:t>
      </w:r>
    </w:p>
    <w:p>
      <w:pPr>
        <w:ind w:left="320" w:hanging="312"/>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McClellan resigned from our board of directors in September 2020.</w:t>
      </w:r>
    </w:p>
    <w:p>
      <w:pPr>
        <w:spacing w:after="0" w:line="1" w:lineRule="exact"/>
        <w:rPr>
          <w:rFonts w:ascii="Times New Roman" w:cs="Times New Roman" w:eastAsia="Times New Roman" w:hAnsi="Times New Roman"/>
          <w:sz w:val="14"/>
          <w:szCs w:val="14"/>
          <w:color w:val="auto"/>
        </w:rPr>
      </w:pPr>
    </w:p>
    <w:p>
      <w:pPr>
        <w:ind w:left="340" w:right="260" w:hanging="332"/>
        <w:spacing w:after="0" w:line="241" w:lineRule="auto"/>
        <w:tabs>
          <w:tab w:leader="none" w:pos="33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the option are subject to an early exercise provision and are immediately exercisable. One-fourth of the shares underlying the option vested on March 6, 2020, and 1/48th of the shares vest monthly thereafter, subject to continued service to the Company.</w:t>
      </w:r>
    </w:p>
    <w:p>
      <w:pPr>
        <w:ind w:left="340" w:right="140" w:hanging="332"/>
        <w:spacing w:after="0" w:line="258" w:lineRule="auto"/>
        <w:tabs>
          <w:tab w:leader="none" w:pos="33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are held of record by Strong Bridge LLC (Strong Bridge) for which Mr. McGuire serves as an operating manager. The shares were acquired pursuant to a restricted stock award and vest in 25 equal monthly installments beginning on January 31, 2020, subject to Mr. McGuire’s continued service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17" w:right="339" w:bottom="1440" w:gutter="0" w:footer="0" w:header="0"/>
        </w:sectPr>
      </w:pPr>
    </w:p>
    <w:bookmarkStart w:id="135" w:name="page136"/>
    <w:bookmarkEnd w:id="135"/>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80" w:hanging="332"/>
        <w:spacing w:after="0" w:line="253" w:lineRule="auto"/>
        <w:tabs>
          <w:tab w:leader="none" w:pos="337"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are held of record by Strong Bridge. The shares were acquired pursuant to an early exercise provision and vest in 25 equal monthly installments beginning on January 31, 2020, subject to Mr. McGuire’s continued service to the Company.</w:t>
      </w:r>
    </w:p>
    <w:p>
      <w:pPr>
        <w:ind w:left="340" w:right="540" w:hanging="332"/>
        <w:spacing w:after="0" w:line="258" w:lineRule="auto"/>
        <w:tabs>
          <w:tab w:leader="none" w:pos="331"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is held of record by Strong Bridge. The shares underlying the option are subject to an early exercise provision and are immediately exercisable. One-fourth of the shares underlying the option vested on March 23, 2019, and 1/48th of the shares vest monthly thereafter, subject to Mr. McGuire’s continued service to the Company.</w:t>
      </w:r>
    </w:p>
    <w:p>
      <w:pPr>
        <w:spacing w:after="0" w:line="128" w:lineRule="exact"/>
        <w:rPr>
          <w:sz w:val="20"/>
          <w:szCs w:val="20"/>
          <w:color w:val="auto"/>
        </w:rPr>
      </w:pPr>
    </w:p>
    <w:p>
      <w:pPr>
        <w:ind w:right="1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Following the completion of this offering, we expect to implement an annual cash and equity compensation program for our non-employee directors. </w:t>
      </w:r>
      <w:r>
        <w:rPr>
          <w:rFonts w:ascii="Times New Roman" w:cs="Times New Roman" w:eastAsia="Times New Roman" w:hAnsi="Times New Roman"/>
          <w:sz w:val="18"/>
          <w:szCs w:val="18"/>
          <w:b w:val="1"/>
          <w:bCs w:val="1"/>
          <w:color w:val="auto"/>
        </w:rPr>
        <w:t>Outside Director Compensation Policy</w:t>
      </w:r>
    </w:p>
    <w:p>
      <w:pPr>
        <w:spacing w:after="0" w:line="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Prior to this offering, we did not have a formal policy with respect to compensation payable to our non-employee directors for their service as directors. From time to time, we have granted equity awards to attract non-employee directors to join our board of directors and for their continued service on our board of directors. We also have reimbursed our directors for expenses associated with attending meetings of our board of directors and its committees.</w:t>
      </w:r>
    </w:p>
    <w:p>
      <w:pPr>
        <w:spacing w:after="0" w:line="12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2020, our compensation committee retained Radford, a third-party compensation consultant, to provide our board of directors and its compensation committee with an analysis of publicly available market data regarding practices and compensation levels at comparable companies and assistance in determining compensation to be provided to our non-employee directors. Based on the discussions with and assistance from the compensation consultant, prior to this offering, our board of directors adopted, and our stockholders approved, an Outside Director Compensation Policy that provides for certain compensation to our non-employee directors on and after the effective date of the registration statement of which this prospectus forms a part. The below is a summary of the terms of the Outside Director Compensation Policy.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Outside Director Compensation Policy provides for the following cash compensation program for our non-employee directors, effective upon the effective date of the registration statement of which this prospectus forms a part:</w:t>
      </w:r>
    </w:p>
    <w:p>
      <w:pPr>
        <w:spacing w:after="0" w:line="108"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per year for service as a non-employee director;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service as lead independent director;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service as chair of the audit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a member of the audit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 per year for service as chair of the compensation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 per year for service as a member of the compensation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chair of the corporate governance and nominating committee;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per year for service as a member of the corporate governance and nominating committee.</w:t>
      </w:r>
    </w:p>
    <w:p>
      <w:pPr>
        <w:spacing w:after="0" w:line="171"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Each non-employee director who serves as a committee chair will receive only the cash retainer fee as the chair of the committee but not the cash retainer fee as a member of that committee, provided that the non-employee director who serves as lead independent director will receive the annual retainer fees for such role as well as the annual retainer fee for service as a non-employee director. These fees to our non-employee directors will be paid quarterly in arrears on a prorated basis. The above-listed fees for service as lead independent director, a chair or member of any committee are payable in addition to the non-employee director retainer. Under our Outside Director Compensation Policy, we also will reimburse our non-employee directors for reasonable travel expenses to attend meetings of our board of directors and its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00"/>
          </w:cols>
          <w:pgMar w:left="320" w:top="117" w:right="379" w:bottom="1440" w:gutter="0" w:footer="0" w:header="0"/>
        </w:sectPr>
      </w:pPr>
    </w:p>
    <w:bookmarkStart w:id="136" w:name="page137"/>
    <w:bookmarkEnd w:id="136"/>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73"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Initial Award</w:t>
      </w:r>
      <w:r>
        <w:rPr>
          <w:rFonts w:ascii="Times New Roman" w:cs="Times New Roman" w:eastAsia="Times New Roman" w:hAnsi="Times New Roman"/>
          <w:sz w:val="18"/>
          <w:szCs w:val="18"/>
          <w:color w:val="auto"/>
        </w:rPr>
        <w:t>. Pursuant to our Outside Director Compensation Policy, each person who first becomes a non-employee director after the effective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policy will receive, on the first trading day on or after the date that the person first becomes a non-employee director, an initial award of stock options to purchase 37,383 shares of our common stock (the Initial Award). The Initial Award will be scheduled to vest in equal installments as to 1/36th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2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Annual Award</w:t>
      </w:r>
      <w:r>
        <w:rPr>
          <w:rFonts w:ascii="Times New Roman" w:cs="Times New Roman" w:eastAsia="Times New Roman" w:hAnsi="Times New Roman"/>
          <w:sz w:val="18"/>
          <w:szCs w:val="18"/>
          <w:color w:val="auto"/>
        </w:rPr>
        <w:t>. Each non-employee director automatically will receive, on the first trading day immediately after the date of each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stockholders (an Annual Meeting) that occurs following the effective date of our Outside Director Compensation Policy, an annual award of stock options to purchase 18,691 shares of our common stock (the Annual Award), except if an individual began service as a non-employee director after the date of the Annual Meeting that occurred immediately prior to such Annual Meeting (or if there is no such prior Annual Meeting, then the effective date of the registration statement of the offering of which this prospectus forms a part), then the Annual Award granted to such non-employee director will be prorated based on the number of whole months that the individual served as a non-employee director prior to the Annual Award’s grant date during the 12 month period immediately preceding such Annual Meeting or such effective registration statement date, as applicable. Each Annual Award will be scheduled to vest as to all of the shares of our common stock subject to such award on the earlier of (i) the one year anniversary of the date the Annual Award is granted or (ii) the day immediately before the date of the next Annual Meeting that occurs after the grant date of the Annual Award, subject to continued services to us through the applicable vesting date.</w:t>
      </w:r>
    </w:p>
    <w:p>
      <w:pPr>
        <w:spacing w:after="0" w:line="13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IPO Awards. </w:t>
      </w:r>
      <w:r>
        <w:rPr>
          <w:rFonts w:ascii="Times New Roman" w:cs="Times New Roman" w:eastAsia="Times New Roman" w:hAnsi="Times New Roman"/>
          <w:sz w:val="18"/>
          <w:szCs w:val="18"/>
          <w:color w:val="auto"/>
        </w:rPr>
        <w:t>Effective as of the effective date of the registration statement of which this prospectus forms a part, each non-employee director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was granted any stock options covering shares of our common stock prior to such date will be granted an award of stock options to purchase 18,691 shares of our common stock (a Continuing Director IPO Award) and each non-employee director who, prior to such date, was not granted any stock options covering shares of our common stock will be granted an award of stock options to purchase 37,383 shares of our common stock (a New Director IPO Award). Each New Director IPO Award will be scheduled to vest in equal installments as to 1/36th of the shares of our common stock subject to the New Director IPO Award on a monthly basis following the effective date of the registration statement of which this prospectus forms a part, on the same day of the month as such date, subject to continued services to us through the applicable vesting dates. Each Continuing Director IPO Award will be scheduled to vest as to all of the shares of our common stock subject to such award on the earlier of (i) the one year anniversary of the date the Continuing Director IPO Award is granted or (ii) the day immediately before the date of the next Annual Meeting that occurs after the effective date of the registration statement of which this prospectus forms a part, subject to continued services to us through the applicable vesting date.</w:t>
      </w:r>
    </w:p>
    <w:p>
      <w:pPr>
        <w:spacing w:after="0" w:line="131"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of our change in control, as defined in our 2020 Equity Incentive Plan, each non-employee director’s then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awards covering shares of our common stock that were granted to him or her while a non-employee director will accelerate vesting in full, provided that he or she remains a non-employee director through the date of our change in control.</w:t>
      </w:r>
    </w:p>
    <w:p>
      <w:pPr>
        <w:spacing w:after="0" w:line="11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Other Award Terms</w:t>
      </w:r>
      <w:r>
        <w:rPr>
          <w:rFonts w:ascii="Times New Roman" w:cs="Times New Roman" w:eastAsia="Times New Roman" w:hAnsi="Times New Roman"/>
          <w:sz w:val="18"/>
          <w:szCs w:val="18"/>
          <w:color w:val="auto"/>
        </w:rPr>
        <w:t>. Each Initial Award, Annual Award, Continuing Director IPO Award, and New Director IPO Award will be granted under our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Incentive Plan (or its successor plan, as applicable) and form of award agreement under such plan. These awards will have a maximum term to expiration of ten years from their grant and a per share exercise price equal to 100% of the fair market value of a share of our common stock on the award’s grant date.</w:t>
      </w:r>
    </w:p>
    <w:p>
      <w:pPr>
        <w:spacing w:after="0" w:line="126"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Director Compensation Limits</w:t>
      </w:r>
      <w:r>
        <w:rPr>
          <w:rFonts w:ascii="Times New Roman" w:cs="Times New Roman" w:eastAsia="Times New Roman" w:hAnsi="Times New Roman"/>
          <w:sz w:val="18"/>
          <w:szCs w:val="18"/>
          <w:color w:val="auto"/>
        </w:rPr>
        <w:t>. Our Outside Director Compensation Policy provides that in any fiscal year, a non-employee director may be paid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granted equity awards with an aggregate value of no more than $750,000 (with the value of equity awards based on its grant date fair value determined in accordance with U.S. GAAP for purposes of this limit), with such limit increased to $1,000,000 in the fiscal year of his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20"/>
          </w:cols>
          <w:pgMar w:left="320" w:top="117" w:right="359" w:bottom="1440" w:gutter="0" w:footer="0" w:header="0"/>
        </w:sectPr>
      </w:pPr>
    </w:p>
    <w:bookmarkStart w:id="137" w:name="page138"/>
    <w:bookmarkEnd w:id="137"/>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initial service as a non-employee director. Equity awards granted or other compensation provided to a non-employee director for services provided as an employee or consultant (other than a non-employee director), or provided before the effective date of the registration statement of which this prospectus forms a part, will not count toward this annual limit.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 Participation</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http://seer.bio.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public filings. Information contained on the website is not incorporated by reference into this prospectus and should not be considered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80"/>
          </w:cols>
          <w:pgMar w:left="320" w:top="117" w:right="399" w:bottom="1440" w:gutter="0" w:footer="0" w:header="0"/>
        </w:sectPr>
      </w:pPr>
    </w:p>
    <w:bookmarkStart w:id="138" w:name="page139"/>
    <w:bookmarkEnd w:id="138"/>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Our named executive officers for the year ended December 31, 2019, which consist of our principal executive officer and our only other executive officer for that year, are:</w:t>
      </w:r>
    </w:p>
    <w:p>
      <w:pPr>
        <w:spacing w:after="0" w:line="108"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Omid Farokhzad, M.D., our Chief Executive Officer;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 Ma, Ph.D., our Chief Business Officer and former President.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compensation of our named executive officers for the year ended December 31, 2019.</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Bonus</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Awards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33" w:lineRule="exact"/>
        <w:rPr>
          <w:sz w:val="20"/>
          <w:szCs w:val="20"/>
          <w:color w:val="auto"/>
        </w:rPr>
      </w:pPr>
    </w:p>
    <w:p>
      <w:pPr>
        <w:sectPr>
          <w:pgSz w:w="11900" w:h="16838" w:orient="portrait"/>
          <w:cols w:equalWidth="0" w:num="9">
            <w:col w:w="2200" w:space="720"/>
            <w:col w:w="280" w:space="660"/>
            <w:col w:w="400" w:space="580"/>
            <w:col w:w="380" w:space="460"/>
            <w:col w:w="460" w:space="460"/>
            <w:col w:w="480" w:space="480"/>
            <w:col w:w="900" w:space="520"/>
            <w:col w:w="880" w:space="700"/>
            <w:col w:w="6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620" w:type="dxa"/>
            <w:vAlign w:val="bottom"/>
            <w:tcBorders>
              <w:top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Omid Farokhzad, M.D.</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421,011</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vMerge w:val="restart"/>
            <w:shd w:val="clear" w:color="auto" w:fill="CCEEFF"/>
          </w:tcPr>
          <w:p>
            <w:pPr>
              <w:spacing w:after="0"/>
              <w:rPr>
                <w:sz w:val="16"/>
                <w:szCs w:val="16"/>
                <w:color w:val="auto"/>
              </w:rPr>
            </w:pPr>
          </w:p>
        </w:tc>
        <w:tc>
          <w:tcPr>
            <w:tcW w:w="840" w:type="dxa"/>
            <w:vAlign w:val="bottom"/>
            <w:tcBorders>
              <w:top w:val="single" w:sz="8" w:color="auto"/>
            </w:tcBorders>
            <w:vMerge w:val="restart"/>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vMerge w:val="restart"/>
            <w:shd w:val="clear" w:color="auto" w:fill="CCEEFF"/>
          </w:tcPr>
          <w:p>
            <w:pPr>
              <w:spacing w:after="0"/>
              <w:rPr>
                <w:sz w:val="16"/>
                <w:szCs w:val="16"/>
                <w:color w:val="auto"/>
              </w:rPr>
            </w:pPr>
          </w:p>
        </w:tc>
        <w:tc>
          <w:tcPr>
            <w:tcW w:w="840" w:type="dxa"/>
            <w:vAlign w:val="bottom"/>
            <w:tcBorders>
              <w:top w:val="single" w:sz="8" w:color="auto"/>
            </w:tcBorders>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vMerge w:val="restart"/>
            <w:shd w:val="clear" w:color="auto" w:fill="CCEEFF"/>
          </w:tcPr>
          <w:p>
            <w:pPr>
              <w:spacing w:after="0"/>
              <w:rPr>
                <w:sz w:val="16"/>
                <w:szCs w:val="16"/>
                <w:color w:val="auto"/>
              </w:rPr>
            </w:pPr>
          </w:p>
        </w:tc>
        <w:tc>
          <w:tcPr>
            <w:tcW w:w="380" w:type="dxa"/>
            <w:vAlign w:val="bottom"/>
            <w:tcBorders>
              <w:top w:val="single" w:sz="8" w:color="auto"/>
            </w:tcBorders>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214,240</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115,872</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751,123</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Philip Ma, Ph.D.</w:t>
            </w:r>
            <w:r>
              <w:rPr>
                <w:rFonts w:ascii="Times New Roman" w:cs="Times New Roman" w:eastAsia="Times New Roman" w:hAnsi="Times New Roman"/>
                <w:sz w:val="20"/>
                <w:szCs w:val="20"/>
                <w:color w:val="auto"/>
                <w:vertAlign w:val="superscript"/>
              </w:rPr>
              <w:t>(1)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342,071</w:t>
            </w:r>
          </w:p>
        </w:tc>
        <w:tc>
          <w:tcPr>
            <w:tcW w:w="100" w:type="dxa"/>
            <w:vAlign w:val="bottom"/>
          </w:tcPr>
          <w:p>
            <w:pPr>
              <w:spacing w:after="0"/>
              <w:rPr>
                <w:sz w:val="15"/>
                <w:szCs w:val="15"/>
                <w:color w:val="auto"/>
              </w:rPr>
            </w:pPr>
          </w:p>
        </w:tc>
        <w:tc>
          <w:tcPr>
            <w:tcW w:w="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tcPr>
          <w:p>
            <w:pPr>
              <w:spacing w:after="0"/>
              <w:rPr>
                <w:sz w:val="15"/>
                <w:szCs w:val="15"/>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15,014</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487,085</w:t>
            </w: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Chief Business Officer</w:t>
            </w: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 w:lineRule="exact"/>
        <w:rPr>
          <w:sz w:val="20"/>
          <w:szCs w:val="20"/>
          <w:color w:val="auto"/>
        </w:rPr>
      </w:pPr>
    </w:p>
    <w:p>
      <w:pPr>
        <w:ind w:left="320" w:hanging="312"/>
        <w:spacing w:after="0"/>
        <w:tabs>
          <w:tab w:leader="none" w:pos="3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Ma transitioned to PrognomIQ to serve as its full-time chief executive officer as of October 15, 2020. He will remain a consultant of the Company until April 2021.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each of our named executive officers as of December 31,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3"/>
          </w:tcPr>
          <w:p>
            <w:pPr>
              <w:jc w:val="right"/>
              <w:ind w:right="943"/>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 Units of</w:t>
            </w:r>
          </w:p>
        </w:tc>
        <w:tc>
          <w:tcPr>
            <w:tcW w:w="0" w:type="dxa"/>
            <w:vAlign w:val="bottom"/>
          </w:tcPr>
          <w:p>
            <w:pPr>
              <w:spacing w:after="0"/>
              <w:rPr>
                <w:sz w:val="1"/>
                <w:szCs w:val="1"/>
                <w:color w:val="auto"/>
              </w:rPr>
            </w:pPr>
          </w:p>
        </w:tc>
      </w:tr>
      <w:tr>
        <w:trPr>
          <w:trHeight w:val="159"/>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12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4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Number of Shares or</w:t>
            </w:r>
          </w:p>
        </w:tc>
        <w:tc>
          <w:tcPr>
            <w:tcW w:w="14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Stock That Have Not</w:t>
            </w:r>
          </w:p>
        </w:tc>
        <w:tc>
          <w:tcPr>
            <w:tcW w:w="0" w:type="dxa"/>
            <w:vAlign w:val="bottom"/>
          </w:tcPr>
          <w:p>
            <w:pPr>
              <w:spacing w:after="0"/>
              <w:rPr>
                <w:sz w:val="1"/>
                <w:szCs w:val="1"/>
                <w:color w:val="auto"/>
              </w:rPr>
            </w:pPr>
          </w:p>
        </w:tc>
      </w:tr>
      <w:tr>
        <w:trPr>
          <w:trHeight w:val="165"/>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160"/>
              <w:spacing w:after="0" w:line="165" w:lineRule="exact"/>
              <w:rPr>
                <w:sz w:val="20"/>
                <w:szCs w:val="20"/>
                <w:color w:val="auto"/>
              </w:rPr>
            </w:pPr>
            <w:r>
              <w:rPr>
                <w:rFonts w:ascii="Times New Roman" w:cs="Times New Roman" w:eastAsia="Times New Roman" w:hAnsi="Times New Roman"/>
                <w:sz w:val="14"/>
                <w:szCs w:val="14"/>
                <w:b w:val="1"/>
                <w:bCs w:val="1"/>
                <w:color w:val="auto"/>
              </w:rPr>
              <w:t>Grant Date</w:t>
            </w:r>
            <w:r>
              <w:rPr>
                <w:rFonts w:ascii="Times New Roman" w:cs="Times New Roman" w:eastAsia="Times New Roman" w:hAnsi="Times New Roman"/>
                <w:sz w:val="18"/>
                <w:szCs w:val="18"/>
                <w:b w:val="1"/>
                <w:bCs w:val="1"/>
                <w:color w:val="auto"/>
                <w:vertAlign w:val="superscript"/>
              </w:rPr>
              <w:t>(1)</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Unexercised Options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 of Stock That</w:t>
            </w:r>
          </w:p>
        </w:tc>
        <w:tc>
          <w:tcPr>
            <w:tcW w:w="1420" w:type="dxa"/>
            <w:vAlign w:val="bottom"/>
          </w:tcPr>
          <w:p>
            <w:pPr>
              <w:jc w:val="center"/>
              <w:spacing w:after="0" w:line="165" w:lineRule="exact"/>
              <w:rPr>
                <w:sz w:val="20"/>
                <w:szCs w:val="20"/>
                <w:color w:val="auto"/>
              </w:rPr>
            </w:pPr>
            <w:r>
              <w:rPr>
                <w:rFonts w:ascii="Times New Roman" w:cs="Times New Roman" w:eastAsia="Times New Roman" w:hAnsi="Times New Roman"/>
                <w:sz w:val="14"/>
                <w:szCs w:val="14"/>
                <w:b w:val="1"/>
                <w:bCs w:val="1"/>
                <w:color w:val="auto"/>
                <w:w w:val="94"/>
              </w:rPr>
              <w:t>Vested ($)</w:t>
            </w:r>
            <w:r>
              <w:rPr>
                <w:rFonts w:ascii="Times New Roman" w:cs="Times New Roman" w:eastAsia="Times New Roman" w:hAnsi="Times New Roman"/>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190"/>
        </w:trPr>
        <w:tc>
          <w:tcPr>
            <w:tcW w:w="20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Exercisable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Have Not Vested (#)</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2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Omid Farokhzad, M.D.</w:t>
            </w:r>
          </w:p>
        </w:tc>
        <w:tc>
          <w:tcPr>
            <w:tcW w:w="120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9/20/2017</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6"/>
                <w:szCs w:val="16"/>
                <w:color w:val="auto"/>
              </w:rPr>
              <w:t>292,056</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787,500</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2/19/2018</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6"/>
                <w:szCs w:val="16"/>
                <w:color w:val="auto"/>
              </w:rPr>
              <w:t>115,657</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311,859</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2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5/18/2018</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27"/>
              <w:spacing w:after="0"/>
              <w:rPr>
                <w:sz w:val="20"/>
                <w:szCs w:val="20"/>
                <w:color w:val="auto"/>
              </w:rPr>
            </w:pPr>
            <w:r>
              <w:rPr>
                <w:rFonts w:ascii="Times New Roman" w:cs="Times New Roman" w:eastAsia="Times New Roman" w:hAnsi="Times New Roman"/>
                <w:sz w:val="16"/>
                <w:szCs w:val="16"/>
                <w:color w:val="auto"/>
              </w:rPr>
              <w:t>520,184</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5/17/2028</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Philip Ma, Ph.D.</w:t>
            </w:r>
          </w:p>
        </w:tc>
        <w:tc>
          <w:tcPr>
            <w:tcW w:w="1200" w:type="dxa"/>
            <w:vAlign w:val="bottom"/>
            <w:gridSpan w:val="2"/>
          </w:tcPr>
          <w:p>
            <w:pPr>
              <w:jc w:val="right"/>
              <w:ind w:right="342"/>
              <w:spacing w:after="0"/>
              <w:rPr>
                <w:sz w:val="20"/>
                <w:szCs w:val="20"/>
                <w:color w:val="auto"/>
              </w:rPr>
            </w:pPr>
            <w:r>
              <w:rPr>
                <w:rFonts w:ascii="Times New Roman" w:cs="Times New Roman" w:eastAsia="Times New Roman" w:hAnsi="Times New Roman"/>
                <w:sz w:val="16"/>
                <w:szCs w:val="16"/>
                <w:color w:val="auto"/>
              </w:rPr>
              <w:t>9/20/2017</w:t>
            </w:r>
          </w:p>
        </w:tc>
        <w:tc>
          <w:tcPr>
            <w:tcW w:w="100" w:type="dxa"/>
            <w:vAlign w:val="bottom"/>
          </w:tcPr>
          <w:p>
            <w:pPr>
              <w:spacing w:after="0"/>
              <w:rPr>
                <w:sz w:val="16"/>
                <w:szCs w:val="16"/>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6"/>
                <w:szCs w:val="16"/>
                <w:color w:val="auto"/>
              </w:rPr>
              <w:t>87,616</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236,250</w:t>
            </w:r>
          </w:p>
        </w:tc>
        <w:tc>
          <w:tcPr>
            <w:tcW w:w="0" w:type="dxa"/>
            <w:vAlign w:val="bottom"/>
          </w:tcPr>
          <w:p>
            <w:pPr>
              <w:spacing w:after="0"/>
              <w:rPr>
                <w:sz w:val="1"/>
                <w:szCs w:val="1"/>
                <w:color w:val="auto"/>
              </w:rPr>
            </w:pPr>
          </w:p>
        </w:tc>
      </w:tr>
      <w:tr>
        <w:trPr>
          <w:trHeight w:val="138"/>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40" w:type="dxa"/>
            <w:vAlign w:val="bottom"/>
          </w:tcPr>
          <w:p>
            <w:pPr>
              <w:spacing w:after="0"/>
              <w:rPr>
                <w:sz w:val="17"/>
                <w:szCs w:val="17"/>
                <w:color w:val="auto"/>
              </w:rPr>
            </w:pPr>
          </w:p>
        </w:tc>
        <w:tc>
          <w:tcPr>
            <w:tcW w:w="1200" w:type="dxa"/>
            <w:vAlign w:val="bottom"/>
            <w:gridSpan w:val="2"/>
          </w:tcPr>
          <w:p>
            <w:pPr>
              <w:jc w:val="right"/>
              <w:ind w:right="342"/>
              <w:spacing w:after="0"/>
              <w:rPr>
                <w:sz w:val="20"/>
                <w:szCs w:val="20"/>
                <w:color w:val="auto"/>
              </w:rPr>
            </w:pPr>
            <w:r>
              <w:rPr>
                <w:rFonts w:ascii="Times New Roman" w:cs="Times New Roman" w:eastAsia="Times New Roman" w:hAnsi="Times New Roman"/>
                <w:sz w:val="16"/>
                <w:szCs w:val="16"/>
                <w:color w:val="auto"/>
              </w:rPr>
              <w:t>2/19/2018</w:t>
            </w:r>
          </w:p>
        </w:tc>
        <w:tc>
          <w:tcPr>
            <w:tcW w:w="100" w:type="dxa"/>
            <w:vAlign w:val="bottom"/>
          </w:tcPr>
          <w:p>
            <w:pPr>
              <w:spacing w:after="0"/>
              <w:rPr>
                <w:sz w:val="17"/>
                <w:szCs w:val="17"/>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6"/>
                <w:szCs w:val="16"/>
                <w:color w:val="auto"/>
              </w:rPr>
              <w:t>34,697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93,558</w:t>
            </w:r>
          </w:p>
        </w:tc>
        <w:tc>
          <w:tcPr>
            <w:tcW w:w="0" w:type="dxa"/>
            <w:vAlign w:val="bottom"/>
          </w:tcPr>
          <w:p>
            <w:pPr>
              <w:spacing w:after="0"/>
              <w:rPr>
                <w:sz w:val="1"/>
                <w:szCs w:val="1"/>
                <w:color w:val="auto"/>
              </w:rPr>
            </w:pPr>
          </w:p>
        </w:tc>
      </w:tr>
      <w:tr>
        <w:trPr>
          <w:trHeight w:val="138"/>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200" w:type="dxa"/>
            <w:vAlign w:val="bottom"/>
            <w:gridSpan w:val="2"/>
          </w:tcPr>
          <w:p>
            <w:pPr>
              <w:jc w:val="right"/>
              <w:ind w:right="342"/>
              <w:spacing w:after="0"/>
              <w:rPr>
                <w:sz w:val="20"/>
                <w:szCs w:val="20"/>
                <w:color w:val="auto"/>
              </w:rPr>
            </w:pPr>
            <w:r>
              <w:rPr>
                <w:rFonts w:ascii="Times New Roman" w:cs="Times New Roman" w:eastAsia="Times New Roman" w:hAnsi="Times New Roman"/>
                <w:sz w:val="16"/>
                <w:szCs w:val="16"/>
                <w:color w:val="auto"/>
              </w:rPr>
              <w:t>5/18/2018</w:t>
            </w:r>
          </w:p>
        </w:tc>
        <w:tc>
          <w:tcPr>
            <w:tcW w:w="100" w:type="dxa"/>
            <w:vAlign w:val="bottom"/>
          </w:tcPr>
          <w:p>
            <w:pPr>
              <w:spacing w:after="0"/>
              <w:rPr>
                <w:sz w:val="19"/>
                <w:szCs w:val="19"/>
                <w:color w:val="auto"/>
              </w:rPr>
            </w:pPr>
          </w:p>
        </w:tc>
        <w:tc>
          <w:tcPr>
            <w:tcW w:w="1340" w:type="dxa"/>
            <w:vAlign w:val="bottom"/>
          </w:tcPr>
          <w:p>
            <w:pPr>
              <w:jc w:val="right"/>
              <w:ind w:right="327"/>
              <w:spacing w:after="0"/>
              <w:rPr>
                <w:sz w:val="20"/>
                <w:szCs w:val="20"/>
                <w:color w:val="auto"/>
              </w:rPr>
            </w:pPr>
            <w:r>
              <w:rPr>
                <w:rFonts w:ascii="Times New Roman" w:cs="Times New Roman" w:eastAsia="Times New Roman" w:hAnsi="Times New Roman"/>
                <w:sz w:val="16"/>
                <w:szCs w:val="16"/>
                <w:color w:val="auto"/>
              </w:rPr>
              <w:t>156,055</w:t>
            </w:r>
          </w:p>
        </w:tc>
        <w:tc>
          <w:tcPr>
            <w:tcW w:w="100" w:type="dxa"/>
            <w:vAlign w:val="bottom"/>
          </w:tcPr>
          <w:p>
            <w:pPr>
              <w:spacing w:after="0"/>
              <w:rPr>
                <w:sz w:val="19"/>
                <w:szCs w:val="19"/>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9"/>
                <w:szCs w:val="19"/>
                <w:color w:val="auto"/>
              </w:rPr>
            </w:pPr>
          </w:p>
        </w:tc>
        <w:tc>
          <w:tcPr>
            <w:tcW w:w="1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5/17/2028</w:t>
            </w:r>
          </w:p>
        </w:tc>
        <w:tc>
          <w:tcPr>
            <w:tcW w:w="100" w:type="dxa"/>
            <w:vAlign w:val="bottom"/>
          </w:tcPr>
          <w:p>
            <w:pPr>
              <w:spacing w:after="0"/>
              <w:rPr>
                <w:sz w:val="19"/>
                <w:szCs w:val="19"/>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2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outstanding equity awards was granted pursuant to our 2017 Plan.</w:t>
      </w:r>
    </w:p>
    <w:p>
      <w:pPr>
        <w:spacing w:after="0" w:line="1" w:lineRule="exact"/>
        <w:rPr>
          <w:rFonts w:ascii="Times New Roman" w:cs="Times New Roman" w:eastAsia="Times New Roman" w:hAnsi="Times New Roman"/>
          <w:sz w:val="14"/>
          <w:szCs w:val="14"/>
          <w:color w:val="auto"/>
        </w:rPr>
      </w:pPr>
    </w:p>
    <w:p>
      <w:pPr>
        <w:ind w:left="340" w:right="460" w:hanging="332"/>
        <w:spacing w:after="0" w:line="241"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the fair market value of our common stock of $2.70 as of December 31, 2019 (the determination of the fair market value by our board of directors as of the most proximate date) multiplied by the amount shown in the column for the number of shares or units that have not vested.</w:t>
      </w:r>
    </w:p>
    <w:p>
      <w:pPr>
        <w:ind w:left="320" w:hanging="312"/>
        <w:spacing w:after="0"/>
        <w:tabs>
          <w:tab w:leader="none" w:pos="3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acquired pursuant to a restricted stock award and vest in 24 equal monthly installments beginning on January 20, 2020, subject to continued service to the Company.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acquired pursuant to a restricted stock award and vest in 26 equal monthly installments beginning on January 31, 2020, subject to continued service to the Company.</w:t>
      </w:r>
    </w:p>
    <w:p>
      <w:pPr>
        <w:spacing w:after="0" w:line="1" w:lineRule="exact"/>
        <w:rPr>
          <w:rFonts w:ascii="Times New Roman" w:cs="Times New Roman" w:eastAsia="Times New Roman" w:hAnsi="Times New Roman"/>
          <w:sz w:val="14"/>
          <w:szCs w:val="14"/>
          <w:color w:val="auto"/>
        </w:rPr>
      </w:pPr>
    </w:p>
    <w:p>
      <w:pPr>
        <w:ind w:left="340" w:right="180" w:hanging="332"/>
        <w:spacing w:after="0" w:line="258"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the option are subject to an early exercise provision and are immediately exercisable. One-fourth of the shares underlying the option vested on March 23, 2019, and the remaining shares vest in 36 equal monthly installments thereafter, subject to continued service to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with Our Named Executive Officers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of our named executive officers has executed our standard form of confidential information, invention assignment and arbitration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17" w:right="339" w:bottom="1440" w:gutter="0" w:footer="0" w:header="0"/>
          <w:type w:val="continuous"/>
        </w:sectPr>
      </w:pPr>
    </w:p>
    <w:bookmarkStart w:id="139" w:name="page140"/>
    <w:bookmarkEnd w:id="139"/>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Dr. Omid Farokhzad</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entered into a confirmatory employment letter with Dr. Farokhzad, our chief executive officer, which will be effective as of the day before the effective date of our registration statement of which this prospectus forms a part. The confirmatory employment letter has no specific term and provides that Dr. Farokhzad is an at-will employee. Dr. Farokhzad’s current annual base salary is $426,500 and he is eligible for an annual target cash incentive bonus for our fiscal year 2020 equal to 50% of his annual base salary. Provided Dr. Farokhzad remains employed by us through the effective date of this offering, his annual base salary will be immediately increased to $510,000 and his annual target cash incentive bonus for both 2020 and 2021 will be increased to 65% of his annual base salary. The employment letter provides for our reimbursement of Dr. Farokhzad’s reasonable travel and lodging expenses incurred by him for his travel between his primary residence and our offices in Redwood City, California, as well as for additional payments sufficient to make such reimbursements tax neutral to Dr. Farokhzad.</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Change in Control and Severance Agreement</w:t>
      </w:r>
    </w:p>
    <w:p>
      <w:pPr>
        <w:spacing w:after="0" w:line="175"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a change in control and severance agreement (the Severance Agreement) with Dr. Farokhzad which provides for certain severance and change in control benefits as described below. The Severance Agreement will be effective as of the day before the effective date of our registration statement of which this prospectus forms a part.</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Dr. Farokhzad’s employment is terminated outside the period beginning on the date that is three months prior to the date of a change in control and ending on the one-year anniversary date of such change in control (the Change in Control Period) either (1) by the Company without “cause” and not by reason of death or disability or (2) by Dr. Farokhzad as a “good reason termination” (as such terms are defined in the Severance Agreement), Dr. Farokhzad will receive the following benefits if he timely signs and does not revoke a separation agreement and release of claims in our favor:</w:t>
      </w:r>
    </w:p>
    <w:p>
      <w:pPr>
        <w:spacing w:after="0" w:line="126" w:lineRule="exact"/>
        <w:rPr>
          <w:sz w:val="20"/>
          <w:szCs w:val="20"/>
          <w:color w:val="auto"/>
        </w:rPr>
      </w:pPr>
    </w:p>
    <w:p>
      <w:pPr>
        <w:ind w:left="660" w:right="40" w:hanging="328"/>
        <w:spacing w:after="0" w:line="282"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payments of Dr. Farokhzad’s base salary for a period of twelve months following the date of such termination (or if such termination is a good reason termination by Dr. Farokhzad based on a material reduction in base salary, then as in effect immediately prior to the reduction);</w:t>
      </w:r>
    </w:p>
    <w:p>
      <w:pPr>
        <w:spacing w:after="0" w:line="10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Dr. Farokhzad’s annual target cash incentive bonus prorated for the number of days during which Dr. Farokhzad was employed by the Company (or the parent or subsidiary of the Company employing him) in the calendar year such termination occurs;</w:t>
      </w:r>
    </w:p>
    <w:p>
      <w:pPr>
        <w:spacing w:after="0" w:line="12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Dr. Farokhzad and his eligible dependents have qualifying health care at the time of such termination, then either reimbursements for or direct payments of premiums for coverage under the Consolidated Omnibus Budget Reconciliation Act of 1985, as amended (COBRA), for Dr. Farokhzad and his eligible dependents, if any, for up to 12 months; and</w:t>
      </w:r>
    </w:p>
    <w:p>
      <w:pPr>
        <w:spacing w:after="0" w:line="121" w:lineRule="exact"/>
        <w:rPr>
          <w:rFonts w:ascii="Times New Roman" w:cs="Times New Roman" w:eastAsia="Times New Roman" w:hAnsi="Times New Roman"/>
          <w:sz w:val="18"/>
          <w:szCs w:val="18"/>
          <w:color w:val="auto"/>
        </w:rPr>
      </w:pPr>
    </w:p>
    <w:p>
      <w:pPr>
        <w:ind w:left="660" w:right="120" w:hanging="328"/>
        <w:spacing w:after="0" w:line="256"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acceleration of 50% of the shares subject to Dr. Farokhzad’s outstanding Company equity awards that are scheduled to vest based solely on Dr. Farokhzad’s continued service to the Company or any parent or subsidiary of the Company (time-based equity awards), or, with respect to the shares of company restricted stock received by Dr. Farokhzad under restricted stock purchase agreements entered into with the Company on September 20, 2017, as amended December 20, 2017 and on February 19, 2018, if greater, 100% acceleration of the number of shares that are otherwise scheduled to vest if Dr. Farokhzad remained employed by the Company (or any parent or subsidiary of the Company) through the one year anniversary of his termination.</w:t>
      </w:r>
    </w:p>
    <w:p>
      <w:pPr>
        <w:spacing w:after="0" w:line="13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If, during the Change in Control Period, Dr. Farokhzad’s employment with the Company is terminated either (1) by the Company without cause and not by reason of death or disability or (2) by Dr. Farokhzad as a good reason termination, Dr. Farokhzad will receive the following benefits if he timely signs and does not revoke a separation agreement and release of claims in our favor:</w:t>
      </w:r>
    </w:p>
    <w:p>
      <w:pPr>
        <w:spacing w:after="0" w:line="122" w:lineRule="exact"/>
        <w:rPr>
          <w:sz w:val="20"/>
          <w:szCs w:val="20"/>
          <w:color w:val="auto"/>
        </w:rPr>
      </w:pPr>
    </w:p>
    <w:p>
      <w:pPr>
        <w:ind w:left="660" w:right="20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payments of Dr. Farokhzad’s base salary for a period of 18 months following the date of such termination (or if such termination is a good reason termination by Dr. Farokhzad based on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20"/>
          </w:cols>
          <w:pgMar w:left="320" w:top="117" w:right="359" w:bottom="1440" w:gutter="0" w:footer="0" w:header="0"/>
        </w:sectPr>
      </w:pPr>
    </w:p>
    <w:bookmarkStart w:id="140" w:name="page141"/>
    <w:bookmarkEnd w:id="140"/>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reduction in base salary, then as in effect immediately prior to the reduction) (or, if higher, as in effect immediately before the change in control);</w:t>
      </w:r>
    </w:p>
    <w:p>
      <w:pPr>
        <w:spacing w:after="0" w:line="171" w:lineRule="exact"/>
        <w:rPr>
          <w:sz w:val="20"/>
          <w:szCs w:val="20"/>
          <w:color w:val="auto"/>
        </w:rPr>
      </w:pPr>
    </w:p>
    <w:p>
      <w:pPr>
        <w:ind w:left="660" w:right="600" w:hanging="328"/>
        <w:spacing w:after="0" w:line="282"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150% of Dr. Farokhzad’s annualized target bonus as in effect for the performance period in which such termination occurs, or, if greater, as in effect for the performance period in which a change in control occurs;</w:t>
      </w:r>
    </w:p>
    <w:p>
      <w:pPr>
        <w:spacing w:after="0" w:line="107" w:lineRule="exact"/>
        <w:rPr>
          <w:rFonts w:ascii="Times New Roman" w:cs="Times New Roman" w:eastAsia="Times New Roman" w:hAnsi="Times New Roman"/>
          <w:sz w:val="18"/>
          <w:szCs w:val="18"/>
          <w:color w:val="auto"/>
        </w:rPr>
      </w:pPr>
    </w:p>
    <w:p>
      <w:pPr>
        <w:ind w:left="660" w:right="160" w:hanging="328"/>
        <w:spacing w:after="0" w:line="312" w:lineRule="auto"/>
        <w:tabs>
          <w:tab w:leader="none" w:pos="655"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Dr. Farokhzad and his eligible dependents have qualifying health care at the time of such termination, then either reimbursements for or direct payments of payment of premiums for coverage under COBRA, for Dr. Farokhzad and his eligible dependents, if any, for up to 18 months; and</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acceleration of 100% of the shares subject to Dr. Farokhzad’s outstanding time-based equity awards.</w:t>
      </w:r>
    </w:p>
    <w:p>
      <w:pPr>
        <w:spacing w:after="0" w:line="17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signing and not revoking a separation agreement and release of claims in our favor, Dr. Farokhzad’s receipt and retention of any severance benefits under the Severance Agreement is subject to his compliance with the terms of any confidentiality, information and inventions agreement or other written agreement us under which he has a material duty or obligation to us.</w:t>
      </w:r>
    </w:p>
    <w:p>
      <w:pPr>
        <w:spacing w:after="0" w:line="12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If Dr. Farokhzad begins employment or enters into a consultant entity with a new employer during the period he is receiving severance benefits from us under the Severance Agreement, then any cash compensation paid to him by the new employer will reduce our cash severance benefit obligations under the Severance Agreement, and we will have no obligation to provide COBRA benefits for medical, vision and dental coverage if the new employer provides such benefits to Dr. Farokhzad.</w:t>
      </w:r>
    </w:p>
    <w:p>
      <w:pPr>
        <w:spacing w:after="0" w:line="12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if Dr. Farokhzad remains employed by the Company (or any parent or subsidiary of the Company) through the two year anniversary of the change in control (the Retention Date) and if he timely signs and does not revoke a release of claims in our favor, Dr. Farokhzad will receive 100% accelerated vesting of all of his then-unvested and outstanding Company equity awards that were granted prior to the effective date of the registration statement of which this prospectus forms a part.</w:t>
      </w:r>
    </w:p>
    <w:p>
      <w:pPr>
        <w:spacing w:after="0" w:line="12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If any of the amounts provided for under the Severance Agreement otherwise payable to Dr. Farokhzad would constitute “parachute payments” within the meaning of Section 280G of the Internal Revenue Code and could be subject to the related excise tax, Dr. Farokhzad would be entitled to receive either full payment of benefits or such lesser amount which would result in no portion of the benefits being subject to the excise tax, whichever results in the greater amount of after-tax benefits to the named executive officer. The Severance Agreement does not provide for any Section 280G-related tax gross-up payments from us.</w:t>
      </w:r>
    </w:p>
    <w:p>
      <w:pPr>
        <w:spacing w:after="0" w:line="1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Under the Severance Agreement, “cause” generally means Dr. Farokhzad’s: indictment or conviction of any felony or any crime involving dishonesty; participation in any fraud against us; any intentional damage to any material property of the Company; willful misconduct which materially and adversely reflects upon the business, operations, or reputation of the Company, which has not been cured or cannot be cured within ten days after receiving written notice regarding such misconduct; breach of any material provision of any agreement with the company and failure to cure such breach within ten days after receiving written notice of such breach.</w:t>
      </w:r>
    </w:p>
    <w:p>
      <w:pPr>
        <w:spacing w:after="0" w:line="1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the Severance Agreement, “good reason termination” generally means that Dr. Farokhzad resigns from the Company within 30 days following the end of our cure period discussed below as a result of any of the following that occurs without his written consent: a material reduction in his base salary as compared to his base salary in effect immediately prior to such reduction; a material and adverse change in his authorities, duties or responsibilities relative to his authorities, duties or responsibilities in effect immediately prior to such reduction (provided that if he ceases to serve as the Chief Executive Officer but continues to serve as executive chair of the Company with a base salary and target bonus opportunity each materially the same as in effect immediately prior to such transition, such transition will not by itself be deemed to constitute a material and adverse change to his authorities, duties or responsibilities, and provided, further that any change that results in Dr. Farokhzad not serving as the Chief Executive Officer of (or reporting directly to the board of directors of) the parent corporation in a group of controlled corporations including the Company or all or a substantial portion of the Company’s assets following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00"/>
          </w:cols>
          <w:pgMar w:left="320" w:top="117" w:right="379" w:bottom="1440" w:gutter="0" w:footer="0" w:header="0"/>
        </w:sectPr>
      </w:pPr>
    </w:p>
    <w:bookmarkStart w:id="141" w:name="page142"/>
    <w:bookmarkEnd w:id="141"/>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change in control, will be deemed to constitute a material and adverse change to his authorities, duties or responsibilities); and a material change in the geographic location of his principal work office or facility, provided that a change that increases his commute by 50 miles or less will not constitute a material change. For a resignation to qualify as a “good reason termination,” Dr. Farokhzad also must provide written notice within 90 days following the initial existence of the good reason condition, and we must have failed to materially remedy such event within 30 days after receipt of such notice.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and Stock Plans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Incentive Compensation Plan</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our Executive Incentive Compensation Plan. Our Executive Incentive Compensation Plan will be administered by our compensation committee. Our Executive Incentive Compensation Plan will allow us to grant incentive awards, generally payable in cash, to employees selected by the administrator, including our named executive officers, based upon any performance goals that may be established by the administrator. The below is a summary of the terms of the Executive Incentive Compensation Plan.</w:t>
      </w:r>
    </w:p>
    <w:p>
      <w:pPr>
        <w:spacing w:after="0" w:line="126"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Under our Executive Incentive Compensation Plan, the administrator will determine any performance goals applicable to an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4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p>
    <w:p>
      <w:pPr>
        <w:spacing w:after="0" w:line="1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Awards under our Executive Incentive Compensation Plan are subject to any clawback policy we are required to adopt from time to time to comply with the listing standards of any national securities exchange or association on which our securities are listed or as is otherwise required by applicable laws. The administrator also may impose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20"/>
          </w:cols>
          <w:pgMar w:left="320" w:top="117" w:right="359" w:bottom="1440" w:gutter="0" w:footer="0" w:header="0"/>
        </w:sectPr>
      </w:pPr>
    </w:p>
    <w:bookmarkStart w:id="142" w:name="page143"/>
    <w:bookmarkEnd w:id="142"/>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administrator of our Executive Incentive Compensation Plan will have the authority to amend, alter, suspend or terminate our Executive Incentive Compensation Plan, provided such action does not materially alter or materially impair the existing rights or obligations of any participant with respect to any earned awards. Our Executive Incentive Compensation Plan will remain in effect until terminated in accordance with its terms.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adopted, and our stockholders approved, our 2020 Equity Incentive Plan (the 2020 Plan). The 2020 Plan will be effective on the business day immediately before the effective date of our registration statement of which this prospectus forms a part. Our 2020 Plan provides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 The below is a summary of the terms of the 2020 Plan.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17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 total of 4,819,859 shares of our Class A common stock will be reserved for issuance pursuant to our 2020 Plan. In addition, the shares reserved for issuance under our 2020 Plan will include (i) a number of shares of our Class A common stock equal to the number of shares of all classes of our common stock subject to awards granted under our 2020 RSU Equity Incentive Plan or 2017 Stock Incentive Plan (each, a Prior Plan) that, on or after the date the applicable Prior Plan is terminated, are terminated, canceled, expire or otherwise terminate without having been exercised in full, are tendered to or withheld by us for payment of an exercise price or for tax withholding obligations, or are forfeited to or repurchased by us due to failure to vest, and (ii) a number of shares of our Class A common stock equal to the number of shares of all classes of our common stock that, as of immediately prior to the termination of each Prior Plan, have been reserved but not issued pursuant to awards granted under each Prior Plan and are not subject to any awards under each Prior Plan (provided that the maximum number of shares that may be added to the 2020 Plan pursuant to this sentence is 14,687,016 shares). The number of shares available for issuance under our 2020 Plan also will include an annual increase, or the evergreen feature, on the first day of each of our fiscal years, beginning with our fiscal year 2021, equal to the least of:</w:t>
      </w:r>
    </w:p>
    <w:p>
      <w:pPr>
        <w:spacing w:after="0" w:line="140"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9,037,149 shares;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equal to 5% of the outstanding shares of all classes of our common stock as of the last day of the immediately preceding fiscal year; or</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shares as our board of directors or its designated committee may determine no later than the last day of our immediately preceding fiscal year.</w:t>
      </w:r>
    </w:p>
    <w:p>
      <w:pPr>
        <w:spacing w:after="0" w:line="10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Shares issuable under our 2020 Plan will be authorized, but unissued, or reacquired shares of our Class A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actually have been issued under the 2020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17" w:right="339" w:bottom="1440" w:gutter="0" w:footer="0" w:header="0"/>
        </w:sectPr>
      </w:pPr>
    </w:p>
    <w:bookmarkStart w:id="143" w:name="page144"/>
    <w:bookmarkEnd w:id="143"/>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any award will not be returned to the 2020 Plan; except if shares issued pursuant to awards of restricted stock, restricted stock units, or performance awards are repurchased or forfeited, such shares will become available for future grant under the 2020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2020 Plan)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73"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Our board of directors or one or more committees appointed by our board of directors will have authority to administer our 2020 Plan. The compensation committee of our board of directors will initially administer our 2020 Plan. In addition, if we determine it is desirable to qualify transactions under our 2020 Plan as exempt under Rule 16b-3 of the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Class A common stock, select the service providers to whom awards may be granted, determine the number of shares or dollar amounts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Stock options may be granted under our 2020 Plan. The exercise price of options granted under our 2020 Plan generally must be equal to at least 100% of the fair market value of a share of our Class A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Class A common stock on the grant date. The administrator will determine the methods of payment of the exercise price of an option, which may include cash, certain shares,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90 days following the termination of service (provided that an option agreement may specify that in the event a participant’s service is terminated by the Company for Cause (as defined in our 2020 Plan), the option will terminate immediately). An option, however, may not be exercised later than the expiration of its term. Subject to the provisions of our 2020 Plan, the administrator determines the terms of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17" w:right="339" w:bottom="1440" w:gutter="0" w:footer="0" w:header="0"/>
        </w:sectPr>
      </w:pPr>
    </w:p>
    <w:bookmarkStart w:id="144" w:name="page145"/>
    <w:bookmarkEnd w:id="144"/>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73"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Stock appreciation rights may be granted under our 2020 Plan. Stock appreciation rights allow the recipient to receive the appreciation in the fair market value of our Class A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90 days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Class A common stock, or a combination of both, except that the per-share exercise price for the shares to be issued pursuant to the exercise of a stock appreciation right generally will be no less than 100% of the fair market value per share on the date of grant.</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7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Restricted stock may be granted under our 2020 Plan. Restricted stock awards (RSAs) are grants of shares of our Class A common stock that may have vesting requirements under any such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and the administrator, in its sole discretion, may accelerate the time at which any restrictions will lapse or be removed. Recipients of RSAs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our right of repurchase or forfeiture.</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Restricted stock units (RSUs) may be granted under our 2020 Plan. Restricted stock units are bookkeeping entries representing an amount equal to the fair market value of one share of our Class A common stock. Subject to the provisions of our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73"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Performance awards may be granted under the 2020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2020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20"/>
          </w:cols>
          <w:pgMar w:left="320" w:top="117" w:right="359" w:bottom="1440" w:gutter="0" w:footer="0" w:header="0"/>
        </w:sectPr>
      </w:pPr>
    </w:p>
    <w:bookmarkStart w:id="145" w:name="page146"/>
    <w:bookmarkEnd w:id="145"/>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the administrator, in its sole discretion, may accelerate the time at which any restrictions will lapse or be removed.</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17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All outside (non-employee) directors will be eligible to receive all types of awards (except for incentive stock options) under our 2020 Plan. Our board of directors has adopted and our stockholders have approved a formal Outside Director Compensation Policy pursuant to which our outside directors will be eligible to receive certain equity awards under our 2020 Plan. Our 2020 Plan provides that in any given fiscal year, no outside director may be granted awards (the value of which will be based on their grant date fair value) under our 2020 Plan and be provided any other compensation (including without limitation any cash retainers and fees) that in the aggregate exceed $750,000, provided that in the fiscal year of the individual’s initial service as a non-employee director, such amount is increased to $1,000,000. For the purposes of this maximum limit provision, the grant date fair values of awards granted under our 2020 Plan will be determined according to U.S. GAAP. Any awards or other compensation provided to an individual for his or her services as an employee or a consultant (other than an outside director), or before the effective date of the registration statement of which this prospectus forms a part, will not count toward this limit. This maximum limit provision does not reflect the intended size of any potential grants or a commitment to make grants to our outside directors under our 2020 Plan in the future.</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of Awards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the administrator provides otherwise, our 2020 Plan generally does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Certain Adjustments</w:t>
      </w:r>
    </w:p>
    <w:p>
      <w:pPr>
        <w:spacing w:after="0" w:line="17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the event of certain changes in our capitalization, such as a dividend or other distribution, recapitalization, stock split, 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Dissolution or Liquidation</w:t>
      </w:r>
    </w:p>
    <w:p>
      <w:pPr>
        <w:spacing w:after="0" w:line="17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the event of our proposed liquidation or dissolution, the administrator will notify participants as soon as practicable and all awards will terminate immediately before the consummation of such proposed transaction.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Merger or Change in Control</w:t>
      </w:r>
    </w:p>
    <w:p>
      <w:pPr>
        <w:spacing w:after="0" w:line="17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2020 Plan provides that in the event of our merger or change in control, as defined in our 2020 Plan, each 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3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20"/>
          </w:cols>
          <w:pgMar w:left="320" w:top="117" w:right="359" w:bottom="1440" w:gutter="0" w:footer="0" w:header="0"/>
        </w:sectPr>
      </w:pPr>
    </w:p>
    <w:bookmarkStart w:id="146" w:name="page147"/>
    <w:bookmarkEnd w:id="146"/>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2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awards granted to an outside director while such individual was an outside director are assumed or substituted for in our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outside director.</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Clawback</w:t>
      </w:r>
    </w:p>
    <w:p>
      <w:pPr>
        <w:spacing w:after="0" w:line="17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Awards are subject to any clawback policy of which we are required to adopt to comply with the listing standards of any national securities exchange or association on which our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all or a portion of the award and any amounts paid under the award in order to comply with any clawback policy of ours as described in the first sentence of this paragraph or with applicable laws.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173"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administrator has the authority to amend, alter, suspend or terminate our 2020 Plan, provided such action does not materially impair the rights of any participant unless mutually agreed otherwise. Our 2020 Plan will remain in effect for a term of ten years from the date of adoption of the 2020 Plan by our board of directors unless terminated earlier pursuant to the terms of our 2020 Plan.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2020 RSU Equity Incentive Plan</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2020 RSU Equity Incentive Plan (the RSU Plan) was adopted by our board of directors in April 2020 and was most recently amended and restated in November 2020. Our stockholders last approved our 2020 Plan in November 2020. Our RSU Plan will be terminated one business day before the effectiveness of the registration statement of which this prospectus forms a part, and we will not grant any additional awards under our RSU Plan thereafter. However, our RSU Plan will continue to govern the terms and conditions of the outstanding awards previously granted under our RSU Plan. The below is a summary of the terms of the RSU Plan.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RSU Plan allows us to grant restricted stock units to employees, directors, officers and consultants of ours and any parent or subsidiary of ours.</w:t>
      </w:r>
    </w:p>
    <w:p>
      <w:pPr>
        <w:spacing w:after="0" w:line="17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an aggregate of 335,194 shares of our Class A common stock is reserved for issuance under our RSU Plan. As of September 30, 2020, restricted stock unit awards covering an aggregate of 335,194 shares of our Class A common stock were outstanding under our RSU Plan.</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7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or one or more committees appointed by our board of directors have the authority to administer our RSU Plan. Subject to the provisions of our RSU Plan, the administrator has the power to administer our RSU Plan and make all determinations deemed necessary or advisable for administering the RSU Plan, including but not limited to, the power to determine the fair market value of our Class A common stock, select the service providers to whom awards may be granted, determine the number of shares covered by each award, approve forms of award agreements for use under the RSU Plan, determine the terms and conditions of awards, construe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20"/>
          </w:cols>
          <w:pgMar w:left="320" w:top="117" w:right="359" w:bottom="1440" w:gutter="0" w:footer="0" w:header="0"/>
        </w:sectPr>
      </w:pPr>
    </w:p>
    <w:bookmarkStart w:id="147" w:name="page148"/>
    <w:bookmarkEnd w:id="147"/>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interpret the terms of our RSU Plan and awards granted under it, prescribe, amend and rescind rules relating to our RSU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RSU Plan to a financial institution or other person or entity selected by the administrator, and to institute an exchange program by which outstanding awards granted under the RSU Plan may be surrendered or cancelled in exchange for awards of the same type, which may have a higher or lower exercise price and/or different terms, awards of a different type and/or cash, or by which the exercise price of an outstanding award granted under the RSU Plan is increased or reduced. The administrator’s decisions, interpretations and other actions are final and binding on all participants and will be given the maximum deference permitted by applicable law.</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Restricted stock units may be granted under our RSU Plan. Restricted stock units are bookkeeping entries representing an amount equal to the fair market value of one share of our Class A common stock. Subject to the provisions of our RSU Plan, the administrator determines the terms and conditions of restricted stock units, including any vesting criteria and the form and timing of payment. The administrator may set vesting criteria based upon the achievement of company-wide, business unit, or individual goals (including, but not limited to, continued employment or service), or any other basis determined by the administrator in its discretion. The administrator, in its sole discretion, may pay earned restricted stock units in the form of cash, shares, or a combination of both. Notwithstanding the foregoing, the administrator, in its sole discretion, may at any time reduce or waive any vesting criteria that must be met.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of Awards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the administrator provides otherwise, our RSU Plan generally does not allow for the transfer of awards other than by will or the laws of descent and distribution. If the administrator makes an award transferable, such award may be transferred only by will, by the laws of descent and distribution, or as permitted by Rule 701 of the Securities Act of 1933.</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Certain Adjustments</w:t>
      </w:r>
    </w:p>
    <w:p>
      <w:pPr>
        <w:spacing w:after="0" w:line="173"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the event of certain changes in our capitalization, such as a dividend (other than an ordinary dividend) or other distribution, recapitalization, stock split, reverse stock split, reorganization, merger, consolidation, split-up, spin-off, combination, repurchase or exchange of our shares or other securities or other change in our corporate structure affecting our shares, to prevent diminution or enlargement of the benefits or potential benefits available under our RSU Plan, the administrator will adjust the number and class of shares that may be delivered under our RSU Plan and/or the number, class and price of shares covered by each outstanding award. Further, the administrator will make such adjustments to awards as required by Section 25102(o) of the California Corporations Code to the extent the Company is relying upon the exemption afforded thereby with respect to such awards.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Dissolution or Liquidation</w:t>
      </w:r>
    </w:p>
    <w:p>
      <w:pPr>
        <w:spacing w:after="0" w:line="173"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In the event of our proposed liquidation or dissolution, the administrator will notify participants as soon as practicable and all awards will terminate immediately before the consummation of such proposed transaction.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Merger or Change in Control</w:t>
      </w:r>
    </w:p>
    <w:p>
      <w:pPr>
        <w:spacing w:after="0" w:line="17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RSU Plan provides that in the event of our merger or change in control, as defined in our RSU Plan, each outstanding award will be treated as the administrator determines, without a participant’s consent, including, without limitation, that the administrator may provide that awards granted under the RSU Plan will be assumed or substituted by substantially equivalent awards, be terminated upon or immediately before the merger or change in control, become vested and exercisable or payable and be terminated in connection with the merger or change in control, be terminated in exchange for cash, other property or other consideration or any combination of the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17" w:right="339" w:bottom="1440" w:gutter="0" w:footer="0" w:header="0"/>
        </w:sectPr>
      </w:pPr>
    </w:p>
    <w:bookmarkStart w:id="148" w:name="page149"/>
    <w:bookmarkEnd w:id="148"/>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administrator is not required to treat all awards, all awards held by a participant, or all awards of the same type, similarly.</w:t>
      </w:r>
    </w:p>
    <w:p>
      <w:pPr>
        <w:spacing w:after="0" w:line="17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a successor corporation does not assume or substitute an equivalent award for any outstanding award (or a portion of such award), then all restrictions on such award (or its applicable portion) will lapse and all performance goals or other vesting criteria applicable to such award (or its applicable portion) will be deemed achieved at 100% of target levels and all other terms and conditions will be considered fulfilled, unless specifically provided otherwise under the applicable award agreement or other written agreement authorized by the administrator of the RSU Plan with the participant.</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Clawback</w:t>
      </w:r>
    </w:p>
    <w:p>
      <w:pPr>
        <w:spacing w:after="0" w:line="1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Awards are subject to any clawback policy of ours which we are required to adopt pursuant to comply with applicable rules or laws. The administrator also may impose such other clawback, recovery or recoupment provisions in an award agreement as the administrator determines necessary or appropriate, including but not limited to a reacquisition right regarding previously acquired Shares or other cash or property. Additionally, the administrator may specify in an award agreement that the participant’s rights, payments and benefits with respect to an award will be subject to reduction, cancellation, forfeiture or recoupment upon the occurrence of certain specified events.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amend, suspend or terminate our RSU Plan, provided such action does not materially impair the rights of any participant unless mutually agreed otherwise. Unless sooner terminated by our board of directors, the RSU Plan will continue in effect for a term of ten</w:t>
      </w:r>
    </w:p>
    <w:p>
      <w:pPr>
        <w:ind w:right="120" w:firstLine="8"/>
        <w:spacing w:after="0" w:line="253" w:lineRule="auto"/>
        <w:tabs>
          <w:tab w:leader="none" w:pos="34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the later of (a) the effective date of the RSU Plan in April 2020, or (b) the earlier of the most recent board of directors or stockholder approval of an increase in the number of shares reserved for issuance under the RSU Plan. As noted above, as of one business day before the effectiveness of the registration statement of which this prospectus forms a part, our RSU Plan will be terminated and we will not grant any additional awards under our RSU Plan thereafter.</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2017 Stock Incentive Plan</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2017 Stock Incentive Plan (the 2017 Plan) originally was adopted by our board of directors in September 2017 and was most recently amended and restated in November 2020. Our stockholders last approved our 2017 Plan in May 2020. Our 2017 Plan will be terminated as of one business day before the effectiveness of the registration statement of which this prospectus forms a part, and we will not grant any additional awards under our 2017 Plan thereafter. However, our 2017 Plan will continue to govern the terms and conditions of the outstanding awards previously granted under our 2017 Plan. The below is a summary of the terms of the 2017 Plan.</w:t>
      </w:r>
    </w:p>
    <w:p>
      <w:pPr>
        <w:spacing w:after="0" w:line="1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Our 2017 Plan allows us to provide incentive stock options, within the meaning of Section 422 of the Code, non-statutory stock options, and RSAs (each, an “award” and the recipient of such award, a “participant”) to employees, directors, officers and consultants or advisors of ours and any parent or subsidiary of ours.</w:t>
      </w:r>
    </w:p>
    <w:p>
      <w:pPr>
        <w:spacing w:after="0" w:line="122"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an aggregate of 11,814,650 shares of our Class A common stock, is reserved for issuance under our 2017 Plan. As of September 30, 2020, awards outstanding under our 2017 Plan consisted of stock options to purchase an aggregate of 7,553,500 shares of our Class A common stock and no RSAs .</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7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2017 Plan is administered by our board of directors or a committee appointed by our board of directors, or the administrator. The administrator has the authority to make all determinations necessary or advisable to our 2017 Plan, including the authority to issue restricted stock grants and stock options, authorize the issuance of shares upon exercise of stock options under the 2017 Plan, construe award agreements and the 2017 Plan, to prescribe, amend and rescind rules and regulations relating to the 2017 Plan, to determine the terms and provisions of awards, and to correct any defect or supply any omission or reconcile any inconsistency in the 2017 Plan or any award agreement. The administrator may accelerate the date or dates on which all or any particular stock option may be exercised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17" w:right="339" w:bottom="1440" w:gutter="0" w:footer="0" w:header="0"/>
        </w:sectPr>
      </w:pPr>
    </w:p>
    <w:bookmarkStart w:id="149" w:name="page150"/>
    <w:bookmarkEnd w:id="149"/>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extend the period or periods of time during which all, or any particular, stock option or stock options may be exercised. Subject to the consent of any adversely affected participant, the administrator also has the authority to allow participants the opportunity under an exchange program to transfer outstanding awards granted under the 2017 Plan to a financial institution or other person or entity selected by the administrator, and to institute an exchange program by which outstanding awards granted under the 2017 Plan may be surrendered or cancelled in exchange for awards of the same type, which may have a higher or lower exercise price and/or different terms, awards of a different type and/or cash, or by which the exercise price of an outstanding award granted under the 2017 Plan is increased or reduced. The administrator’s construction and interpretation of the terms and provisions of our 2017 Plan is final and conclusive.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73"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Employees, officers, directors and consultants or advisors of ours or our parent or subsidiary companies are eligible to receive awards. Only our employees or employees of our parent or subsidiary companies are eligible to receive incentive stock options.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Stock options have been granted under our 2017 Plan. The administrator determines the exercise price of stock options granted under our 2017 Plan, which may not be less than the fair market value of our Class A common stock on the date of grant. The term of a stock option is stated in the applicable award agreement, but may not exceed ten years from the grant date. With respect to any employee who owns more than 10% of the total combined voting power of all classes of outstanding stock of ours or any of our parent or subsidiary companies, the exercise price of an incentive stock option must equal at least 110% of the fair market value on the grant date and the term of an incentive stock option granted to such employee may not exceed five years. The administrator determines the methods of payment of the exercise price of a stock option, which may include cash or check; delivery of shares of our Class A common stock; delivery of a personal recourse note with an interest rate not less than the lowest applicable federal rate; if the Class A common stock is registered under the Securities Exchange Act of 1934, by irrevocable instructions to a broker to deliver payment by cash or check; by reducing the number of shares otherwise issuable by a number of shares having fair market value equal to the aggregate exercise price of the option, or by any combination of the foregoing methods. The administrator determines the time after a participant’s termination of employment or provision of services during which a participant may exercise his or her option, which except as otherwise expressly provided in the applicable award agreement, generally will be 90 days (or 180 days in the case of a participant’s termination of employment or service due to death or disability). In the event a participant’s employment or provision of services to the Company is terminated by the Company for Cause (as defined in our 2017 Plan), the option will terminate immediately. A stock option may not be exercised later than the expiration of its term. The administrator, in its sole discretion, may include in stock option agreements additional provisions not inconsistent with the terms or conditions of the 2017 Plan, providing for, among other items, restrictions on transfer, rights of the Company to repurchase shares acquired upon exercise of the stock option or such other provisions determined by the administrator.</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7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Restricted stock awards have been granted under our 2017 Plan. Such restricted stock are shares of our Class A common stock entitling the recipient to acquire, for a purchase price (if any) and subject to such restrictions and conditions as the administrator may determine at the time of grant, including continued employment and/or achievement of pre-established performance goals and objectives. The administrator determines any purchase price of restricted stock awards at the time of authorizing the issuance of such awards. The administrator, in its sole discretion, may include in restricted stock award agreements additional provisions not inconsistent with the terms or conditions of the 2017 Plan, providing for, among other items, restrictions on transfer and the right of the Company to repurchase shares of restricted stock or such other provisions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17" w:right="339" w:bottom="1440" w:gutter="0" w:footer="0" w:header="0"/>
        </w:sectPr>
      </w:pPr>
    </w:p>
    <w:bookmarkStart w:id="150" w:name="page151"/>
    <w:bookmarkEnd w:id="150"/>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of Stock Options</w:t>
      </w:r>
    </w:p>
    <w:p>
      <w:pPr>
        <w:spacing w:after="0" w:line="17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Under our 2017 Plan, stock options are not assignable or transferable by the person to whom they are granted, either voluntarily or by operation of law, except by will or the laws of descent and distribution. During the life of an optionee, an option may be exercised only by the optionee.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Certain Adjustments</w:t>
      </w:r>
    </w:p>
    <w:p>
      <w:pPr>
        <w:spacing w:after="0" w:line="17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If, through or as a result of any merger, consolidation, sale of all or substantially all of our assets, reorganization, recapitalization, reclassification, stock dividend, stock split, reverse stock split or other similar transaction, outstanding shares of our Class A common stock are increased, decreased or exchanged for a different number or kind of securities or other non-cash assets are distributed with respect to our stock or other securities, an appropriate and proportionate adjustment will be made in the number and kind of shares reserved for issuance under the 2017 Plan, the number and kind of shares or other securities subject to any then outstanding stock options, and the price of shares covered by each outstanding stock option. Except as expressly provided in the 2017 Plan, any issuance by us of shares of stock of any class, or securities convertible into shares of stock of any class, for cash or property or for labor or services, either upon direct sale or exercise of rights or warrants, or upon conversion of shares or obligations of ours convertible into such shares or securities, will not affect or cause an adjustment to the number or price of shares subject to outstanding options under the 2017 Plan. The administrator’s determination regarding such adjustments will be final, binding and conclusive.</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Certain Transactions</w:t>
      </w:r>
    </w:p>
    <w:p>
      <w:pPr>
        <w:spacing w:after="0" w:line="17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Our 2017 Plan provides that, unless provided otherwise in an option agreement or restricted stock agreement, in the event of a Change in Control Transaction (as defined in our 2017 Plan), the administrator, or the board of directors of any corporation assuming the obligations of the Company, may, in its discretion, take any one or more of the following actions, as to some or all outstanding awards: (i) provide that stock options will be assumed or substituted for with equivalent awards, (ii) upon written notice, provide that all unexercised stock options will terminate unless exercised, to the extent exercisable, (iii) upon written notice, provide that all unvested shares of restricted stock will be repurchased at cost, (iv) make or provide for a cash payment to optionees equal to the difference between (A) the fair market value of the per share consideration the holder of a share of Class A common stock will receive upon consummation of the Change in Control Transaction (the “Per Share Transaction Price”),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shares of Class A common stock subject to outstanding vested stock options,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aggregate exercise price of such outstanding vested stock options, or (v) provide that all or any outstanding stock options will become exercisable and all or any outstanding restricted stock awards will vest in part or in full immediately prior to such event. If any stock options are exercisable at a price equal to or in excess of the Per Share Transaction Price, the administrator may provide that those stock options will terminate immediately upon the consummation of the Change in Control Transaction without payment. In the event of a business combination or other transaction including a Change in Control Transaction, any securities, cash or other property received in exchange for shares of restricted stock will continue to be governed by the provisions of any restricted stock agreement pursuant to which they were granted, including any provisions regarding vesting, and such securities, cash or other property may be held in escrow on such terms as the administrator may direct. The administrator need not take the same action with respect to all awards.</w:t>
      </w:r>
    </w:p>
    <w:p>
      <w:pPr>
        <w:spacing w:after="0" w:line="14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a successor corporation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portion of such option) is not assumed or substituted, the administrator will notify the participant that such option will be exercisable for a period of time determined by the administrator in its sole discretion and the option will terminate upon the expiration of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40"/>
          </w:cols>
          <w:pgMar w:left="320" w:top="117" w:right="339" w:bottom="1440" w:gutter="0" w:footer="0" w:header="0"/>
        </w:sectPr>
      </w:pPr>
    </w:p>
    <w:bookmarkStart w:id="151" w:name="page152"/>
    <w:bookmarkEnd w:id="151"/>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73"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board of directors may amend or terminate our 2017 Plan at any time. Amendments to our 2017 Plan not requiring shareholder approval will become effective when adopted by our board of directors. Amendments requiring shareholder approval will become effective when adopted by our board of directors, but if shareholder approval is not obtained within twelve months of such adoption, any incentive stock options granted pursuant to such amendment will be deemed to be non-statutory options, provided that such stock options are authorized by our 2017 Plan. Unless sooner terminated by action of our board of directors, the 2017 Plan will terminate upon the close of business on the day next preceding the tenth anniversary of the date of its adoption by our board of directors. As of one business day before the effectiveness of the registration statement of which this prospectus forms a part, our 2017 Plan will be terminated and we will not grant any additional awards under our 2017 Plan thereafter.</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adopted, and our stockholders approved, our 2020 Employee Stock Purchase Plan (the ESPP). Our ESPP will be effective one business day immediately before the effective date of the registration statement of which this prospectus forms a part. The below is a summary of the terms of the ESPP.</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17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 total of 602,570 shares of our Class A common stock will be available for issuance under our ESPP. In addition, our ESPP will provide for annual increases in the number of shares of our Class A common stock available for issuance under our ESPP on the first day of each of our fiscal years beginning with our fiscal year 2021, in an amount equal to the least of:</w:t>
      </w:r>
    </w:p>
    <w:p>
      <w:pPr>
        <w:spacing w:after="0" w:line="122"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1,807,476 shares;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equal to 1% of the outstanding shares of all classes of our common stock on the last day of our immediately preceding fiscal year; and</w:t>
      </w:r>
    </w:p>
    <w:p>
      <w:pPr>
        <w:spacing w:after="0" w:line="107" w:lineRule="exact"/>
        <w:rPr>
          <w:rFonts w:ascii="Times New Roman" w:cs="Times New Roman" w:eastAsia="Times New Roman" w:hAnsi="Times New Roman"/>
          <w:sz w:val="18"/>
          <w:szCs w:val="18"/>
          <w:color w:val="auto"/>
        </w:rPr>
      </w:pPr>
    </w:p>
    <w:p>
      <w:pPr>
        <w:ind w:left="340" w:right="420" w:hanging="8"/>
        <w:spacing w:after="0" w:line="437" w:lineRule="auto"/>
        <w:tabs>
          <w:tab w:leader="none" w:pos="65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number of shares as our board of directors may determine as of no later than the last day of our immediately preceding fiscal year. Shares issuable under the ESPP will be authorized, but unissued, or reacquired shares of our Class A common stock.</w:t>
      </w:r>
    </w:p>
    <w:p>
      <w:pPr>
        <w:ind w:left="340"/>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73" w:lineRule="exact"/>
        <w:rPr>
          <w:sz w:val="20"/>
          <w:szCs w:val="20"/>
          <w:color w:val="auto"/>
        </w:rPr>
      </w:pPr>
    </w:p>
    <w:p>
      <w:pPr>
        <w:ind w:firstLine="324"/>
        <w:spacing w:after="0" w:line="219" w:lineRule="exact"/>
        <w:rPr>
          <w:sz w:val="20"/>
          <w:szCs w:val="20"/>
          <w:color w:val="auto"/>
        </w:rPr>
      </w:pPr>
      <w:r>
        <w:rPr>
          <w:rFonts w:ascii="Times New Roman" w:cs="Times New Roman" w:eastAsia="Times New Roman" w:hAnsi="Times New Roman"/>
          <w:sz w:val="18"/>
          <w:szCs w:val="18"/>
          <w:color w:val="auto"/>
        </w:rPr>
        <w:t>Our board of directors has appointed our compensation committee to administer our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nationals or employed outside the U.S. The administrator’s findings, decisions, and determinations are final and binding on all participants to the maximum extent permitted by law.</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7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Generally, any of our employees are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20"/>
          </w:cols>
          <w:pgMar w:left="320" w:top="117" w:right="359" w:bottom="1440" w:gutter="0" w:footer="0" w:header="0"/>
        </w:sectPr>
      </w:pPr>
    </w:p>
    <w:bookmarkStart w:id="152" w:name="page153"/>
    <w:bookmarkEnd w:id="152"/>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compensated employee within the meaning of Code Section 414(q), or (e) is a highly compensated employee within the meaning of Code Section 414(q) with compensation above a certain level or is an officer or subject to disclosure requirements under Section 16(a) of the Exchange Act, is or is not eligible to participate in an offering. However, an employee may not be granted an option to purchase stock under our ESPP if the employee (i) immediately after the grant, would own stock and/or hold outstanding options to purchase such stock possessing 5% or more of the total combined voting power or value of all classes of our (or any of our parent’s or subsidiary’s) capital stock; or (ii) holds rights to purchase stock under all of our employee stock purchase plans that accrue at a rate that exceeds $25,000 worth of stock for each calendar year.</w:t>
      </w:r>
    </w:p>
    <w:p>
      <w:pPr>
        <w:spacing w:after="0" w:line="13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Offering Periods and Purchase Periods</w:t>
      </w:r>
    </w:p>
    <w:p>
      <w:pPr>
        <w:spacing w:after="0" w:line="173" w:lineRule="exact"/>
        <w:rPr>
          <w:sz w:val="20"/>
          <w:szCs w:val="20"/>
          <w:color w:val="auto"/>
        </w:rPr>
      </w:pPr>
    </w:p>
    <w:p>
      <w:pPr>
        <w:ind w:right="40" w:firstLine="324"/>
        <w:spacing w:after="0" w:line="218" w:lineRule="exact"/>
        <w:rPr>
          <w:sz w:val="20"/>
          <w:szCs w:val="20"/>
          <w:color w:val="auto"/>
        </w:rPr>
      </w:pPr>
      <w:r>
        <w:rPr>
          <w:rFonts w:ascii="Times New Roman" w:cs="Times New Roman" w:eastAsia="Times New Roman" w:hAnsi="Times New Roman"/>
          <w:sz w:val="18"/>
          <w:szCs w:val="18"/>
          <w:color w:val="auto"/>
        </w:rPr>
        <w:t>Our ESPP includes a component that is intended to qualify as an “employee stock purchase plan” under Code Section 423 (the 423 Component), and a component that does not comply with Code Section 423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For purposes of this summary, a reference to our ESPP generally will mean the terms and operations of the 423 Component. Upon the administrator’s determination that offering periods will commence under our ESPP (the Offer Commencement Approval), our ESPP will provide for six-month offering periods, unless the administrator determines otherwise. Each offering period will have one purchase period with the same duration as the offering period. The offering periods will be scheduled to begin on the first trading day on or after (a) February 15 and August 15 of each year following the date of the Offer Commencement Approval, or, (b) on May 15 and November 15 of each year following the Offer Commencement Approval if either of May 15 or November 15 occurs earlier than February 15 or August 15 in the year of the Offer Commencement Approval. The administrator is authorized to change the duration of future offering periods and purchase periods under our ESPP, including the starting and ending dates of offering periods and purchase periods and the number of purchase periods in any offering periods, provided that no offering period will have a duration exceeding 27 months.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17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ESPP permits participants to purchase shares of our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Exercise of Purchase Right</w:t>
      </w:r>
    </w:p>
    <w:p>
      <w:pPr>
        <w:spacing w:after="0" w:line="17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Amounts deducted and accumulated by a participant under our ESPP are used to purchase shares of our common stock at the end of each offering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1,168 shares during each offering period.</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w:t>
      </w:r>
    </w:p>
    <w:p>
      <w:pPr>
        <w:spacing w:after="0" w:line="173"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A participant may not transfer the contributions credited to his or her ESPP account or rights granted under our ESPP, other than by will or the laws of descent and distribution.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Certain Adjustments</w:t>
      </w:r>
    </w:p>
    <w:p>
      <w:pPr>
        <w:spacing w:after="0" w:line="173"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Our ESPP provides that if any dividend or other distribution (whether in the form of cash, our common stock, other securities, or other property), recapitalization, stock split, reverse stock split, reorganization,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20"/>
          </w:cols>
          <w:pgMar w:left="320" w:top="117" w:right="359" w:bottom="1440" w:gutter="0" w:footer="0" w:header="0"/>
        </w:sectPr>
      </w:pPr>
    </w:p>
    <w:bookmarkStart w:id="153" w:name="page154"/>
    <w:bookmarkEnd w:id="153"/>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consolidation, split up, spin 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Merger or Change in Control</w:t>
      </w:r>
    </w:p>
    <w:p>
      <w:pPr>
        <w:spacing w:after="0" w:line="17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before such date the participant has withdrawn from the offering period or a participant’s participation has terminated due to termination of employment.</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before the effective date of our registration statement of which this prospectus forms a part, unless we terminate it earlier.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maintain a 401(k) retirement savings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Rule 10b5-1 Plan Sales</w:t>
      </w:r>
    </w:p>
    <w:p>
      <w:pPr>
        <w:spacing w:after="0" w:line="17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directors and executive officers may adopt written plans, known as Rule 10b5-1 plans, in which they will contract with a broker to buy or sell shares of our Class A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prior to the day following the 180th day after the date of this offering, the sale of any shares under such plan would be subject to the lock-up agreement that the director or executive officer has entered into with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80"/>
          </w:cols>
          <w:pgMar w:left="320" w:top="117" w:right="399" w:bottom="1440" w:gutter="0" w:footer="0" w:header="0"/>
        </w:sectPr>
      </w:pPr>
    </w:p>
    <w:bookmarkStart w:id="154" w:name="page155"/>
    <w:bookmarkEnd w:id="154"/>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RELATED-PARTY TRANSACTIONS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2017 and each currently proposed transaction in which:</w:t>
      </w:r>
    </w:p>
    <w:p>
      <w:pPr>
        <w:spacing w:after="0" w:line="122"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PrognomIQ Transaction</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described in the section “Business—PrognomIQ,” on August 21, 2020, we consummated a transaction whereby we spun off our subsidiary PrognomIQ, Inc. through a distribution of shares of Class A common stock, Class B common stock and preferred stock of PrognomIQ to our stockholders. As a result of this transaction, those individuals who were our stockholders as of 5:00 p.m. Eastern Time on August 20, 2020, including certain of our directors and executive officers and venture capital funds that beneficially own more than 5% of our outstanding capital stock and/or are represented on our board of directors, received a distribution of shares of the relevant class of stock of PrognomIQ.</w:t>
      </w:r>
    </w:p>
    <w:p>
      <w:pPr>
        <w:spacing w:after="0" w:line="1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have non-exclusively licensed our patents and patent applications and have non-exclusively sublicensed certain patent applications we exclusively licensed from BWH, in each case, to PrognomIQ for use in the field of human diagnostics. Pursuant to our agreement with PrognomIQ, we also assigned a patent application related to lung cancer biomarkers to PrognomIQ. For further discussion of our license and sublicense arrangement with PrognomIQ, see the section titled “Business—Collaboration and License Agreements—</w:t>
      </w:r>
      <w:r>
        <w:rPr>
          <w:rFonts w:ascii="Times New Roman" w:cs="Times New Roman" w:eastAsia="Times New Roman" w:hAnsi="Times New Roman"/>
          <w:sz w:val="18"/>
          <w:szCs w:val="18"/>
          <w:i w:val="1"/>
          <w:iCs w:val="1"/>
          <w:color w:val="auto"/>
        </w:rPr>
        <w:t>PrognomIQ</w:t>
      </w:r>
      <w:r>
        <w:rPr>
          <w:rFonts w:ascii="Times New Roman" w:cs="Times New Roman" w:eastAsia="Times New Roman" w:hAnsi="Times New Roman"/>
          <w:sz w:val="18"/>
          <w:szCs w:val="18"/>
          <w:color w:val="auto"/>
        </w:rPr>
        <w:t>.” We will also be providing general transition services and support, including laboratory and office space to PrognomIQ pursuant to a transition services agreement during the transition period.</w:t>
      </w:r>
    </w:p>
    <w:p>
      <w:pPr>
        <w:spacing w:after="0" w:line="1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Philip Ma, Ph.D., our co-Founder and former Chief Business Officer, serves as the Chief Executive Officer of PrognomIQ. While Dr. Ma has transitioned to a full-time employee of PrognomIQ, he will remain a consultant of the Company until April 2021. Our Chief Executive Officer and Chair of our board of directors, Omid Farokhzad, M.D., is the Chair of PrognomIQ’s board of directors.</w:t>
      </w:r>
    </w:p>
    <w:p>
      <w:pPr>
        <w:spacing w:after="0" w:line="12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number of PrognomIQ shares distributed and equity awards granted in connection with the PrognomIQ transaction to our directors, executive officers and 5% stockholders.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278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Class A Common Shares</w:t>
            </w: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Class B Common Shares</w:t>
            </w:r>
          </w:p>
        </w:tc>
        <w:tc>
          <w:tcPr>
            <w:tcW w:w="15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Preferred Shares</w:t>
            </w:r>
          </w:p>
        </w:tc>
      </w:tr>
      <w:tr>
        <w:trPr>
          <w:trHeight w:val="23"/>
        </w:trPr>
        <w:tc>
          <w:tcPr>
            <w:tcW w:w="52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Hallal</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892,776</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Emerson Collective Investments, LLC</w:t>
            </w:r>
          </w:p>
        </w:tc>
        <w:tc>
          <w:tcPr>
            <w:tcW w:w="2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5,326,807</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aMoon Fund</w:t>
            </w:r>
          </w:p>
        </w:tc>
        <w:tc>
          <w:tcPr>
            <w:tcW w:w="2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10,772,174</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 affiliated with Fidelity</w:t>
            </w:r>
          </w:p>
        </w:tc>
        <w:tc>
          <w:tcPr>
            <w:tcW w:w="2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6,666,666</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Maverick Capital Ventures, LLC</w:t>
            </w:r>
          </w:p>
        </w:tc>
        <w:tc>
          <w:tcPr>
            <w:tcW w:w="2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349,999</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11,396,607</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 affiliated with T. Rowe Price</w:t>
            </w:r>
          </w:p>
        </w:tc>
        <w:tc>
          <w:tcPr>
            <w:tcW w:w="2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5,169,230</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Invus Public Equities, L.P.</w:t>
            </w:r>
          </w:p>
        </w:tc>
        <w:tc>
          <w:tcPr>
            <w:tcW w:w="2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10,808,953</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Omid Farokhzad, M.D. and affiliated entities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5,918,990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17,545,007</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220,240</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 Ma, Ph.D. and affiliated entity</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2,152,360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220,240</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Langer, Sc.D.</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1,042,150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440,480</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Terrance McGuire and affiliated entity</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907,031</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110,120</w:t>
            </w:r>
          </w:p>
        </w:tc>
      </w:tr>
      <w:tr>
        <w:trPr>
          <w:trHeight w:val="27"/>
        </w:trPr>
        <w:tc>
          <w:tcPr>
            <w:tcW w:w="52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40"/>
          </w:cols>
          <w:pgMar w:left="320" w:top="117" w:right="339" w:bottom="1440" w:gutter="0" w:footer="0" w:header="0"/>
        </w:sectPr>
      </w:pPr>
    </w:p>
    <w:bookmarkStart w:id="155" w:name="page156"/>
    <w:bookmarkEnd w:id="155"/>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Preferred Stock Financings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D-1 Convertible Preferred Stock Transaction</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May 2020, we issued and sold an aggregate of 6,853,571 shares of our Series D-1 convertible preferred stock at a purchase price of $8.03 per share for an aggregate purchase price of approximately $55.0 million. Purchasers of our Series D-1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3540" w:type="dxa"/>
            <w:vAlign w:val="bottom"/>
            <w:gridSpan w:val="2"/>
          </w:tcPr>
          <w:p>
            <w:pPr>
              <w:jc w:val="center"/>
              <w:ind w:left="1695"/>
              <w:spacing w:after="0"/>
              <w:rPr>
                <w:sz w:val="20"/>
                <w:szCs w:val="20"/>
                <w:color w:val="auto"/>
              </w:rPr>
            </w:pPr>
            <w:r>
              <w:rPr>
                <w:rFonts w:ascii="Times New Roman" w:cs="Times New Roman" w:eastAsia="Times New Roman" w:hAnsi="Times New Roman"/>
                <w:sz w:val="14"/>
                <w:szCs w:val="14"/>
                <w:b w:val="1"/>
                <w:bCs w:val="1"/>
                <w:color w:val="auto"/>
              </w:rPr>
              <w:t>Series D-1 Convertible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3540" w:type="dxa"/>
            <w:vAlign w:val="bottom"/>
            <w:gridSpan w:val="2"/>
          </w:tcPr>
          <w:p>
            <w:pPr>
              <w:jc w:val="center"/>
              <w:ind w:left="1695"/>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2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Total Purchase Price</w:t>
            </w:r>
          </w:p>
        </w:tc>
      </w:tr>
      <w:tr>
        <w:trPr>
          <w:trHeight w:val="23"/>
        </w:trPr>
        <w:tc>
          <w:tcPr>
            <w:tcW w:w="61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Emerson Collective Investments, LLC</w:t>
            </w:r>
          </w:p>
        </w:tc>
        <w:tc>
          <w:tcPr>
            <w:tcW w:w="3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1,399,999</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 affiliated with aMoon Fund</w:t>
            </w:r>
            <w:r>
              <w:rPr>
                <w:rFonts w:ascii="Times New Roman" w:cs="Times New Roman" w:eastAsia="Times New Roman" w:hAnsi="Times New Roman"/>
                <w:sz w:val="23"/>
                <w:szCs w:val="23"/>
                <w:color w:val="auto"/>
                <w:vertAlign w:val="superscript"/>
              </w:rPr>
              <w:t>(1)</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1,370,715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10,999,999</w:t>
            </w:r>
          </w:p>
        </w:tc>
      </w:tr>
      <w:tr>
        <w:trPr>
          <w:trHeight w:val="27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Fidelity</w:t>
            </w:r>
            <w:r>
              <w:rPr>
                <w:rFonts w:ascii="Times New Roman" w:cs="Times New Roman" w:eastAsia="Times New Roman" w:hAnsi="Times New Roman"/>
                <w:sz w:val="23"/>
                <w:szCs w:val="23"/>
                <w:color w:val="auto"/>
                <w:vertAlign w:val="superscript"/>
              </w:rPr>
              <w:t>(2)</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3,115,262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24,999,998</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 affiliated with Maverick Capital Ventures, LLC</w:t>
            </w:r>
            <w:r>
              <w:rPr>
                <w:rFonts w:ascii="Times New Roman" w:cs="Times New Roman" w:eastAsia="Times New Roman" w:hAnsi="Times New Roman"/>
                <w:sz w:val="23"/>
                <w:szCs w:val="23"/>
                <w:color w:val="auto"/>
                <w:vertAlign w:val="superscript"/>
              </w:rPr>
              <w:t>(3)</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373,831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7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T. Rowe Price</w:t>
            </w:r>
            <w:r>
              <w:rPr>
                <w:rFonts w:ascii="Times New Roman" w:cs="Times New Roman" w:eastAsia="Times New Roman" w:hAnsi="Times New Roman"/>
                <w:sz w:val="23"/>
                <w:szCs w:val="23"/>
                <w:color w:val="auto"/>
                <w:vertAlign w:val="superscript"/>
              </w:rPr>
              <w:t>(4)</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1,121,494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w:t>
            </w:r>
          </w:p>
        </w:tc>
      </w:tr>
      <w:tr>
        <w:trPr>
          <w:trHeight w:val="24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Invus Public Equities, L.P.</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1,999,999</w:t>
            </w:r>
          </w:p>
        </w:tc>
      </w:tr>
      <w:tr>
        <w:trPr>
          <w:trHeight w:val="182"/>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w:t>
            </w: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ind w:left="340" w:hanging="332"/>
        <w:spacing w:after="0" w:line="241" w:lineRule="auto"/>
        <w:tabs>
          <w:tab w:leader="none" w:pos="33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aMoon Fund whose shares are aggregated for the purposes of reporting ownership information include aMoon 2 Fund, Limited Partnership and aMoon Co-Investment SPV I, L.P.</w:t>
      </w:r>
    </w:p>
    <w:p>
      <w:pPr>
        <w:ind w:left="340" w:right="20" w:hanging="332"/>
        <w:spacing w:after="0" w:line="241" w:lineRule="auto"/>
        <w:tabs>
          <w:tab w:leader="none" w:pos="33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Fidelity whose shares are aggregated for the purposes of reporting ownership information include Fidelity Growth Company Commingled Pool, Fidelity Mt. Vernon Street Trust: Fidelity Growth Company Fund, Fidelity Mt. Vernon Street Trust: Fidelity Growth Company K6 Fund, Fidelity Mt. Vernon Street Trust: Fidelity Series Growth Company Fund and Fidelity Select Portfolios Select Medical Technology and Devices Portfolio.</w:t>
      </w:r>
    </w:p>
    <w:p>
      <w:pPr>
        <w:spacing w:after="0" w:line="1" w:lineRule="exact"/>
        <w:rPr>
          <w:rFonts w:ascii="Times New Roman" w:cs="Times New Roman" w:eastAsia="Times New Roman" w:hAnsi="Times New Roman"/>
          <w:sz w:val="14"/>
          <w:szCs w:val="14"/>
          <w:color w:val="auto"/>
        </w:rPr>
      </w:pPr>
    </w:p>
    <w:p>
      <w:pPr>
        <w:ind w:left="340" w:right="540" w:hanging="332"/>
        <w:spacing w:after="0" w:line="241" w:lineRule="auto"/>
        <w:tabs>
          <w:tab w:leader="none" w:pos="33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340" w:right="320" w:hanging="332"/>
        <w:spacing w:after="0" w:line="258" w:lineRule="auto"/>
        <w:tabs>
          <w:tab w:leader="none" w:pos="33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T. Rowe Price include T. Rowe Price Health Sciences Portfolio, TD Mutual Funds - TD Health Sciences Fund, VALIC Company I - Health Sciences Fund and T. Rowe Price Health Sciences Fund, Inc.</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D Convertible Preferred Stock Transaction</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November 2019 and December 2019, we issued and sold an aggregate of 7,907,968 shares of our Series D convertible preferred stock shares at a purchase price of $6.96 per share for an aggregate purchase price of approximately $55.0 million. Purchasers of our Series D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3520" w:type="dxa"/>
            <w:vAlign w:val="bottom"/>
            <w:gridSpan w:val="2"/>
          </w:tcPr>
          <w:p>
            <w:pPr>
              <w:jc w:val="center"/>
              <w:ind w:left="1675"/>
              <w:spacing w:after="0"/>
              <w:rPr>
                <w:sz w:val="20"/>
                <w:szCs w:val="20"/>
                <w:color w:val="auto"/>
              </w:rPr>
            </w:pPr>
            <w:r>
              <w:rPr>
                <w:rFonts w:ascii="Times New Roman" w:cs="Times New Roman" w:eastAsia="Times New Roman" w:hAnsi="Times New Roman"/>
                <w:sz w:val="14"/>
                <w:szCs w:val="14"/>
                <w:b w:val="1"/>
                <w:bCs w:val="1"/>
                <w:color w:val="auto"/>
              </w:rPr>
              <w:t>Series D Convertible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3520" w:type="dxa"/>
            <w:vAlign w:val="bottom"/>
            <w:gridSpan w:val="2"/>
          </w:tcPr>
          <w:p>
            <w:pPr>
              <w:jc w:val="center"/>
              <w:ind w:left="1675"/>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2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Total Purchase Price</w:t>
            </w:r>
          </w:p>
        </w:tc>
      </w:tr>
      <w:tr>
        <w:trPr>
          <w:trHeight w:val="23"/>
        </w:trPr>
        <w:tc>
          <w:tcPr>
            <w:tcW w:w="61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Emerson Collective Investments, LLC</w:t>
            </w:r>
          </w:p>
        </w:tc>
        <w:tc>
          <w:tcPr>
            <w:tcW w:w="3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3,684,652</w:t>
            </w:r>
          </w:p>
        </w:tc>
      </w:tr>
      <w:tr>
        <w:trPr>
          <w:trHeight w:val="27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 affiliated with aMoon Fund</w:t>
            </w:r>
            <w:r>
              <w:rPr>
                <w:rFonts w:ascii="Times New Roman" w:cs="Times New Roman" w:eastAsia="Times New Roman" w:hAnsi="Times New Roman"/>
                <w:sz w:val="23"/>
                <w:szCs w:val="23"/>
                <w:color w:val="auto"/>
                <w:vertAlign w:val="superscript"/>
              </w:rPr>
              <w:t>(1)</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3,663,008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25,476,233</w:t>
            </w:r>
          </w:p>
        </w:tc>
      </w:tr>
      <w:tr>
        <w:trPr>
          <w:trHeight w:val="27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Maverick Capital Ventures, LLC</w:t>
            </w:r>
            <w:r>
              <w:rPr>
                <w:rFonts w:ascii="Times New Roman" w:cs="Times New Roman" w:eastAsia="Times New Roman" w:hAnsi="Times New Roman"/>
                <w:sz w:val="23"/>
                <w:szCs w:val="23"/>
                <w:color w:val="auto"/>
                <w:vertAlign w:val="superscript"/>
              </w:rPr>
              <w:t>(2)</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3,515,486</w:t>
            </w:r>
          </w:p>
        </w:tc>
      </w:tr>
      <w:tr>
        <w:trPr>
          <w:trHeight w:val="27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 affiliated with T. Rowe Price</w:t>
            </w:r>
            <w:r>
              <w:rPr>
                <w:rFonts w:ascii="Times New Roman" w:cs="Times New Roman" w:eastAsia="Times New Roman" w:hAnsi="Times New Roman"/>
                <w:sz w:val="23"/>
                <w:szCs w:val="23"/>
                <w:color w:val="auto"/>
                <w:vertAlign w:val="superscript"/>
              </w:rPr>
              <w:t>(3)</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1,294,030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8,999,998</w:t>
            </w: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Invus Public Equities, L.P.</w:t>
            </w:r>
          </w:p>
        </w:tc>
        <w:tc>
          <w:tcPr>
            <w:tcW w:w="3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3,299,998</w:t>
            </w:r>
          </w:p>
        </w:tc>
      </w:tr>
      <w:tr>
        <w:trPr>
          <w:trHeight w:val="155"/>
        </w:trPr>
        <w:tc>
          <w:tcPr>
            <w:tcW w:w="61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w:t>
            </w: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bl>
    <w:p>
      <w:pPr>
        <w:ind w:left="340" w:hanging="332"/>
        <w:spacing w:after="0" w:line="241" w:lineRule="auto"/>
        <w:tabs>
          <w:tab w:leader="none" w:pos="33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aMoon Fund whose shares are aggregated for the purposes of reporting ownership information include aMoon 2 Fund, Limited Partnership and aMoon Co-Investment SPV I, L.P.</w:t>
      </w:r>
    </w:p>
    <w:p>
      <w:pPr>
        <w:ind w:left="340" w:right="540" w:hanging="332"/>
        <w:spacing w:after="0" w:line="241" w:lineRule="auto"/>
        <w:tabs>
          <w:tab w:leader="none" w:pos="33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340" w:right="320" w:hanging="332"/>
        <w:spacing w:after="0" w:line="258" w:lineRule="auto"/>
        <w:tabs>
          <w:tab w:leader="none" w:pos="33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T. Rowe Price include T. Rowe Price Health Sciences Portfolio, TD Mutual Funds - TD Health Sciences Fund, VALIC Company I - Health Sciences Fund and T. Rowe Price Health Sciences Fund,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40"/>
          </w:cols>
          <w:pgMar w:left="320" w:top="117" w:right="339" w:bottom="1440" w:gutter="0" w:footer="0" w:header="0"/>
        </w:sectPr>
      </w:pPr>
    </w:p>
    <w:bookmarkStart w:id="156" w:name="page157"/>
    <w:bookmarkEnd w:id="156"/>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C Convertible Preferred Stock Transaction</w:t>
      </w:r>
    </w:p>
    <w:p>
      <w:pPr>
        <w:spacing w:after="0" w:line="17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March and April 2019, we issued and sold an aggregate of 3,271,023 shares of our Series C convertible preferred stock at a purchase price of $5.35 per share for an aggregate purchase price of approximately $17.5 million. Purchasers of our Series C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ectPr>
          <w:pgSz w:w="11900" w:h="16838" w:orient="portrait"/>
          <w:cols w:equalWidth="0" w:num="1">
            <w:col w:w="11240"/>
          </w:cols>
          <w:pgMar w:left="320" w:top="117" w:right="339" w:bottom="1440" w:gutter="0" w:footer="0" w:header="0"/>
        </w:sect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Series C Convertible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Preferred Shares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Purchase Price</w:t>
      </w:r>
    </w:p>
    <w:p>
      <w:pPr>
        <w:spacing w:after="0" w:line="33" w:lineRule="exact"/>
        <w:rPr>
          <w:sz w:val="20"/>
          <w:szCs w:val="20"/>
          <w:color w:val="auto"/>
        </w:rPr>
      </w:pPr>
    </w:p>
    <w:p>
      <w:pPr>
        <w:sectPr>
          <w:pgSz w:w="11900" w:h="16838" w:orient="portrait"/>
          <w:cols w:equalWidth="0" w:num="3">
            <w:col w:w="7440" w:space="720"/>
            <w:col w:w="1280" w:space="380"/>
            <w:col w:w="142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Emerson Collective Investments, LLC</w:t>
            </w:r>
          </w:p>
        </w:tc>
        <w:tc>
          <w:tcPr>
            <w:tcW w:w="3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242,990</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r>
      <w:tr>
        <w:trPr>
          <w:trHeight w:val="229"/>
        </w:trPr>
        <w:tc>
          <w:tcPr>
            <w:tcW w:w="6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Maverick Capital Ventures, LLC</w:t>
            </w:r>
            <w:r>
              <w:rPr>
                <w:rFonts w:ascii="Times New Roman" w:cs="Times New Roman" w:eastAsia="Times New Roman" w:hAnsi="Times New Roman"/>
                <w:sz w:val="23"/>
                <w:szCs w:val="23"/>
                <w:color w:val="auto"/>
                <w:vertAlign w:val="superscript"/>
              </w:rPr>
              <w:t>(1)</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411,214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2,200,000</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Invus Public Equities, L.P.</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155"/>
        </w:trPr>
        <w:tc>
          <w:tcPr>
            <w:tcW w:w="6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w:t>
            </w: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ind w:left="340" w:right="540" w:hanging="332"/>
        <w:spacing w:after="0" w:line="258" w:lineRule="auto"/>
        <w:tabs>
          <w:tab w:leader="none" w:pos="332"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B Convertible Preferred Stock Transaction</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March 2018, we issued and sold an aggregate of 7,906,757 shares of Series B convertible preferred stock at a purchase price of $3.80 per share for an aggregate purchase price of approximately $30.0 million. Purchasers of our Series B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ectPr>
          <w:pgSz w:w="11900" w:h="16838" w:orient="portrait"/>
          <w:cols w:equalWidth="0" w:num="1">
            <w:col w:w="11240"/>
          </w:cols>
          <w:pgMar w:left="320" w:top="117" w:right="339" w:bottom="1440" w:gutter="0" w:footer="0" w:header="0"/>
          <w:type w:val="continuous"/>
        </w:sect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Series B Convertible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Preferred Shares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Purchase Price</w:t>
      </w:r>
    </w:p>
    <w:p>
      <w:pPr>
        <w:spacing w:after="0" w:line="33" w:lineRule="exact"/>
        <w:rPr>
          <w:sz w:val="20"/>
          <w:szCs w:val="20"/>
          <w:color w:val="auto"/>
        </w:rPr>
      </w:pPr>
    </w:p>
    <w:p>
      <w:pPr>
        <w:sectPr>
          <w:pgSz w:w="11900" w:h="16838" w:orient="portrait"/>
          <w:cols w:equalWidth="0" w:num="3">
            <w:col w:w="7440" w:space="720"/>
            <w:col w:w="1260" w:space="400"/>
            <w:col w:w="142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Emerson Collective Investments, LLC</w:t>
            </w:r>
          </w:p>
        </w:tc>
        <w:tc>
          <w:tcPr>
            <w:tcW w:w="3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1,541,932</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5,850,430</w:t>
            </w:r>
          </w:p>
        </w:tc>
      </w:tr>
      <w:tr>
        <w:trPr>
          <w:trHeight w:val="27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 affiliated with Maverick Capital Ventures, LLC</w:t>
            </w:r>
            <w:r>
              <w:rPr>
                <w:rFonts w:ascii="Times New Roman" w:cs="Times New Roman" w:eastAsia="Times New Roman" w:hAnsi="Times New Roman"/>
                <w:sz w:val="23"/>
                <w:szCs w:val="23"/>
                <w:color w:val="auto"/>
                <w:vertAlign w:val="superscript"/>
              </w:rPr>
              <w:t>(1)</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1,976,690</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7,499,999</w:t>
            </w:r>
          </w:p>
        </w:tc>
      </w:tr>
      <w:tr>
        <w:trPr>
          <w:trHeight w:val="27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Invus Public Equities, L.P.</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3,953,381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14,999,998</w:t>
            </w:r>
          </w:p>
        </w:tc>
      </w:tr>
      <w:tr>
        <w:trPr>
          <w:trHeight w:val="155"/>
        </w:trPr>
        <w:tc>
          <w:tcPr>
            <w:tcW w:w="64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w:t>
            </w: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ind w:left="340" w:right="540" w:hanging="332"/>
        <w:spacing w:after="0" w:line="258" w:lineRule="auto"/>
        <w:tabs>
          <w:tab w:leader="none" w:pos="332"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 Transaction</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December 2017, we issued and sold an aggregate of 3,087,468 shares of our Series A convertible preferred stock at a purchase price of $1.95 per share for an aggregate purchase price of approximately $6.0 million. Purchasers of our Series A convertible preferred stock included certain of our officers and directors. The following table presents the number of shares and the total purchase price paid by these persons.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3520" w:type="dxa"/>
            <w:vAlign w:val="bottom"/>
            <w:gridSpan w:val="2"/>
          </w:tcPr>
          <w:p>
            <w:pPr>
              <w:jc w:val="center"/>
              <w:ind w:left="1675"/>
              <w:spacing w:after="0"/>
              <w:rPr>
                <w:sz w:val="20"/>
                <w:szCs w:val="20"/>
                <w:color w:val="auto"/>
              </w:rPr>
            </w:pPr>
            <w:r>
              <w:rPr>
                <w:rFonts w:ascii="Times New Roman" w:cs="Times New Roman" w:eastAsia="Times New Roman" w:hAnsi="Times New Roman"/>
                <w:sz w:val="14"/>
                <w:szCs w:val="14"/>
                <w:b w:val="1"/>
                <w:bCs w:val="1"/>
                <w:color w:val="auto"/>
              </w:rPr>
              <w:t>Series A Convertible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3520" w:type="dxa"/>
            <w:vAlign w:val="bottom"/>
            <w:gridSpan w:val="2"/>
          </w:tcPr>
          <w:p>
            <w:pPr>
              <w:jc w:val="center"/>
              <w:ind w:left="1675"/>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2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Total Purchase Price</w:t>
            </w:r>
          </w:p>
        </w:tc>
      </w:tr>
      <w:tr>
        <w:trPr>
          <w:trHeight w:val="23"/>
        </w:trPr>
        <w:tc>
          <w:tcPr>
            <w:tcW w:w="61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6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Dynamics Group LLC</w:t>
            </w:r>
            <w:r>
              <w:rPr>
                <w:rFonts w:ascii="Times New Roman" w:cs="Times New Roman" w:eastAsia="Times New Roman" w:hAnsi="Times New Roman"/>
                <w:sz w:val="23"/>
                <w:szCs w:val="23"/>
                <w:color w:val="auto"/>
                <w:vertAlign w:val="superscript"/>
              </w:rPr>
              <w:t>(1)</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9"/>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Maverick Capital Ventures, LLC</w:t>
            </w:r>
            <w:r>
              <w:rPr>
                <w:rFonts w:ascii="Times New Roman" w:cs="Times New Roman" w:eastAsia="Times New Roman" w:hAnsi="Times New Roman"/>
                <w:sz w:val="23"/>
                <w:szCs w:val="23"/>
                <w:color w:val="auto"/>
                <w:vertAlign w:val="superscript"/>
              </w:rPr>
              <w:t>(2)</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2,058,317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r>
      <w:tr>
        <w:trPr>
          <w:trHeight w:val="230"/>
        </w:trPr>
        <w:tc>
          <w:tcPr>
            <w:tcW w:w="6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Philip Ma, Ph.D.</w:t>
            </w:r>
            <w:r>
              <w:rPr>
                <w:rFonts w:ascii="Times New Roman" w:cs="Times New Roman" w:eastAsia="Times New Roman" w:hAnsi="Times New Roman"/>
                <w:sz w:val="23"/>
                <w:szCs w:val="23"/>
                <w:color w:val="auto"/>
                <w:vertAlign w:val="superscript"/>
              </w:rPr>
              <w:t>(3)</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Robert Langer, Sc.D.</w:t>
            </w:r>
            <w:r>
              <w:rPr>
                <w:rFonts w:ascii="Times New Roman" w:cs="Times New Roman" w:eastAsia="Times New Roman" w:hAnsi="Times New Roman"/>
                <w:sz w:val="23"/>
                <w:szCs w:val="23"/>
                <w:color w:val="auto"/>
                <w:vertAlign w:val="superscript"/>
              </w:rPr>
              <w:t>(4)</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30"/>
        </w:trPr>
        <w:tc>
          <w:tcPr>
            <w:tcW w:w="6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Strong Bridge LLC</w:t>
            </w:r>
            <w:r>
              <w:rPr>
                <w:rFonts w:ascii="Times New Roman" w:cs="Times New Roman" w:eastAsia="Times New Roman" w:hAnsi="Times New Roman"/>
                <w:sz w:val="23"/>
                <w:szCs w:val="23"/>
                <w:color w:val="auto"/>
                <w:vertAlign w:val="superscript"/>
              </w:rPr>
              <w:t>(5)</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155"/>
        </w:trPr>
        <w:tc>
          <w:tcPr>
            <w:tcW w:w="61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w:t>
            </w: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bl>
    <w:p>
      <w:pPr>
        <w:ind w:left="320" w:hanging="312"/>
        <w:spacing w:after="0"/>
        <w:tabs>
          <w:tab w:leader="none" w:pos="3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Omid Farokhzad, M.D., is our Chief Executive Officer and the chair of our board of directors and is the sole member of Dynamics Group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17" w:right="339" w:bottom="1440" w:gutter="0" w:footer="0" w:header="0"/>
          <w:type w:val="continuous"/>
        </w:sectPr>
      </w:pPr>
    </w:p>
    <w:bookmarkStart w:id="157" w:name="page158"/>
    <w:bookmarkEnd w:id="157"/>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520" w:hanging="332"/>
        <w:spacing w:after="0" w:line="253" w:lineRule="auto"/>
        <w:tabs>
          <w:tab w:leader="none" w:pos="332"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320" w:hanging="312"/>
        <w:spacing w:after="0"/>
        <w:tabs>
          <w:tab w:leader="none" w:pos="3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Philip Ma, Ph.D. is a founder, and, at the time of purchase, was the President and Chief Business Officer of the Company.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Langer, Sc.D. is a member of our board of directors.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Terrance McGuire is a member of our board of directors and is an operating manager of Strong Bridge LLC.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party to an amended and restated investors’ rights agreement, dated as of May 12, 2020 (IRA), which provides, among other things, that certain holders of our capital stock have the right to demand that we file a registration statement or request that their shares of our capital stock be covered by a registration statement that we are otherwise filing. In connection with the concurrent private placement, the IRA will be amended and restated to add the purchasers in the concurrent private placement as parties with the same rights, including registration rights, as certain of the prior holders of our capital stock. Emerson Collective Investments, LLC, entities affiliated with aMoon Fund, entities affiliated with Fidelity, entities affiliated with Maverick Capital Ventures, LLC, entities affiliated with T. Rowe Price, Invus Public Equities, L.P., entities affiliated with Omid Farokhzad, M.D., Robert Langer and entities affiliated with Terrance McGuire are among the parties to the IRA and they will remain parties to the amended and restated IRA.</w:t>
      </w:r>
    </w:p>
    <w:p>
      <w:pPr>
        <w:spacing w:after="0" w:line="135" w:lineRule="exact"/>
        <w:rPr>
          <w:sz w:val="20"/>
          <w:szCs w:val="20"/>
          <w:color w:val="auto"/>
        </w:rPr>
      </w:pPr>
    </w:p>
    <w:p>
      <w:pPr>
        <w:ind w:right="11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See the section titled “Description of Capital Stock—Registration Rights” for additional information regarding these registration rights. </w:t>
      </w:r>
      <w:r>
        <w:rPr>
          <w:rFonts w:ascii="Times New Roman" w:cs="Times New Roman" w:eastAsia="Times New Roman" w:hAnsi="Times New Roman"/>
          <w:sz w:val="18"/>
          <w:szCs w:val="18"/>
          <w:b w:val="1"/>
          <w:bCs w:val="1"/>
          <w:color w:val="auto"/>
        </w:rPr>
        <w:t>Right of First Refusal</w:t>
      </w:r>
    </w:p>
    <w:p>
      <w:pPr>
        <w:spacing w:after="0" w:line="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Pursuant to certain of our equity compensation plans and certain agreements with our stockholders, including an amended and restated right of first refusal and co-sale agreement, dated as of May 12, 2020, we or our assignees have a right to purchase shares of our capital stock which stockholders propose to sell to other parties. This right will terminate upon completion of this offering. Emerson Collective Investments, LLC, entities affiliated with aMoon Fund, entities affiliated with Fidelity, entities affiliated with Maverick Capital Ventures, LLC, entities affiliated with T. Rowe Price, Invus Public Equities, L.P., entities affiliated with Omid Farokhzad, M.D., Robert Langer and entities affiliated with Terrance McGuire are among the parties to the right of first refusal and co-sale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party to a voting agreement, dated as of May 12, 2020, under which certain holders of our capital stock have agreed to vote their shares of our capital stock on certain matters, including with respect to the election of directors. Upon completion of this offering, the voting agreement will terminate and none of our stockholders will have any special rights regarding the election or designation of members of our board of directors. Emerson Collective Investments, LLC, entities affiliated with aMoon Fund, entities affiliated with Fidelity, entities affiliated with Maverick Capital Ventures, LLC, entities affiliated with T. Rowe Price, Invus Public Equities, L.P., entities affiliated with Omid Farokhzad, M.D., Robert Langer and entities affiliated with Terrance McGuire are among the parties to the voting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75"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We have granted stock options, RSAs and RSUs to our executive officers and certain of our directors. See the sections titled “Executive Compensation —Outstanding Equity Awards at Fiscal Year-End” and “Management—Director Compensation” for a description of these stock incentive awards.</w:t>
      </w:r>
    </w:p>
    <w:p>
      <w:pPr>
        <w:spacing w:after="0" w:line="8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November 12, 2020, we entered into a purchase agreement with Fidelity Management &amp; Research Company LLC, SoftBank, certain funds and accounts advised by T. Rowe Price Associates, Inc. and aMoon Fund to purchase an aggregate of $135.0 million of our Class A common stock in a private placement at a price per share equal to the initial public offering price. The purchase of these shares will occur immediately subsequent to the closing of this offering.</w:t>
      </w:r>
    </w:p>
    <w:p>
      <w:pPr>
        <w:spacing w:after="0" w:line="12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Other than as described above under this section titled “Certain Relationships and Related Party Transactions,” since January 1, 2017, we have not entered into any transactions, nor are there any currently proposed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20"/>
          </w:cols>
          <w:pgMar w:left="320" w:top="117" w:right="359" w:bottom="1440" w:gutter="0" w:footer="0" w:header="0"/>
        </w:sectPr>
      </w:pPr>
    </w:p>
    <w:bookmarkStart w:id="158" w:name="page159"/>
    <w:bookmarkEnd w:id="158"/>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and our stockholders have approved an amended and restated certificate of incorporation, which will become effective immediately prior to the completion of this offering and which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spacing w:after="0" w:line="126"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17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our board of directors has adopted and our stockholders have approved amended and restated bylaws, which will become effective immediately prior to the completion of this offering, and which provide that we will indemnify, to the fullest extent permitted by law, any person who is or was a party or is threatened to be made a party to any action, suit or proceeding by reason of the fact that they are or were one of our directors or officers or is or was serving at our request as a director or officer of another corporation, partnership, joint venture, trust or other enterprise. Our amended and restated bylaws provide that we may indemnify to the fullest extent permitted by law any person who is or was a party or is threatened to be made a party to any action, suit or proceeding by reason of the fact that they are or were one of our employees or agents or is or was serving at our request as an employee or agent of another corporation, partnership, joint venture, trust or other enterprise. Our amended and restated bylaws also provide that we must advance expenses incurred by or on behalf of a director or officer in advance of the final disposition of any action or proceeding, subject to limited exceptions.</w:t>
      </w:r>
    </w:p>
    <w:p>
      <w:pPr>
        <w:spacing w:after="0" w:line="13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are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20"/>
          </w:cols>
          <w:pgMar w:left="320" w:top="117" w:right="359" w:bottom="1440" w:gutter="0" w:footer="0" w:header="0"/>
        </w:sectPr>
      </w:pPr>
    </w:p>
    <w:bookmarkStart w:id="159" w:name="page160"/>
    <w:bookmarkEnd w:id="159"/>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2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26"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underwriting agreement will provide for indemnification by the underwriters of us and our officers and directors for certain liabilities arising under the Securities Act or otherwise.</w:t>
      </w:r>
    </w:p>
    <w:p>
      <w:pPr>
        <w:spacing w:after="0" w:line="10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Following the completion of this offering,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Upon completion of this offering, our policy regarding transactions between us and related persons will provide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that will be in effect upon completion of this offering will provide that our audit committee shall review and approve or disapprove any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17" w:right="339" w:bottom="1440" w:gutter="0" w:footer="0" w:header="0"/>
        </w:sectPr>
      </w:pPr>
    </w:p>
    <w:bookmarkStart w:id="160" w:name="page161"/>
    <w:bookmarkEnd w:id="160"/>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75"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capital stock as of September 30, 2020, and as adjusted to reflect the sale of our Class A common stock in this offering, the concurrent private placement, assuming no exercise of the underwriters’ option to purchase additional shares of our Class A common stock, the secondary transaction and the voluntary conversion, for:</w:t>
      </w:r>
    </w:p>
    <w:p>
      <w:pPr>
        <w:spacing w:after="0" w:line="122"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the outstanding shares of each of our Class A common stock and Class B common stock.</w:t>
      </w:r>
    </w:p>
    <w:p>
      <w:pPr>
        <w:spacing w:after="0" w:line="10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2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prior to this offering, the concurrent private placement and the secondary transaction on 3,296,556 shares of our Class A common stock and 9,345,784 shares of our Class B common stock outstanding as of September 30, 2020, and 29,026,787 shares of our Class A common stock resulting from the automatic conversion of all outstanding shares of our convertible preferred stock into our Class A common stock immediately prior to the completion of this offering, as if this conversion had occurred as of September 30, 2020. We have based our calculation of the percentage of beneficial ownership after this offering, the concurrent private placement and the secondary transaction on</w:t>
      </w:r>
    </w:p>
    <w:p>
      <w:pPr>
        <w:spacing w:after="0" w:line="3" w:lineRule="exact"/>
        <w:rPr>
          <w:sz w:val="20"/>
          <w:szCs w:val="20"/>
          <w:color w:val="auto"/>
        </w:rPr>
      </w:pPr>
    </w:p>
    <w:p>
      <w:pPr>
        <w:ind w:firstLine="8"/>
        <w:spacing w:after="0" w:line="251" w:lineRule="auto"/>
        <w:tabs>
          <w:tab w:leader="none" w:pos="2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8,825,000 shares of our Class A common stock issued by us in this offering, assuming that the underwriters will not exercise their option to purchase additional shares of our Class A common stock from us, and excluding any potential purchases in this offering by the persons and entities named in the table below, (ii) the sale of 7,941,175 shares in the concurrent private placement at an assumed initial public offering price of $17.00 per share, which is the midpoint of the price range set forth on the cover page of this prospectus, (iii) the sale of 588,235 shares in the secondary transaction (and conversion of an equal amount of Class B common stock to Class A common stock), at an assumed initial public offering price of $17.00 per share, which is the midpoint of the price range set forth on the cover page of this prospectus and (iv) the voluntary conversion by OCF 2014 Trust, an entity affiliated with Omid Farokhzad, M.D., of 2,803,737 shares of Class B common stock to an equal amount of Class A common stock contingent upon, and immediately prior to, the completion of this offering (based upon an assumed initial public offering price of $17.00 per share, which is the midpoint of the price range set forth on the cover page of this prospectus (such transactions described in (i) through (iv) referred to the “IPO Transactions” in the column below). Since SoftBank did not beneficially own more than 5% of our Class A common stock or Class B common stock as of September 30, 2020, and prior to the concurrent private placement and secondary transaction, it is not set forth in the table below. We have deemed shares of our Class A common stock subject to stock options that are currently exercisable or exercisable within 60 days of September 30, 2020, or issuable pursuant to RSAs which are subject to vesting and settlement conditions expected to occur within 60 days of September 30, 2020 to be outstanding and to be beneficially owned by the person holding the stock option or RSA for the purpose of computing the percentage ownership of that person. We did not deem these shares outstanding, however, for the purpose of computing the percentage ownership of any other person.</w:t>
      </w:r>
    </w:p>
    <w:p>
      <w:pPr>
        <w:spacing w:after="0" w:line="13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Seer, Inc. 3800 Bridge Parkway, Suite 102, Redwood City, California 94065.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20"/>
          </w:cols>
          <w:pgMar w:left="320" w:top="117" w:right="359" w:bottom="1440" w:gutter="0" w:footer="0" w:header="0"/>
        </w:sectPr>
      </w:pPr>
    </w:p>
    <w:bookmarkStart w:id="161" w:name="page162"/>
    <w:bookmarkEnd w:id="161"/>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Shares Beneficially Owned</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 of Total Voting</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 of Total Voting</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Outstanding Before</w:t>
            </w:r>
          </w:p>
        </w:tc>
        <w:tc>
          <w:tcPr>
            <w:tcW w:w="1220" w:type="dxa"/>
            <w:vAlign w:val="bottom"/>
            <w:gridSpan w:val="2"/>
            <w:vMerge w:val="continue"/>
          </w:tcPr>
          <w:p>
            <w:pPr>
              <w:spacing w:after="0"/>
              <w:rPr>
                <w:sz w:val="10"/>
                <w:szCs w:val="10"/>
                <w:color w:val="auto"/>
              </w:rPr>
            </w:pPr>
          </w:p>
        </w:tc>
        <w:tc>
          <w:tcPr>
            <w:tcW w:w="12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Outstanding After</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Class A Shares</w:t>
            </w:r>
          </w:p>
        </w:tc>
        <w:tc>
          <w:tcPr>
            <w:tcW w:w="720" w:type="dxa"/>
            <w:vAlign w:val="bottom"/>
            <w:vMerge w:val="restart"/>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Class B Shares</w:t>
            </w:r>
            <w:r>
              <w:rPr>
                <w:rFonts w:ascii="Times New Roman" w:cs="Times New Roman" w:eastAsia="Times New Roman" w:hAnsi="Times New Roman"/>
                <w:sz w:val="21"/>
                <w:szCs w:val="21"/>
                <w:b w:val="1"/>
                <w:bCs w:val="1"/>
                <w:color w:val="auto"/>
                <w:vertAlign w:val="superscript"/>
              </w:rPr>
              <w:t>†</w:t>
            </w:r>
          </w:p>
        </w:tc>
        <w:tc>
          <w:tcPr>
            <w:tcW w:w="720" w:type="dxa"/>
            <w:vAlign w:val="bottom"/>
            <w:vMerge w:val="restart"/>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120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the IPO</w:t>
            </w:r>
          </w:p>
        </w:tc>
        <w:tc>
          <w:tcPr>
            <w:tcW w:w="122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3"/>
                <w:szCs w:val="13"/>
                <w:b w:val="1"/>
                <w:bCs w:val="1"/>
                <w:color w:val="auto"/>
              </w:rPr>
              <w:t>Power Before the</w:t>
            </w:r>
          </w:p>
        </w:tc>
        <w:tc>
          <w:tcPr>
            <w:tcW w:w="12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the IPO</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Power After the</w:t>
            </w:r>
          </w:p>
        </w:tc>
        <w:tc>
          <w:tcPr>
            <w:tcW w:w="0" w:type="dxa"/>
            <w:vAlign w:val="bottom"/>
          </w:tcPr>
          <w:p>
            <w:pPr>
              <w:spacing w:after="0"/>
              <w:rPr>
                <w:sz w:val="1"/>
                <w:szCs w:val="1"/>
                <w:color w:val="auto"/>
              </w:rPr>
            </w:pPr>
          </w:p>
        </w:tc>
      </w:tr>
      <w:tr>
        <w:trPr>
          <w:trHeight w:val="176"/>
        </w:trPr>
        <w:tc>
          <w:tcPr>
            <w:tcW w:w="25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Transactions</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IPO Transactions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Transactions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IPO Transactions</w:t>
            </w:r>
          </w:p>
        </w:tc>
        <w:tc>
          <w:tcPr>
            <w:tcW w:w="0" w:type="dxa"/>
            <w:vAlign w:val="bottom"/>
          </w:tcPr>
          <w:p>
            <w:pPr>
              <w:spacing w:after="0"/>
              <w:rPr>
                <w:sz w:val="1"/>
                <w:szCs w:val="1"/>
                <w:color w:val="auto"/>
              </w:rPr>
            </w:pPr>
          </w:p>
        </w:tc>
      </w:tr>
      <w:tr>
        <w:trPr>
          <w:trHeight w:val="128"/>
        </w:trPr>
        <w:tc>
          <w:tcPr>
            <w:tcW w:w="24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Named Executive Officers</w:t>
            </w:r>
          </w:p>
        </w:tc>
        <w:tc>
          <w:tcPr>
            <w:tcW w:w="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and Directors:</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Omid Farokhzad, M.D.</w:t>
            </w:r>
            <w:r>
              <w:rPr>
                <w:rFonts w:ascii="Times New Roman" w:cs="Times New Roman" w:eastAsia="Times New Roman" w:hAnsi="Times New Roman"/>
                <w:sz w:val="18"/>
                <w:szCs w:val="18"/>
                <w:color w:val="auto"/>
                <w:vertAlign w:val="superscript"/>
              </w:rPr>
              <w:t>(1)</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2,869,036</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8,198,598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David Hallal</w:t>
            </w:r>
            <w:r>
              <w:rPr>
                <w:rFonts w:ascii="Times New Roman" w:cs="Times New Roman" w:eastAsia="Times New Roman" w:hAnsi="Times New Roman"/>
                <w:sz w:val="18"/>
                <w:szCs w:val="18"/>
                <w:color w:val="auto"/>
                <w:vertAlign w:val="superscript"/>
              </w:rPr>
              <w:t>(2)</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455,623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Catherine J. Friedman</w:t>
            </w:r>
            <w:r>
              <w:rPr>
                <w:rFonts w:ascii="Times New Roman" w:cs="Times New Roman" w:eastAsia="Times New Roman" w:hAnsi="Times New Roman"/>
                <w:sz w:val="18"/>
                <w:szCs w:val="18"/>
                <w:color w:val="auto"/>
                <w:vertAlign w:val="superscript"/>
              </w:rPr>
              <w:t>(3)</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140,186</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Robert Langer, Sc.D.</w:t>
            </w:r>
            <w:r>
              <w:rPr>
                <w:rFonts w:ascii="Times New Roman" w:cs="Times New Roman" w:eastAsia="Times New Roman" w:hAnsi="Times New Roman"/>
                <w:sz w:val="18"/>
                <w:szCs w:val="18"/>
                <w:color w:val="auto"/>
                <w:vertAlign w:val="superscript"/>
              </w:rPr>
              <w:t>(4)</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552,667</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467,289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Terrance McGuire</w:t>
            </w:r>
            <w:r>
              <w:rPr>
                <w:rFonts w:ascii="Times New Roman" w:cs="Times New Roman" w:eastAsia="Times New Roman" w:hAnsi="Times New Roman"/>
                <w:sz w:val="18"/>
                <w:szCs w:val="18"/>
                <w:color w:val="auto"/>
                <w:vertAlign w:val="superscript"/>
              </w:rPr>
              <w:t>(5)</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475,333</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David Singer</w:t>
            </w:r>
            <w:r>
              <w:rPr>
                <w:rFonts w:ascii="Times New Roman" w:cs="Times New Roman" w:eastAsia="Times New Roman" w:hAnsi="Times New Roman"/>
                <w:sz w:val="18"/>
                <w:szCs w:val="18"/>
                <w:color w:val="auto"/>
                <w:vertAlign w:val="superscript"/>
              </w:rPr>
              <w:t>(6)</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5,325,513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163,550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35"/>
        </w:trPr>
        <w:tc>
          <w:tcPr>
            <w:tcW w:w="25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All executive officers and directors as a</w:t>
            </w:r>
          </w:p>
        </w:tc>
        <w:tc>
          <w:tcPr>
            <w:tcW w:w="11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12,295,044</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8,837,613</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0" w:type="dxa"/>
            <w:vAlign w:val="bottom"/>
          </w:tcPr>
          <w:p>
            <w:pPr>
              <w:spacing w:after="0"/>
              <w:rPr>
                <w:sz w:val="1"/>
                <w:szCs w:val="1"/>
                <w:color w:val="auto"/>
              </w:rPr>
            </w:pPr>
          </w:p>
        </w:tc>
      </w:tr>
      <w:tr>
        <w:trPr>
          <w:trHeight w:val="189"/>
        </w:trPr>
        <w:tc>
          <w:tcPr>
            <w:tcW w:w="2500" w:type="dxa"/>
            <w:vAlign w:val="bottom"/>
            <w:gridSpan w:val="2"/>
          </w:tcPr>
          <w:p>
            <w:pPr>
              <w:ind w:left="180"/>
              <w:spacing w:after="0" w:line="189" w:lineRule="exact"/>
              <w:rPr>
                <w:sz w:val="20"/>
                <w:szCs w:val="20"/>
                <w:color w:val="auto"/>
              </w:rPr>
            </w:pPr>
            <w:r>
              <w:rPr>
                <w:rFonts w:ascii="Times New Roman" w:cs="Times New Roman" w:eastAsia="Times New Roman" w:hAnsi="Times New Roman"/>
                <w:sz w:val="14"/>
                <w:szCs w:val="14"/>
                <w:color w:val="auto"/>
              </w:rPr>
              <w:t>group (8 persons)</w:t>
            </w:r>
            <w:r>
              <w:rPr>
                <w:rFonts w:ascii="Times New Roman" w:cs="Times New Roman" w:eastAsia="Times New Roman" w:hAnsi="Times New Roman"/>
                <w:sz w:val="18"/>
                <w:szCs w:val="18"/>
                <w:color w:val="auto"/>
                <w:vertAlign w:val="superscript"/>
              </w:rPr>
              <w:t>(7)</w:t>
            </w: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5% Stockholders:</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Entities affiliated with Maverick Capital</w:t>
            </w:r>
          </w:p>
        </w:tc>
        <w:tc>
          <w:tcPr>
            <w:tcW w:w="11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5,325,513</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163,550</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9"/>
        </w:trPr>
        <w:tc>
          <w:tcPr>
            <w:tcW w:w="2500" w:type="dxa"/>
            <w:vAlign w:val="bottom"/>
            <w:gridSpan w:val="2"/>
          </w:tcPr>
          <w:p>
            <w:pPr>
              <w:ind w:left="180"/>
              <w:spacing w:after="0" w:line="189" w:lineRule="exact"/>
              <w:rPr>
                <w:sz w:val="20"/>
                <w:szCs w:val="20"/>
                <w:color w:val="auto"/>
              </w:rPr>
            </w:pPr>
            <w:r>
              <w:rPr>
                <w:rFonts w:ascii="Times New Roman" w:cs="Times New Roman" w:eastAsia="Times New Roman" w:hAnsi="Times New Roman"/>
                <w:sz w:val="14"/>
                <w:szCs w:val="14"/>
                <w:color w:val="auto"/>
              </w:rPr>
              <w:t>Ventures, LLC</w:t>
            </w:r>
            <w:r>
              <w:rPr>
                <w:rFonts w:ascii="Times New Roman" w:cs="Times New Roman" w:eastAsia="Times New Roman" w:hAnsi="Times New Roman"/>
                <w:sz w:val="18"/>
                <w:szCs w:val="18"/>
                <w:color w:val="auto"/>
                <w:vertAlign w:val="superscript"/>
              </w:rPr>
              <w:t>(8)</w:t>
            </w: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Invus Public Equities, L.P.</w:t>
            </w:r>
            <w:r>
              <w:rPr>
                <w:rFonts w:ascii="Times New Roman" w:cs="Times New Roman" w:eastAsia="Times New Roman" w:hAnsi="Times New Roman"/>
                <w:sz w:val="18"/>
                <w:szCs w:val="18"/>
                <w:color w:val="auto"/>
                <w:vertAlign w:val="superscript"/>
              </w:rPr>
              <w:t>(9)</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5,050,911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Entities affiliated with aMoon Fund</w:t>
            </w:r>
            <w:r>
              <w:rPr>
                <w:rFonts w:ascii="Times New Roman" w:cs="Times New Roman" w:eastAsia="Times New Roman" w:hAnsi="Times New Roman"/>
                <w:sz w:val="18"/>
                <w:szCs w:val="18"/>
                <w:color w:val="auto"/>
                <w:vertAlign w:val="superscript"/>
              </w:rPr>
              <w:t>(10)</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5,033,723</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Entities affiliated with Fidelity</w:t>
            </w:r>
            <w:r>
              <w:rPr>
                <w:rFonts w:ascii="Times New Roman" w:cs="Times New Roman" w:eastAsia="Times New Roman" w:hAnsi="Times New Roman"/>
                <w:sz w:val="18"/>
                <w:szCs w:val="18"/>
                <w:color w:val="auto"/>
                <w:vertAlign w:val="superscript"/>
              </w:rPr>
              <w:t>(11)</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3,115,262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Emerson Collective Investments LLC</w:t>
            </w:r>
            <w:r>
              <w:rPr>
                <w:rFonts w:ascii="Times New Roman" w:cs="Times New Roman" w:eastAsia="Times New Roman" w:hAnsi="Times New Roman"/>
                <w:sz w:val="18"/>
                <w:szCs w:val="18"/>
                <w:color w:val="auto"/>
                <w:vertAlign w:val="superscript"/>
              </w:rPr>
              <w:t>(12)</w:t>
            </w: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2,489,160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Entities affiliated with T. Rowe Price</w:t>
            </w:r>
            <w:r>
              <w:rPr>
                <w:rFonts w:ascii="Times New Roman" w:cs="Times New Roman" w:eastAsia="Times New Roman" w:hAnsi="Times New Roman"/>
                <w:sz w:val="18"/>
                <w:szCs w:val="18"/>
                <w:color w:val="auto"/>
                <w:vertAlign w:val="superscript"/>
              </w:rPr>
              <w:t>(13)</w:t>
            </w: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2,415,524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55"/>
        </w:trPr>
        <w:tc>
          <w:tcPr>
            <w:tcW w:w="24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_________________</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560" w:hanging="332"/>
        <w:spacing w:after="0" w:line="241" w:lineRule="auto"/>
        <w:tabs>
          <w:tab w:leader="none" w:pos="331"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B common stock is convertible at any time by the holder into shares of Class A common stock on a share-for-share basis, such that each holder of Class B common stock beneficially owns an equivalent number of Class A common stock.</w:t>
      </w:r>
    </w:p>
    <w:p>
      <w:pPr>
        <w:spacing w:after="0" w:line="1" w:lineRule="exact"/>
        <w:rPr>
          <w:sz w:val="20"/>
          <w:szCs w:val="20"/>
          <w:color w:val="auto"/>
        </w:rPr>
      </w:pPr>
    </w:p>
    <w:p>
      <w:pPr>
        <w:ind w:left="340" w:right="100" w:hanging="332"/>
        <w:spacing w:after="0" w:line="241" w:lineRule="auto"/>
        <w:tabs>
          <w:tab w:leader="none" w:pos="3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total voting power represents voting power with respect to all shares of our Class A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1" w:lineRule="exact"/>
        <w:rPr>
          <w:sz w:val="20"/>
          <w:szCs w:val="20"/>
          <w:color w:val="auto"/>
        </w:rPr>
      </w:pPr>
    </w:p>
    <w:p>
      <w:pPr>
        <w:ind w:left="320" w:hanging="312"/>
        <w:spacing w:after="0"/>
        <w:tabs>
          <w:tab w:leader="none" w:pos="3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 (1%) of the outstanding shares of our common stock.</w:t>
      </w:r>
    </w:p>
    <w:p>
      <w:pPr>
        <w:spacing w:after="0" w:line="93" w:lineRule="exact"/>
        <w:rPr>
          <w:sz w:val="20"/>
          <w:szCs w:val="20"/>
          <w:color w:val="auto"/>
        </w:rPr>
      </w:pPr>
    </w:p>
    <w:p>
      <w:pPr>
        <w:ind w:left="340" w:right="20" w:hanging="332"/>
        <w:spacing w:after="0" w:line="245" w:lineRule="auto"/>
        <w:tabs>
          <w:tab w:leader="none" w:pos="332"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279,223 shares of Class A common stock held of record by Dr. Farokhzad, of which 258,157 may be repurchased by us at the original exercise price; (ii) 102,915 shares of Class A common stock and 2,591,124 shares of Class B common stock held of record by Dynamics Group LLC for which Dr. Farokhzad serves as the sole member, of which 341,949 may be repurchased by us at the original exercise price; (iii) 2,803,737 shares of Class B shares held of record by SAF-BND Trust for which Dr. Farokhzad’s spouse serves as trustee; (iv) 518,408 shares of Class A common stock and 2,803,737 shares of Class B common stock held of record by OCF 2014 Trust for which Dr. Farokhzad’s spouse serves as the trust advisor; and (v) 1,968,490 shares of Class A common stock subject to options exercisable within 60 days of September 30, 2020, of which 346,831 are fully vested. Dr. Farokhzad disclaims beneficial ownership of the shares held by the SAF-BND Trust and OCF 2014 Trust.</w:t>
      </w:r>
    </w:p>
    <w:p>
      <w:pPr>
        <w:spacing w:after="0" w:line="1" w:lineRule="exact"/>
        <w:rPr>
          <w:rFonts w:ascii="Times New Roman" w:cs="Times New Roman" w:eastAsia="Times New Roman" w:hAnsi="Times New Roman"/>
          <w:sz w:val="14"/>
          <w:szCs w:val="14"/>
          <w:color w:val="auto"/>
        </w:rPr>
      </w:pPr>
    </w:p>
    <w:p>
      <w:pPr>
        <w:ind w:left="340" w:right="120" w:hanging="332"/>
        <w:spacing w:after="0" w:line="241" w:lineRule="auto"/>
        <w:tabs>
          <w:tab w:leader="none" w:pos="332"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263,562 shares of Class A common stock held of record by Mr. Hallal, of which 98,836 may be repurchased by us at the original exercise price and (ii) 192,061 shares of Class A common stock subject to options exercisable within 60 days of September 30, 2020, of which 27,137 are fully vested.</w:t>
      </w:r>
    </w:p>
    <w:p>
      <w:pPr>
        <w:ind w:left="320" w:hanging="312"/>
        <w:spacing w:after="0"/>
        <w:tabs>
          <w:tab w:leader="none" w:pos="3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140,186 shares of Class A common stock held of record by Ms. Friedman, all of which may be repurchased by us at the original exercise price.</w:t>
      </w:r>
    </w:p>
    <w:p>
      <w:pPr>
        <w:spacing w:after="0" w:line="1" w:lineRule="exact"/>
        <w:rPr>
          <w:rFonts w:ascii="Times New Roman" w:cs="Times New Roman" w:eastAsia="Times New Roman" w:hAnsi="Times New Roman"/>
          <w:sz w:val="14"/>
          <w:szCs w:val="14"/>
          <w:color w:val="auto"/>
        </w:rPr>
      </w:pPr>
    </w:p>
    <w:p>
      <w:pPr>
        <w:ind w:left="340" w:right="120" w:hanging="332"/>
        <w:spacing w:after="0" w:line="241" w:lineRule="auto"/>
        <w:tabs>
          <w:tab w:leader="none" w:pos="332"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365,357 shares of Class A common stock, of which 48,308 may be repurchased by us at the original exercise price and 327,496 shares of Class B common stock held of record by Dr. Langer, of which 19,470 may be repurchased by us at the original exercise price; and (ii) 327,496 shares of Class A common stock subject to options exercisable within 60 days of September 30, 2020, of which 100,718 are fully vested.</w:t>
      </w:r>
    </w:p>
    <w:p>
      <w:pPr>
        <w:spacing w:after="0" w:line="1" w:lineRule="exact"/>
        <w:rPr>
          <w:rFonts w:ascii="Times New Roman" w:cs="Times New Roman" w:eastAsia="Times New Roman" w:hAnsi="Times New Roman"/>
          <w:sz w:val="14"/>
          <w:szCs w:val="14"/>
          <w:color w:val="auto"/>
        </w:rPr>
      </w:pPr>
    </w:p>
    <w:p>
      <w:pPr>
        <w:ind w:left="340" w:right="20" w:hanging="332"/>
        <w:spacing w:after="0" w:line="241" w:lineRule="auto"/>
        <w:tabs>
          <w:tab w:leader="none" w:pos="332"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210,984 shares of Class A common stock, of which 53,176 may be repurchased by us at the original exercise price and 4,088 shares of Class B common stock held of record by Strong Bridge, LLC for which Mr. McGuire serves as an operating manager and (ii) 264,349 shares of Class A common stock subject to options exercisable within 60 days of September 30, 2020, of which 95,457 are fully vested.</w:t>
      </w:r>
    </w:p>
    <w:p>
      <w:pPr>
        <w:spacing w:after="0" w:line="1" w:lineRule="exact"/>
        <w:rPr>
          <w:rFonts w:ascii="Times New Roman" w:cs="Times New Roman" w:eastAsia="Times New Roman" w:hAnsi="Times New Roman"/>
          <w:sz w:val="14"/>
          <w:szCs w:val="14"/>
          <w:color w:val="auto"/>
        </w:rPr>
      </w:pPr>
    </w:p>
    <w:p>
      <w:pPr>
        <w:ind w:left="340" w:right="40" w:hanging="332"/>
        <w:spacing w:after="0" w:line="258" w:lineRule="auto"/>
        <w:tabs>
          <w:tab w:leader="none" w:pos="332"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5,325,513 shares of Class A common stock and 163,550 shares of Class B common stock disclosed in footnote (8) below that are held of record by entities affiliated with Maverick Capital Ventures,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117" w:right="339" w:bottom="1440" w:gutter="0" w:footer="0" w:header="0"/>
        </w:sectPr>
      </w:pPr>
    </w:p>
    <w:bookmarkStart w:id="162" w:name="page163"/>
    <w:bookmarkEnd w:id="162"/>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120" w:hanging="332"/>
        <w:spacing w:after="0" w:line="253" w:lineRule="auto"/>
        <w:tabs>
          <w:tab w:leader="none" w:pos="332"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7,377,941 shares of Class A common stock and 8,837,613 shares of Class B common stock beneficially owned by our executive officers and directors and (ii) 5,057,289 shares of Class A common stock subject to options exercisable within 60 days of September 30, 2020 and held by our executive officers and directors, of which 631,056 are fully vested.</w:t>
      </w:r>
    </w:p>
    <w:p>
      <w:pPr>
        <w:ind w:left="340" w:right="40" w:hanging="332"/>
        <w:spacing w:after="0" w:line="241" w:lineRule="auto"/>
        <w:tabs>
          <w:tab w:leader="none" w:pos="332"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3,390,559 shares of Class A common stock and 101,761 shares of Class B common stock held of record by Maverick Ventures Investment Fund, L.P. (Maverick Ventures Fund) and (ii) 1,934,954 shares of Class A common stock and 61,789 shares of Class B common stock held of record by Maverick Advisors Fund, L.P. (Maverick Advisors). Maverick Capital Ventures, LLC (Maverick Ventures) is the general partner of Maverick Ventures Fund and Maverick Advisors. As the Managing Partners of Maverick Ventures, Lee S. Ainslie III and David B. Singer, one of our directors, share voting and dispositive power with respect to the shares held by Maverick Ventures Fund and Maverick Advisors. The address for these entities is c/o Maverick Capital, 1900 N. Pearl Street, 20th Floor, Dallas, Texas 75201.</w:t>
      </w:r>
    </w:p>
    <w:p>
      <w:pPr>
        <w:spacing w:after="0" w:line="1" w:lineRule="exact"/>
        <w:rPr>
          <w:rFonts w:ascii="Times New Roman" w:cs="Times New Roman" w:eastAsia="Times New Roman" w:hAnsi="Times New Roman"/>
          <w:sz w:val="14"/>
          <w:szCs w:val="14"/>
          <w:color w:val="auto"/>
        </w:rPr>
      </w:pPr>
    </w:p>
    <w:p>
      <w:pPr>
        <w:ind w:left="340" w:hanging="332"/>
        <w:spacing w:after="0" w:line="241" w:lineRule="auto"/>
        <w:tabs>
          <w:tab w:leader="none" w:pos="332"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5,050,911 shares of Class A common stock held of record by Invus Public Equities, L.P. Invus Public Equities Advisors, LLC, as the general partner of Invus Public Equities, L.P., controls Invus Public Equities, L.P. and, accordingly, may be deemed to beneficially own the shares held by Invus Public Equities, L.P. Artal Treasury Ltd., as the managing member of Invus Public Equities Advisors, LLC, controls Invus Public Equities Advisors, LLC and, accordingly, may be deemed to beneficially own the shares held by Invus Public Equities, L.P. The Geneva branch of Artal International S.C.A. is the sole stockholder of Artal Treasury Ltd. and, accordingly, may be deemed to beneficially own the shares held by Invus Public Equities, L.P. Artal International Management S.A., as the managing partner of Artal International S.C.A., controls Artal International S.C.A. and, accordingly, may be deemed to beneficially own the shares held by Invus Public Equities, L.P. Artal Group, S.A., as the parent company of Artal International Management, S.A., controls Artal International Management S.A. and, accordingly, may be deemed to beneficially own the shares held by Invus Public Equities, L.P. Westend, S.A., as the parent company of Artal Group S.A. controls Artal Group S.A., and, accordingly, may be deemed to beneficially own the shares held by Invus Public Equities, L.P. Stichting Administratiekantoor Westend, as the parent company of Westend S.A., controls Westend S.A. and, accordingly, may be deemed to beneficially own the shares held by Invus Public Equities, L.P. Mr. Pascal Minne, as the sole member of the board of Stichting Administratiekantoor Westend, controls Stichting Administratiekantoor Westend and, accordingly, may be deemed to beneficially own the shares held by Invus Public Equities, L.P. The address for Invus Public Equities, L.P. is 750 Lexington Avenue, 30th Floor, New York, NY 10022.</w:t>
      </w:r>
    </w:p>
    <w:p>
      <w:pPr>
        <w:spacing w:after="0" w:line="3" w:lineRule="exact"/>
        <w:rPr>
          <w:rFonts w:ascii="Times New Roman" w:cs="Times New Roman" w:eastAsia="Times New Roman" w:hAnsi="Times New Roman"/>
          <w:sz w:val="14"/>
          <w:szCs w:val="14"/>
          <w:color w:val="auto"/>
        </w:rPr>
      </w:pPr>
    </w:p>
    <w:p>
      <w:pPr>
        <w:ind w:left="340" w:hanging="332"/>
        <w:spacing w:after="0" w:line="241" w:lineRule="auto"/>
        <w:tabs>
          <w:tab w:leader="none" w:pos="337"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4,121,064 shares of Class A common stock held of record by aMoon 2 Fund, Limited Partnership (aMoon 2 Fund) and (ii) 912,659 shares of Class A common stock held of record by aMoon Co-Investment SPV I, L.P. (aMoon Co-Investment). aMoon 2 Fund G.P. Limited Partnership (aMoon 2 Fund G.P.) is the sole General Partner of aMoon 2 Fund and aMoon Co-Investment and aMoon General Partner Ltd. (aMoon General Partner) is the sole General Partner of aMoon 2 Fund G.P. Dr. Yair Schindel is the sole shareholder of aMoon General Partner. By virtue of such relationships, aMoon 2 Fund G.P., aMoon General Partner and Dr. Schindel may be deemed to have shared voting and investment power with respect to the capital stock held by aMoon 2 Fund and aMoon Co-Investment. Each of aMoon 2 Fund G.P., aMoon General Partner and Dr. Schindel disclaims beneficial ownership of the shares held by aMoon 2 Fund and aMoon General Partner, except to the extent of its or his pecuniary interest therein, if any. The address for these entities is 34 Yerushalaim Road, Beit Gamla, 6th Floor, Ra-anana, 4350110, Israel.</w:t>
      </w:r>
    </w:p>
    <w:p>
      <w:pPr>
        <w:spacing w:after="0" w:line="164" w:lineRule="exact"/>
        <w:rPr>
          <w:rFonts w:ascii="Times New Roman" w:cs="Times New Roman" w:eastAsia="Times New Roman" w:hAnsi="Times New Roman"/>
          <w:sz w:val="14"/>
          <w:szCs w:val="14"/>
          <w:color w:val="auto"/>
        </w:rPr>
      </w:pPr>
    </w:p>
    <w:p>
      <w:pPr>
        <w:ind w:left="340" w:right="40" w:hanging="332"/>
        <w:spacing w:after="0" w:line="241" w:lineRule="auto"/>
        <w:tabs>
          <w:tab w:leader="none" w:pos="331"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3,115,262 shares of Class A common stock held of record by four accounts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stockholders have entered into a stockholders’ voting agreement under which all Series B voting common shares will be voted in accordance with the majority vote of Series B voting common shares. Accordingly, through their ownership of voting common shares and the execution of the stockholders’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of 1940 (the Fidelity Funds), advised by Fidelity Management &amp; Research Company, a wholly owned subsidiary of FMR LLC, which power resides in the Fidelity Funds’ Boards of Trustees. Fidelity Management &amp; Research Company carries out the voting of the shares under written guidelines established by the Fidelity Funds’ Boards of Trustees. The address for FMR LLC is 200 Seaport Boulevard V12E, Boston, Massachusetts 02210.</w:t>
      </w:r>
    </w:p>
    <w:p>
      <w:pPr>
        <w:spacing w:after="0" w:line="3" w:lineRule="exact"/>
        <w:rPr>
          <w:rFonts w:ascii="Times New Roman" w:cs="Times New Roman" w:eastAsia="Times New Roman" w:hAnsi="Times New Roman"/>
          <w:sz w:val="14"/>
          <w:szCs w:val="14"/>
          <w:color w:val="auto"/>
        </w:rPr>
      </w:pPr>
    </w:p>
    <w:p>
      <w:pPr>
        <w:ind w:left="340" w:right="140" w:hanging="332"/>
        <w:spacing w:after="0" w:line="241" w:lineRule="auto"/>
        <w:tabs>
          <w:tab w:leader="none" w:pos="337"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2,489,160 shares of Class A common stock held of record by Emerson Collective Investments, LLC (ECI). The Laurene Powell Jobs Trust, for which Laurene Powell Jobs serves as trustee, is the managing member of ECI and has voting and dispositive power with respect to the shares held of record by ECI. The address for this entity is P.O. Box 61239, Palo Alto, California 94306.</w:t>
      </w:r>
    </w:p>
    <w:p>
      <w:pPr>
        <w:spacing w:after="0" w:line="1" w:lineRule="exact"/>
        <w:rPr>
          <w:rFonts w:ascii="Times New Roman" w:cs="Times New Roman" w:eastAsia="Times New Roman" w:hAnsi="Times New Roman"/>
          <w:sz w:val="14"/>
          <w:szCs w:val="14"/>
          <w:color w:val="auto"/>
        </w:rPr>
      </w:pPr>
    </w:p>
    <w:p>
      <w:pPr>
        <w:ind w:left="340" w:right="60" w:hanging="332"/>
        <w:spacing w:after="0" w:line="243" w:lineRule="auto"/>
        <w:tabs>
          <w:tab w:leader="none" w:pos="337"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2,069,790 shares of Class A common stock held of record by T. Rowe Price Health Sciences Fund, Inc.; (ii) 93,838 shares of Class A common stock held of record by T. Rowe Price Health Sciences Portfolio; (iii) 128,272 shares of Class A common stock held of record by TD Mutual Funds - TD Health Sciences Fund and (iv) 123,624 shares of Class A common stock held of record by VALIC Company I - Health Sciences Fund. The foregoing accounts are advised or sub-advised by T. Rowe Price Associates, Inc. (T. Rowe Price) a registered investment adviser. T. Rowe Price serves as investment adviser or subadviser, as applicable, with power to direct investments and/or sole power to vote the securities owned by the accounts (with the exception of one subadvisory fund that retains its own voting authority). Although T. Rowe Price may be deemed to be the beneficial owner of all the shares listed, T. Rowe Price expressly disclaims beneficial ownership of such securities. T. Rowe Price Investment Services, Inc., or TRPIS, a registered broker-dealer (and FINRA member), is a subsidiary of T. Rowe Price Associates, Inc., the investment adviser or subadviser, as applicable, to the accounts listed above. TRPIS was formed primarily for the limited purpose of acting as the principal underwriter and distributor of shares of the funds in the T. Rowe Price mutual fund family. TRPIS does not engage in underwriting or market-making activities involving individual securities. T. Rowe Price Associates, Inc. is the wholly owned subsidiary of T. Rowe Price Group, Inc., which is a publicly traded financial services holding company. The address for these entities is c/o T. Rowe Price Associates, Inc. 100 East Pratt Street, Baltimore, Maryland 21202, attention Andrew Baek,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117" w:right="339" w:bottom="1440" w:gutter="0" w:footer="0" w:header="0"/>
        </w:sectPr>
      </w:pPr>
    </w:p>
    <w:bookmarkStart w:id="163" w:name="page164"/>
    <w:bookmarkEnd w:id="163"/>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following description summarizes certain important terms of our capital stock, as they are expected to be in effect immediately prior to the completion of this offering. Our board of directors adopted and our stockholders approved an amended and restated certificate of incorporation and amended and restated bylaws that will become effective immediately prior to the completion of this offering, and this description summarizes the provisions that are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 forms a part, and to the applicable provisions of Delaware law. Immediately following the completion of this offering, our authorized capital stock will consist of 105,000,000 shares of capital stock, $0.00001 par value per share, of which:</w:t>
      </w:r>
    </w:p>
    <w:p>
      <w:pPr>
        <w:spacing w:after="0" w:line="138" w:lineRule="exact"/>
        <w:rPr>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94,000,000 shares are designated as Class A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6,000,000 shares are designated as Class B common stock;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are designated as preferred stock.</w:t>
      </w:r>
    </w:p>
    <w:p>
      <w:pPr>
        <w:spacing w:after="0" w:line="17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2020, after giving effect to the automatic conversion of all of our outstanding convertible preferred stock into an aggregate of 29,026,787 shares of common stock, there were 32,323,343 shares of our Class A common stock outstanding, held by 75 stockholders of record, 9,345,784 shares of our Class B common stock outstanding, held by 15 stockholders of record and no shares of our preferred stock outstanding. Pursuant to our amended and restated certificate of incorporation, our board of directors will have the authority, without stockholder approval except as required by the listing standards of Nasdaq, to issue additional shares of our Class A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Holders of Class A common stock are entitled to one vote for each share held on all matters submitted to a vote of stockholders and holders of our Class B common stock will be entitled to ten votes for each share held, except as otherwise required by law. The holders of our Class A common stock and Class B common stock vote together as a single class, unless otherwise required by law.</w:t>
      </w:r>
    </w:p>
    <w:p>
      <w:pPr>
        <w:spacing w:after="0" w:line="122"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Delaware law could require either holders of our Class A common stock and our Class B common stock to vote separately as a single class in the following circumstances:</w:t>
      </w:r>
    </w:p>
    <w:p>
      <w:pPr>
        <w:spacing w:after="0" w:line="108" w:lineRule="exact"/>
        <w:rPr>
          <w:sz w:val="20"/>
          <w:szCs w:val="20"/>
          <w:color w:val="auto"/>
        </w:rPr>
      </w:pPr>
    </w:p>
    <w:p>
      <w:pPr>
        <w:ind w:left="660" w:hanging="328"/>
        <w:spacing w:after="0" w:line="282"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40"/>
          </w:cols>
          <w:pgMar w:left="320" w:top="117" w:right="339" w:bottom="1440" w:gutter="0" w:footer="0" w:header="0"/>
        </w:sectPr>
      </w:pPr>
    </w:p>
    <w:bookmarkStart w:id="164" w:name="page165"/>
    <w:bookmarkEnd w:id="164"/>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60" w:hanging="328"/>
        <w:spacing w:after="0" w:line="266" w:lineRule="auto"/>
        <w:tabs>
          <w:tab w:leader="none" w:pos="6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2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Stockholders do not have the ability to cumulate votes for the election of directors. Our amended and restated certificate of incorporation and amended and restated bylaws that will be in effect at the closing of this offering will provide for a classified board of directors consisting of three classes of approximately equal size, each serving staggered three-year terms. Only the directors in one class will be subject to election by a plurality of the votes cast at each annual meeting of stockholders, with the directors in the other classes continuing for the remainder of their respective three-year terms.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Class B Common Stock</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Following the completion of this offering, shares of Class B common stock will automatically convert into shares of Class A common stock upon sale or transfer of such shares, excluding certain transfers permitted by our amended and restated certificate of incorporation. The Class B common stock will also automatically convert into shares of Class A common stock upon the earlier of the first day following the fifth anniversary of the closing of this offering and December 31, 2025.</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7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our legal counsel will opine that the shares of our Class A common stock to be issued in this offering will be fully paid and non-assessable.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After the completion of this offering, no shares of our preferred stock will be outstanding. Pursuant to our amended and restated certificate of incorporation that will become effective immediately prior to the completion of this offering, our board of directors will have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00"/>
          </w:cols>
          <w:pgMar w:left="320" w:top="117" w:right="379" w:bottom="1440" w:gutter="0" w:footer="0" w:header="0"/>
        </w:sectPr>
      </w:pPr>
    </w:p>
    <w:bookmarkStart w:id="165" w:name="page166"/>
    <w:bookmarkEnd w:id="165"/>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2020, we had outstanding options to purchase an aggregate of 7,553,500 shares of our Class A common stock, with a weighted-average exercise price of approximately $2.51 per share, under our equity compensation plans.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2020, we had 335,194 shares of our Class A common stock outstanding, subject to RSUs issued under our equity compensation plans, which will vest upon the satisfaction of a performance-based condition. The performance-based condition for the RSUs will be satisfied on the earlier of (i) the first and second year anniversaries of the effective date of this registration statement; and (ii) the date of a Change in Control (as defined in the relevant equity compensation plan), subject to continued service to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After the completion of this offering, the concurrent private placement and the secondary transaction, certain holders of our Class A common stock will be entitled to rights with respect to the registration of their shares under the Securities Act. These registration rights are contained in our amended and restated investor rights agreement (IRA). We and certain holders of our preferred stock are parties to the IRA. The registration rights set forth in the IRA will expire three years following the completion of this offering, or, with respect to any particular stockholder, when such stockholder is able to sell all of its shares pursuant to Rule 144 of the Securities Act during any three-month period or ceases to hold registrable shares. We will pay the registration expenses (other than underwriting discounts and commissions) of the holders of the shares registered pursuant to the registrations described below. In an underwritten offering, the managing underwriter, if any, has the right, subject to specified conditions, to limit the number of shares such holders may include. Our stockholders have waived their rights under the IRA (i) to receive notice of this offering and (ii) to include their registrable shares in this offering. In addition, in connection with this offering, each stockholder that has registration rights has agreed not to sell or otherwise dispose of any securities without the prior written consent of us and the underwriters for a period of 180 days after the date of this prospectus, subject to certain terms and conditions. See the section titled “Shares Eligible for Future Sale—Lock-Up and Market Standoff Agreements” for additional information regarding such restrictions.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After the completion of this offering, the concurrent private placement and the secondary transaction, the holders of 37,556,197 shares of our Class A common stock will be entitled to certain demand registration rights. At any time after the earlier of five years after the date of the IRA or 180 days after the effective date of this offering, the holders of at least 40% of registrable shares then outstanding may make a written request that we register the offer and sale of their shares. If we determine that it would be seriously detrimental to us and our stockholders to effect such a demand registration, we have the right to defer such registration, not more than twice in any 12-month period, for a period of up to 90 days.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After the completion of this offering, the concurrent private placement and the secondary transaction, if we propose to register the offer and sale of our Class A common stock under the Securities Act, in connection with the public offering of such Class A common stock the holders of 37,556,197 shares of our Class A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registration related to the sale of securities to our employees pursuant to any employee benefit plan, (ii) a registration relating to a corporate reorganization or other transaction covered by Rule 145 promulgated under the Securities Act, (iii) a registration on any registration form that does not include substantially the same information as would be required to be included in a registration statement covering the public offering of our Class A common stock or (iv) a registration in which the only Class A common stock being registered is Class A common stock issuable upon conversion of debt securities that are also being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20"/>
          </w:cols>
          <w:pgMar w:left="320" w:top="117" w:right="359" w:bottom="1440" w:gutter="0" w:footer="0" w:header="0"/>
        </w:sectPr>
      </w:pPr>
    </w:p>
    <w:bookmarkStart w:id="166" w:name="page167"/>
    <w:bookmarkEnd w:id="166"/>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holders of these shares are entitled to notice of the registration and have the right, subject to certain limitations, to include their shares in the registration.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S-3 Registration Rights</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After the completion of this offering, the concurrent private placement and the secondary transaction, the holders of up to 37,556,197 shares of our Class A common stock will be entitled to certain Form S-3 registration rights. The holders of at least 30% of registrable shares then outstanding may make a written request that we register the offer and sale of their shares on a registration statement on Form S-3 if we are eligible to file a registration statement on Form S-3, so long as the request covers securities the anticipated aggregate offering price of which, net of underwriting discounts and commissions and other selling expenses, is at least $5,000,000.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us and our stockholders to effect such a registration, we have the right to defer such registration, not more than twice in any 12-month period, for a period of up to 90 days.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our amended and restated certificate of incorporation and our amended and restated bylaws, which will become effective immediately prior to the completion of this offering,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will be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122"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was approved by the board of directors prior to the time that the stockholder became an interested stockholder;</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2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2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40"/>
          </w:cols>
          <w:pgMar w:left="320" w:top="117" w:right="339" w:bottom="1440" w:gutter="0" w:footer="0" w:header="0"/>
        </w:sectPr>
      </w:pPr>
    </w:p>
    <w:bookmarkStart w:id="167" w:name="page168"/>
    <w:bookmarkEnd w:id="167"/>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 Provisions</w:t>
      </w:r>
    </w:p>
    <w:p>
      <w:pPr>
        <w:spacing w:after="0" w:line="17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which will become effective immediately prior to the completion of this offering, will include a number of provisions that could deter hostile takeovers or delay or prevent changes in control of our board of directors or management team, including the following:</w:t>
      </w:r>
    </w:p>
    <w:p>
      <w:pPr>
        <w:spacing w:after="0" w:line="12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Board of Directors Vacancies. </w:t>
      </w:r>
      <w:r>
        <w:rPr>
          <w:rFonts w:ascii="Times New Roman" w:cs="Times New Roman" w:eastAsia="Times New Roman" w:hAnsi="Times New Roman"/>
          <w:sz w:val="18"/>
          <w:szCs w:val="18"/>
          <w:color w:val="auto"/>
        </w:rPr>
        <w:t>Our amended and restated certificate of incorporation and amended and restated bylaws will authorize only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amended and restated certificate of incorporation and amended and restated bylaws will provide that our board of directors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Composition.”</w:t>
      </w:r>
    </w:p>
    <w:p>
      <w:pPr>
        <w:spacing w:after="0" w:line="12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Stockholder Action; Special Meeting of Stockholders. </w:t>
      </w:r>
      <w:r>
        <w:rPr>
          <w:rFonts w:ascii="Times New Roman" w:cs="Times New Roman" w:eastAsia="Times New Roman" w:hAnsi="Times New Roman"/>
          <w:sz w:val="18"/>
          <w:szCs w:val="18"/>
          <w:color w:val="auto"/>
        </w:rPr>
        <w:t>Our amended and restated certificate of incorporation will provide that our stockholders may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will further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amended and restated bylaws will provide advance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29"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Delaware General Corporation Law provides that stockholders are not entitled to cumulate votes in the election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 corporation’s certificate of incorporation provides otherwise. Our amended and restated certificate of incorporation does not provide for cumulative voting.</w:t>
      </w:r>
    </w:p>
    <w:p>
      <w:pPr>
        <w:spacing w:after="0" w:line="119"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Directors Removed Only for Cause. </w:t>
      </w:r>
      <w:r>
        <w:rPr>
          <w:rFonts w:ascii="Times New Roman" w:cs="Times New Roman" w:eastAsia="Times New Roman" w:hAnsi="Times New Roman"/>
          <w:sz w:val="18"/>
          <w:szCs w:val="18"/>
          <w:color w:val="auto"/>
        </w:rPr>
        <w:t>Our amended and restated certificate of incorporation will provide that stockholders may remove directors only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w:t>
      </w:r>
    </w:p>
    <w:p>
      <w:pPr>
        <w:spacing w:after="0" w:line="104" w:lineRule="exact"/>
        <w:rPr>
          <w:sz w:val="20"/>
          <w:szCs w:val="20"/>
          <w:color w:val="auto"/>
        </w:rPr>
      </w:pPr>
    </w:p>
    <w:p>
      <w:pPr>
        <w:ind w:right="3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Amendment of Charter Provisions. </w:t>
      </w:r>
      <w:r>
        <w:rPr>
          <w:rFonts w:ascii="Times New Roman" w:cs="Times New Roman" w:eastAsia="Times New Roman" w:hAnsi="Times New Roman"/>
          <w:sz w:val="18"/>
          <w:szCs w:val="18"/>
          <w:color w:val="auto"/>
        </w:rPr>
        <w:t>Any amendment of the above provisions in our amended and restated certificate of incorporation would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by holders of at least a two thirds majority of our then outstanding capital stock.</w:t>
      </w:r>
    </w:p>
    <w:p>
      <w:pPr>
        <w:spacing w:after="0" w:line="104" w:lineRule="exact"/>
        <w:rPr>
          <w:sz w:val="20"/>
          <w:szCs w:val="20"/>
          <w:color w:val="auto"/>
        </w:rPr>
      </w:pPr>
    </w:p>
    <w:p>
      <w:pPr>
        <w:ind w:right="3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Issuance of Undesignated Preferred Stock. </w:t>
      </w:r>
      <w:r>
        <w:rPr>
          <w:rFonts w:ascii="Times New Roman" w:cs="Times New Roman" w:eastAsia="Times New Roman" w:hAnsi="Times New Roman"/>
          <w:sz w:val="18"/>
          <w:szCs w:val="18"/>
          <w:color w:val="auto"/>
        </w:rPr>
        <w:t>Our board of directors will have the authority, without further action by our stockholders, to issue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5,000,000 shares of undesignated preferred stock with rights and preferences, including voting rights, designated from time to time by our board of directors. The existence of authorized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40"/>
          </w:cols>
          <w:pgMar w:left="320" w:top="117" w:right="339" w:bottom="1440" w:gutter="0" w:footer="0" w:header="0"/>
        </w:sectPr>
      </w:pPr>
    </w:p>
    <w:bookmarkStart w:id="168" w:name="page169"/>
    <w:bookmarkEnd w:id="168"/>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unissued shares of preferred stock would enable our board of directors to render more difficult or to discourage an attempt to obtain control of us by means of a merger, tender offer, proxy contest or other means.</w:t>
      </w:r>
    </w:p>
    <w:p>
      <w:pPr>
        <w:spacing w:after="0" w:line="10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Exclusive Forum. </w:t>
      </w:r>
      <w:r>
        <w:rPr>
          <w:rFonts w:ascii="Times New Roman" w:cs="Times New Roman" w:eastAsia="Times New Roman" w:hAnsi="Times New Roman"/>
          <w:sz w:val="18"/>
          <w:szCs w:val="18"/>
          <w:color w:val="auto"/>
        </w:rPr>
        <w:t>Our amended and restated bylaws will provide that, unless we consent to the selection of an alternative forum, the Court of Chancery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State of Delaware shall be the sole and exclusive forum for (i) any derivative action or proceeding under Delaware statutory or common law brought on our behalf, (ii) any action asserting a claim of breach of fiduciary duty, (iii) any action asserting a claim arising pursuant to the Delaware General Corporation Law, (iv) any action regarding our amended and restated certificate of incorporation or amended and restated bylaws, or (v) any action asserting a claim against us that is governed by the internal affairs doctrine, except, in each case, any claim (A)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 (C) for which such court does not have subject matter jurisdiction.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will also provide that the federal district courts of the United States will be the exclusive forum for resolving any complaint asserting a cause of action arising under the Securities Act. Section 27 of the Exchange Act creates exclusive federal jurisdiction over all suits brought to enforce any duty or liability created by the Exchange Act or the rules and regulations thereunder. As a result, the exclusive forum provision will not apply to actions arising under the Exchange Act or the rules and regulations thereunder. Although our amended and restated bylaws will contain the exclusive forum provision described above, to the extent the exclusive forum provision restricts the courts in which claims arising under the Securities Act may be brought, there is uncertainty as to whether a court would enforce such a provision, and the enforceability of similar choice of forum provisions in other companies’ charter documents has been challenged in legal proceedings. We note that investors cannot waive compliance with the federal securities laws and the rules and regulations thereunder.</w:t>
      </w:r>
    </w:p>
    <w:p>
      <w:pPr>
        <w:spacing w:after="0" w:line="14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the transfer agent and registrar for our Class A common stock will be Computershare Trust Company, N.A. The transfer agent and registrar’s address is 250 Royal Street, Canton, Massachusetts 02021.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section titled “Certain Relationships and Related Party Transactions—Limitation of Liability and Indemnification of Officers and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applied for the listing of our Class A common stock on the Nasdaq Global Select Market under the symbol “SEER.”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40"/>
          </w:cols>
          <w:pgMar w:left="320" w:top="117" w:right="339" w:bottom="1440" w:gutter="0" w:footer="0" w:header="0"/>
        </w:sectPr>
      </w:pPr>
    </w:p>
    <w:bookmarkStart w:id="169" w:name="page170"/>
    <w:bookmarkEnd w:id="169"/>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our Class A common stock in the public market, or the availability of such shares for sale in the public market, could adversely affect market prices prevailing from time to time. As described below, only a limited number of shares of our Class A common stock will be available for sale shortly after this offering and the concurrent private placement due to contractual and legal restrictions on resale. Nevertheless, sales of our Class A common stock in the public market after such restrictions lapse, or the perception that those sales may occur, could adversely affect the prevailing market price at such time and could impair our ability to raise equity capital in the future.</w:t>
      </w:r>
    </w:p>
    <w:p>
      <w:pPr>
        <w:spacing w:after="0" w:line="13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Following the completion of this offering, the concurrent private placement, the secondary transaction and the voluntary conversion, based on the number of shares of our capital stock outstanding as of September 30, 2020 we will have a total of 52,481,490 shares of our Class A common stock outstanding and 5,953,812 shares of our Class B common stock outstanding. Of these outstanding shares, all of the shares of our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remaining outstanding shares of our Class A common stock will be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and market standoff agreements described below and the provisions of our IRA described under the section titled “Description of Capital Stock—Registration Rights,” and subject to the provisions of Rule 144 or Rule 701, shares of our Class A common stock will be available for sale in the public market as follows:</w:t>
      </w:r>
    </w:p>
    <w:p>
      <w:pPr>
        <w:spacing w:after="0" w:line="129" w:lineRule="exact"/>
        <w:rPr>
          <w:sz w:val="20"/>
          <w:szCs w:val="20"/>
          <w:color w:val="auto"/>
        </w:rPr>
      </w:pPr>
    </w:p>
    <w:p>
      <w:pPr>
        <w:ind w:left="660" w:right="120" w:hanging="328"/>
        <w:spacing w:after="0" w:line="282" w:lineRule="auto"/>
        <w:tabs>
          <w:tab w:leader="none" w:pos="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date of this prospectus, all 8,825,000 shares of our Class A common stock sold in this offering will be immediately available for sale in the public market;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181 days after the date of this prospectus (subject to the terms of the lock-up and market standoff agreements described below) 49,610,302 additional shares will become eligible for sale in the public market, of which 20,544,422 shares will be held by affiliates and subject to the volume and other restrictions of Rule 144, as described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and Market Standoff Agreements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will agree that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capital stock or securities convertible into or exchangeable or exercisable for any shares of our capital stock, or publicly disclose the intention to make any offer, sale, pledge, disposition or filing, or (ii) enter into any swap or other arrangement that transfers all or a portion of the economic consequences associated with the ownership of any shares of capital stock or any such other securities (regardless of whether any of these transactions are to be settled by the delivery of shares of capital stock or such other securities, in cash or otherwise), in each case without the prior written consent of J.P. Morgan Securities LLC, Morgan Stanley &amp; Co. LLC and BofA Securities, Inc. for a period of 180 days after the date of this prospectus, other than the shares of our Class A common stock to be sold hereunder and certain other exceptions.</w:t>
      </w:r>
    </w:p>
    <w:p>
      <w:pPr>
        <w:spacing w:after="0" w:line="13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directors, our executive officers and holders of substantially all of our capital stock and securities convertible into our capital stock have entered or will enter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LLC, Morgan Stanley &amp; Co. LLC and BofA Securities, Inc., (1) offer, pledge, announce the intention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40"/>
          </w:cols>
          <w:pgMar w:left="320" w:top="117" w:right="339" w:bottom="1440" w:gutter="0" w:footer="0" w:header="0"/>
        </w:sectPr>
      </w:pPr>
    </w:p>
    <w:bookmarkStart w:id="170" w:name="page171"/>
    <w:bookmarkEnd w:id="170"/>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sell, sell, contract to sell, sell any option or contract to purchase, purchase any option or contract to sell, grant any option, right or warrant to purchase, or otherwise transfer or dispose of, directly or indirectly, any shares of our capital stock or any securities convertible into or exercisable or exchangeable for our capital stock (including, without limitation, Class A common stock or such other securities which may be deemed to be beneficially owned by such directors, executive officers and stockholders in accordance with the rules and regulations of the SEC and securities which may be issued upon exercise of a stock option or warrant) or (2) enter into any swap or other agreement that transfers, in whole or in part, any of the economic consequences of ownership of the capital stock or such other securities, whether any such transaction described in clause (1) or (2) above is to be settled by delivery of capital stock or such other securities, in cash or otherwise, or (3) make any demand for or exercise any right with respect to the registration of any shares of our capital stock or any security convertible into or exercisable or exchangeable for our capital stock. For more information, see the section titled “Underwriting.”</w:t>
      </w:r>
    </w:p>
    <w:p>
      <w:pPr>
        <w:spacing w:after="0" w:line="11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7,941,175 shares of Class A common stock we are selling in the concurrent private placement to Fidelity Management &amp; Research Company LLC, SoftBank, certain funds and accounts advised by T. Rowe Price Associates, Inc. and aMoon Fund, assuming an initial public offering price of $17.00 per share, which is the midpoint of the price range set forth on the cover page of this prospectus, and the 588,235 shares of Class A common stock Dynamics Group LLC, for which our Chief Executive Officer, Omid Farokhzad, M.D., is the sole member, is selling to SoftBank in a secondary transaction will be subject to lock-up agreements with the underwriters described above.</w:t>
      </w:r>
    </w:p>
    <w:p>
      <w:pPr>
        <w:spacing w:after="0" w:line="1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addition, our executive officers, directors, and holders of substantially all of our capital stock and securities convertible into or exchangeable for our capital stock have entered into market standoff agreements with us under which they have agreed that, subject to certain exceptions, for a period of 180 days after the date of this prospectus, they will not, without our prior written consent, dispose of or hedge any shares or any securities convertible into or exchangeable for shares of our capital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35"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general, Rule 144 provides that our affiliates or persons selling shares of our Class A common stock on behalf of our affiliates are entitled to sell upon expiration of the market standoff agreements and lock-up agreements described above, within any three-month period, a number of shares of our Class A common stock that does not exceed the greater of:</w:t>
      </w:r>
    </w:p>
    <w:p>
      <w:pPr>
        <w:spacing w:after="0" w:line="122" w:lineRule="exact"/>
        <w:rPr>
          <w:sz w:val="20"/>
          <w:szCs w:val="20"/>
          <w:color w:val="auto"/>
        </w:rPr>
      </w:pPr>
    </w:p>
    <w:p>
      <w:pPr>
        <w:ind w:left="660" w:right="120" w:hanging="328"/>
        <w:spacing w:after="0" w:line="282"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Class A common stock then outstanding, which will equal 524,815 shares immediately after the completion of this offering, the concurrent private placement, the secondary transaction and the voluntary conversion; or</w:t>
      </w:r>
    </w:p>
    <w:p>
      <w:pPr>
        <w:spacing w:after="0" w:line="10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during the four calendar weeks preceding the filing of a notice on Form 144 with respect to that sale.</w:t>
      </w:r>
    </w:p>
    <w:p>
      <w:pPr>
        <w:spacing w:after="0" w:line="108" w:lineRule="exact"/>
        <w:rPr>
          <w:sz w:val="20"/>
          <w:szCs w:val="20"/>
          <w:color w:val="auto"/>
        </w:rPr>
      </w:pPr>
    </w:p>
    <w:p>
      <w:pPr>
        <w:jc w:val="both"/>
        <w:ind w:right="100" w:firstLine="324"/>
        <w:spacing w:after="0" w:line="282" w:lineRule="auto"/>
        <w:rPr>
          <w:sz w:val="20"/>
          <w:szCs w:val="20"/>
          <w:color w:val="auto"/>
        </w:rPr>
      </w:pPr>
      <w:r>
        <w:rPr>
          <w:rFonts w:ascii="Times New Roman" w:cs="Times New Roman" w:eastAsia="Times New Roman" w:hAnsi="Times New Roman"/>
          <w:sz w:val="18"/>
          <w:szCs w:val="18"/>
          <w:color w:val="auto"/>
        </w:rPr>
        <w:t>Sales of our Class A common stock made in reliance upon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40"/>
          </w:cols>
          <w:pgMar w:left="320" w:top="117" w:right="339" w:bottom="1440" w:gutter="0" w:footer="0" w:header="0"/>
        </w:sectPr>
      </w:pPr>
    </w:p>
    <w:bookmarkStart w:id="171" w:name="page172"/>
    <w:bookmarkEnd w:id="171"/>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Pursuant to our IRA, after the completion of this offering, the concurrent private placement and the secondary transaction, the holders of up to 37,556,197 shares of our Class A 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intend to file a registration statement on Form S-8 under the Securities Act promptly after the completion of this offering to register shares of our Class A common stock subject to RSUs and options outstanding, as well as reserved for future issuance, under our equity compensation plans. The registration statement on Form S-8 is expected to become effective immediately upon filing, and shares of our Class A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Compensation—Employee Benefit and Stock Plans” for a description of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60"/>
          </w:cols>
          <w:pgMar w:left="320" w:top="117" w:right="419" w:bottom="1440" w:gutter="0" w:footer="0" w:header="0"/>
        </w:sectPr>
      </w:pPr>
    </w:p>
    <w:bookmarkStart w:id="172" w:name="page173"/>
    <w:bookmarkEnd w:id="172"/>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AND TAX CONSIDERATIONS FOR NON-U.S. HOLDERS OF OUR COMMON STOCK</w:t>
      </w:r>
    </w:p>
    <w:p>
      <w:pPr>
        <w:spacing w:after="0" w:line="175"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considerations of the ownership and disposition of our Class A common stock acquired in this offering by a “non-U.S. holder” (as defined below) but does not purport to be a complete analysis of all the potential tax considerations relating thereto. This summary is based upon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3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This summary also does not address the tax considerations arising under the laws of any non-U.S., state or local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122" w:lineRule="exact"/>
        <w:rPr>
          <w:sz w:val="20"/>
          <w:szCs w:val="20"/>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regulated investment companies, real estate investment trusts or other financial institutions;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and tax-qualified retirement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 passive foreign investment companies and corporations that accumulate earnings to avoid U.S. federal income tax;</w:t>
      </w:r>
    </w:p>
    <w:p>
      <w:pPr>
        <w:spacing w:after="0" w:line="182" w:lineRule="exact"/>
        <w:rPr>
          <w:rFonts w:ascii="Times New Roman" w:cs="Times New Roman" w:eastAsia="Times New Roman" w:hAnsi="Times New Roman"/>
          <w:sz w:val="17"/>
          <w:szCs w:val="17"/>
          <w:color w:val="auto"/>
        </w:rPr>
      </w:pPr>
    </w:p>
    <w:p>
      <w:pPr>
        <w:ind w:left="660" w:right="660" w:hanging="328"/>
        <w:spacing w:after="0" w:line="282"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classified as partnerships for U.S. federal income tax purposes or other pass through entities such as subchapter S corporations (or investors in such entities or arrangements);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or are deemed to own, more than five percent of our capital stock (except to the extent specifically set forth below);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Class A common stock as a position in a hedging transaction, “straddle,” “conversion transaction,” or other risk reduction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Class A common stock pursuant to the exercise of any option or otherwise as compensation;</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Class A common stock as a capital asset within the meaning of Section 1221 of the Code (generally, property held for investment);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Class A common stock under the constructive sale provisions of the Code;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our Class B common stock.</w:t>
      </w:r>
    </w:p>
    <w:p>
      <w:pPr>
        <w:spacing w:after="0" w:line="17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In addition, if a partnership (or other entity or arrangement classified as a partnership for U.S. federal income tax purposes) holds our Class A common stock, the tax treatment of a partner in the partnership generally will depend on the status of the partner and upon the activities of the partnership. A partner in a partnership that will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40"/>
          </w:cols>
          <w:pgMar w:left="320" w:top="117" w:right="339" w:bottom="1440" w:gutter="0" w:footer="0" w:header="0"/>
        </w:sectPr>
      </w:pPr>
    </w:p>
    <w:bookmarkStart w:id="173" w:name="page174"/>
    <w:bookmarkEnd w:id="173"/>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Class A common stock should consult his, her or its own tax advisor regarding the tax considerations of the purchase, ownership and disposition of our common stock through a partnership.</w:t>
      </w:r>
    </w:p>
    <w:p>
      <w:pPr>
        <w:spacing w:after="0" w:line="104"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You are urged to consult your tax advisor with respect to the application of the U.S. federal income tax laws to your particular situation, as well as any tax considerations of the purchase, ownership and disposition of our Class A common stock arising under the U.S. federal gift or estate tax rules or under the laws of any state, local, non-U.S. or other taxing jurisdiction or under any applicable tax treaty.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17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you are a “non-U.S. holder” if you are a beneficial owner of our common stock that, for U.S. federal income tax purposes, is neither a partnership nor:</w:t>
      </w:r>
    </w:p>
    <w:p>
      <w:pPr>
        <w:spacing w:after="0" w:line="108" w:lineRule="exact"/>
        <w:rPr>
          <w:sz w:val="20"/>
          <w:szCs w:val="20"/>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described in the section titled “Dividend Policy,” we have never declared or paid cash dividends on our common stock, and we do not anticipate paying any dividends on our common stock following the completion of this offering. However, if we do make distributions on our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“—Gain on Disposition of Class A Common Stock.”</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We may withhold up to 30% of the gross amount of the entire distribution even if the amount constituting a dividend, as described above, is less than the gross amount to the extent provided for in the Treasury Regulations. A non-U.S. holder of shares of our Class A common stock may obtain a refund of any excess amounts withheld by filing an appropriate claim for refund with the IRS. If the non-U.S. holder holds our Class A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4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40"/>
          </w:cols>
          <w:pgMar w:left="320" w:top="117" w:right="339" w:bottom="1440" w:gutter="0" w:footer="0" w:header="0"/>
        </w:sectPr>
      </w:pPr>
    </w:p>
    <w:bookmarkStart w:id="174" w:name="page175"/>
    <w:bookmarkEnd w:id="174"/>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withholding tax, generally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Class A common stock, including the application of any applicable tax treaties that may provide for different rules.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Class A Common Stock</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FATCA withholding, you generally will not be required to pay U.S. federal income tax on any gain realized upon the sale or other disposition of our Class A common stock unless:</w:t>
      </w:r>
    </w:p>
    <w:p>
      <w:pPr>
        <w:spacing w:after="0" w:line="108" w:lineRule="exact"/>
        <w:rPr>
          <w:sz w:val="20"/>
          <w:szCs w:val="20"/>
          <w:color w:val="auto"/>
        </w:rPr>
      </w:pPr>
    </w:p>
    <w:p>
      <w:pPr>
        <w:ind w:left="660" w:right="400" w:hanging="328"/>
        <w:spacing w:after="0" w:line="282" w:lineRule="auto"/>
        <w:tabs>
          <w:tab w:leader="none" w:pos="6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107"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constitutes a U.S. real property interest by reason of our status as a “U.S. real property holding corporation,” or a USRPHC, for U.S. federal income tax purposes at any time within the shorter of the five-year period preceding your disposition of, or your holding period for, our Class A common stock.</w:t>
      </w:r>
    </w:p>
    <w:p>
      <w:pPr>
        <w:spacing w:after="0" w:line="12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Class A common stock is regularly traded on an established securities market, your Class A common stock will be treated as U.S. real property interests only if you actually (directly or indirectly) or constructively hold more than five percent of such regularly traded Class A common stock at any time during the shorter of the five-year period preceding your disposition of, or your holding period for, our Class A common stock.</w:t>
      </w:r>
    </w:p>
    <w:p>
      <w:pPr>
        <w:spacing w:after="0" w:line="13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7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2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Payments of dividends on or of proceeds from the disposition of our Class A common stock made to you may be subject to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20"/>
          </w:cols>
          <w:pgMar w:left="320" w:top="117" w:right="359" w:bottom="1440" w:gutter="0" w:footer="0" w:header="0"/>
        </w:sectPr>
      </w:pPr>
    </w:p>
    <w:bookmarkStart w:id="175" w:name="page176"/>
    <w:bookmarkEnd w:id="175"/>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reporting may apply if either we or our paying agent has actual knowledge, or reason to know, that you are a U.S. person.</w:t>
      </w:r>
    </w:p>
    <w:p>
      <w:pPr>
        <w:spacing w:after="0" w:line="17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Requirements under the Foreign Account Tax Compliance Act</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other official IRS guidance issued thereunder, or collectively FATCA, generally impose a U.S. federal withholding tax of 30% on dividends on, and, subject to the discussion below regarding the proposed regulations, the gross proceeds from a sale or other disposition of, our Class A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the gross proceeds from a sale or other disposition of, our Class A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4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withholding obligations under FATCA generally apply to dividends on our Class A common stock and to the payment of gross proceeds of a sale or other disposition of our Class A common stock. However, the U.S. Treasury Department has issued proposed regulations that, if finalized in their present form, would eliminate FATCA withholding on gross proceeds of the sale or other disposition of our Class A common stock (but not on payments of dividends). The preamble of such proposed regulations state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a non-U.S. holder might be eligible for refunds or credits of such taxes. An intergovernmental agreement between the United States and the non-U.S. holder’s country of residence may modify the requirements described in this section. Prospective investors should consult with their own tax advisors regarding the application of FATCA withholding to their investment in, and ownership and disposition of, our Class A common stock.</w:t>
      </w:r>
    </w:p>
    <w:p>
      <w:pPr>
        <w:spacing w:after="0" w:line="130"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U.S. federal income tax considerations is for general information only. It is not tax advice to investors in their particular circumstances. Each prospective investor should consult its own tax advisor regarding the particular U.S. federal, state and local and non-U.S. tax considerations of purchasing, owning and disposing of our Class A common stock,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20"/>
          </w:cols>
          <w:pgMar w:left="320" w:top="117" w:right="359" w:bottom="1440" w:gutter="0" w:footer="0" w:header="0"/>
        </w:sectPr>
      </w:pPr>
    </w:p>
    <w:bookmarkStart w:id="176" w:name="page177"/>
    <w:bookmarkEnd w:id="176"/>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5" w:lineRule="exact"/>
        <w:rPr>
          <w:sz w:val="20"/>
          <w:szCs w:val="20"/>
          <w:color w:val="auto"/>
        </w:rPr>
      </w:pPr>
    </w:p>
    <w:p>
      <w:pPr>
        <w:ind w:right="120" w:firstLine="324"/>
        <w:spacing w:after="0" w:line="219" w:lineRule="exact"/>
        <w:rPr>
          <w:sz w:val="20"/>
          <w:szCs w:val="20"/>
          <w:color w:val="auto"/>
        </w:rPr>
      </w:pPr>
      <w:r>
        <w:rPr>
          <w:rFonts w:ascii="Times New Roman" w:cs="Times New Roman" w:eastAsia="Times New Roman" w:hAnsi="Times New Roman"/>
          <w:sz w:val="18"/>
          <w:szCs w:val="18"/>
          <w:color w:val="auto"/>
        </w:rPr>
        <w:t>We are offering the shares of Class A common stock described in this prospectus through a number of underwriters. J.P. Morgan Securities LLC, Morgan Stanley &amp; Co. LLC, BofA Securities, Inc. and Cowen and Company, LLC are acting as joint book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running managers of the offering and J.P. Morgan Securities LLC, Morgan Stanley &amp; Co. LLC and BofA Securities, Inc.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196" w:lineRule="exact"/>
        <w:rPr>
          <w:sz w:val="20"/>
          <w:szCs w:val="20"/>
          <w:color w:val="auto"/>
        </w:rPr>
      </w:pPr>
    </w:p>
    <w:p>
      <w:pPr>
        <w:ind w:left="4620"/>
        <w:spacing w:after="0"/>
        <w:tabs>
          <w:tab w:leader="none" w:pos="98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9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The underwriters are committed to purchase all the Class A common stock offered by us if they purchase any shares. The underwriting agreement also provides that if an underwriter defaults, the purchase commitments of non-defaulting underwriters may also be increased or the offering may be terminated.</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underwriters propose to offer the common stock directly to the public at the initial public offering price set forth on the cover page of this</w:t>
      </w:r>
    </w:p>
    <w:p>
      <w:pPr>
        <w:spacing w:after="0" w:line="27"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prospectus and to certain dealers at that price less a concession not in excess of $ per share. After the initial offering of the shares to the public, if all of the shares of Class A common stock are not sold at the initial public offering price, the underwriters may change the offering price and the other selling terms. Sales of any shares made outside of the United States may be made by affiliates of the underwriters.</w:t>
      </w:r>
    </w:p>
    <w:p>
      <w:pPr>
        <w:spacing w:after="0" w:line="13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underwriters have an option to buy up to 1,323,750 additional shares of Class A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1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underwriters do not expect to sell more than 5% of the shares of Class A common stock in the aggregate to accounts over which they exercise discretionary authority.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Class A common stock less the amount paid by the underwriters to us per share</w:t>
      </w:r>
    </w:p>
    <w:p>
      <w:pPr>
        <w:spacing w:after="0" w:line="27"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of Class A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Without option to</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 full option to</w:t>
            </w:r>
          </w:p>
        </w:tc>
      </w:tr>
      <w:tr>
        <w:trPr>
          <w:trHeight w:val="162"/>
        </w:trPr>
        <w:tc>
          <w:tcPr>
            <w:tcW w:w="80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 additional</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additional</w:t>
            </w:r>
          </w:p>
        </w:tc>
      </w:tr>
      <w:tr>
        <w:trPr>
          <w:trHeight w:val="190"/>
        </w:trPr>
        <w:tc>
          <w:tcPr>
            <w:tcW w:w="80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exercise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exercise</w:t>
            </w:r>
          </w:p>
        </w:tc>
      </w:tr>
      <w:tr>
        <w:trPr>
          <w:trHeight w:val="23"/>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1560" w:type="dxa"/>
            <w:vAlign w:val="bottom"/>
            <w:tcBorders>
              <w:bottom w:val="single" w:sz="8" w:color="CCEEFF"/>
            </w:tcBorders>
            <w:shd w:val="clear" w:color="auto" w:fill="CCEEFF"/>
          </w:tcPr>
          <w:p>
            <w:pPr>
              <w:jc w:val="right"/>
              <w:ind w:right="138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81"/>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jc w:val="right"/>
              <w:ind w:right="138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560" w:type="dxa"/>
            <w:vAlign w:val="bottom"/>
          </w:tcPr>
          <w:p>
            <w:pPr>
              <w:jc w:val="right"/>
              <w:ind w:right="1381"/>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7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$3.1 million. We have also agreed to reimburse the underwriters for reasonable fees and expenses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40"/>
          </w:cols>
          <w:pgMar w:left="320" w:top="117" w:right="339" w:bottom="1440" w:gutter="0" w:footer="0" w:header="0"/>
        </w:sectPr>
      </w:pPr>
    </w:p>
    <w:bookmarkStart w:id="177" w:name="page178"/>
    <w:bookmarkEnd w:id="177"/>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counsel related to the review by the Financial Industry Regulatory Authority of the terms of sale of the shares of Class A common stock offered hereby in an amount not to exceed $35,000.</w:t>
      </w:r>
    </w:p>
    <w:p>
      <w:pPr>
        <w:spacing w:after="0" w:line="10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2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Class A common stock or securities convertible into or exercisable or exchangeable for any shares of our Class A common stock, or publicly disclose the intention to make any offer, sale, pledge, loan,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 in each case without the prior written consent of J.P. Morgan Securities LLC, Morgan Stanley &amp; Co. LLC and BofA Securities, Inc. for a period of 180 days after the date of this prospectus, other than the shares of our Class A common stock to be sold in this offering, subject to certain exceptions, including in connection with the issuance of up to 10% of the shares of Class A common stock outstanding immediately following the closing of this offering in acquisitions or other similar strategic transactions.</w:t>
      </w:r>
    </w:p>
    <w:p>
      <w:pPr>
        <w:spacing w:after="0" w:line="111" w:lineRule="exact"/>
        <w:rPr>
          <w:sz w:val="20"/>
          <w:szCs w:val="20"/>
          <w:color w:val="auto"/>
        </w:rPr>
      </w:pPr>
    </w:p>
    <w:p>
      <w:pPr>
        <w:ind w:firstLine="324"/>
        <w:spacing w:after="0" w:line="219" w:lineRule="exact"/>
        <w:rPr>
          <w:sz w:val="20"/>
          <w:szCs w:val="20"/>
          <w:color w:val="auto"/>
        </w:rPr>
      </w:pPr>
      <w:r>
        <w:rPr>
          <w:rFonts w:ascii="Times New Roman" w:cs="Times New Roman" w:eastAsia="Times New Roman" w:hAnsi="Times New Roman"/>
          <w:sz w:val="18"/>
          <w:szCs w:val="18"/>
          <w:color w:val="auto"/>
        </w:rPr>
        <w:t>Our directors and executive officers, and substantially all of our stockholders (such persons, the “lock-up parties”) have entered into lock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Morgan Stanley &amp; Co. LLC and BofA Securities, Inc., (1) offer, pledge,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our Class A common stock (including, without limitation, Class A common stock or such other securities which may be deemed to be beneficially owned by such lock-up parties in accordance with the rules and regulations of the SEC and securities which may be issued upon exercise of a stock option or warrant (collectively with the Class A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5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7,941,175 shares of Class A common stock we are selling in the concurrent private placement to Fidelity Management &amp; Research Company LLC, SoftBank, certain funds and accounts advised by T. Rowe Price Associates, Inc. and aMoon Fund, assuming an initial public offering price of $17.00 per share, which is the midpoint of the price range set forth on the cover page of this prospectus, and the 588,235 shares of Class A common stock Dynamics Group LLC, for which our Chief Executive Officer, Omid Farokhzad, M.D. is the sole member, is selling to Sotfbank, assuming an initial public offering price of $17.00 per share, which is the midpoint of the price range set forth on the cover page of this prospectus, in a secondary transaction, will be subject to 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20"/>
          </w:cols>
          <w:pgMar w:left="320" w:top="117" w:right="359" w:bottom="1440" w:gutter="0" w:footer="0" w:header="0"/>
        </w:sectPr>
      </w:pPr>
    </w:p>
    <w:bookmarkStart w:id="178" w:name="page179"/>
    <w:bookmarkEnd w:id="178"/>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agreements with the underwriters described above. In connection with the foregoing secondary transaction, J.P. Morgan Securities LLC, Morgan Stanley &amp; Co. LLC, BofA Securities Inc. and Cowen and Company, LLC are each acting as a placement agent in connection with the concurrent private placement for which they will receive a fee. J.P. Morgan Securities LLC, Morgan Stanley &amp; Co. LLC and BofA Securities, Inc. have released Omid Farokhzad, M.D. from his lock-up agreement solely to permit this sale.</w:t>
      </w:r>
    </w:p>
    <w:p>
      <w:pPr>
        <w:spacing w:after="0" w:line="126"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The restrictions described in the immediately preceding paragraphs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member of the lock-up party’s immediate family or any trust for the direct or indirect benefit of the lock-up party or the immediate family of the lock-up party, (iv) to a partnership, limited liability company or other entity of which the lock-up party and the immediate family of the lock-up party are the legal and beneficial owner of all of the outstanding equity securities or similar interests,</w:t>
      </w:r>
    </w:p>
    <w:p>
      <w:pPr>
        <w:spacing w:after="0" w:line="3" w:lineRule="exact"/>
        <w:rPr>
          <w:sz w:val="20"/>
          <w:szCs w:val="20"/>
          <w:color w:val="auto"/>
        </w:rPr>
      </w:pPr>
    </w:p>
    <w:p>
      <w:pPr>
        <w:ind w:right="20" w:firstLine="8"/>
        <w:spacing w:after="0" w:line="266" w:lineRule="auto"/>
        <w:tabs>
          <w:tab w:leader="none" w:pos="25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disposition, transfer or distribution to members, limited partners or shareholders of the lock-up party, (vii) by operation of law, such as pursuant to a qualified domestic order, divorce settlement, divorce decree or separation agreement or similar court order, (viii) to us in connection with any contractual arrangement that provides for the repurchase of lock-up securities by us upon death, disability or termination of service, in each case, of such service provider, (ix) acquired from the underwriters in this offering or in open market transactions after the closing date of this offering, (x) to us in connection with the vesting, settlement, or exercise of restricted stock units, options, warrants or other rights to purchase shares of our Class A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stockholders involving a change of control, provided that if such transaction is not completed, all such lock-up securities would remain subject to the restrictions in the immediately preceding paragraph; (b) the exercise of the options, settlement of RSUs or other equity awards, or the exercise of warrants granted pursuant to plans or agreements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Class A common stock or warrants to acquire shares of our Class A common stock; provided that any Class A common stock or warrant received upon such conversion shall be subject to restrictions similar to those in the immediately preceding paragraph; and (d) the establishment by lock-up parties of trading plans under Rule 10b5-1 under the Exchange Act for the transfer of shares of lock-up securities; provided that such plan does not provide for the transfer of lock-up securities during the restricted period.</w:t>
      </w:r>
    </w:p>
    <w:p>
      <w:pPr>
        <w:spacing w:after="0" w:line="13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J.P. Morgan Securities LLC, Morgan Stanley &amp; Co. LLC and BofA Securities, Inc., in their sole discretion, may release the securities subject to any of the lock-up agreements with the underwriters described above, in whole or in part at any time.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applied to have our Class A common stock approved for listing on the Nasdaq Global Select Market under the symbol “SEER.”</w:t>
      </w:r>
    </w:p>
    <w:p>
      <w:pPr>
        <w:spacing w:after="0" w:line="17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40"/>
          </w:cols>
          <w:pgMar w:left="320" w:top="117" w:right="339" w:bottom="1440" w:gutter="0" w:footer="0" w:header="0"/>
        </w:sectPr>
      </w:pPr>
    </w:p>
    <w:bookmarkStart w:id="179" w:name="page180"/>
    <w:bookmarkEnd w:id="179"/>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13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w:t>
      </w:r>
    </w:p>
    <w:p>
      <w:pPr>
        <w:spacing w:after="0" w:line="126" w:lineRule="exact"/>
        <w:rPr>
          <w:sz w:val="20"/>
          <w:szCs w:val="20"/>
          <w:color w:val="auto"/>
        </w:rPr>
      </w:pPr>
    </w:p>
    <w:p>
      <w:pPr>
        <w:ind w:firstLine="324"/>
        <w:spacing w:after="0" w:line="226" w:lineRule="exact"/>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Class A common stock or preventing or retarding a decline in the market price of the Class A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Stock Market, in the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counter market or otherwise.</w:t>
      </w:r>
    </w:p>
    <w:p>
      <w:pPr>
        <w:spacing w:after="0" w:line="126"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22"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prospectus and otherwise available to the representatives;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and the history and prospects for the industry in which we compete;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future earnings;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demand for, publicly traded Class A common stock of generally comparable companies;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deemed relevant by the underwriters and us.</w:t>
      </w:r>
    </w:p>
    <w:p>
      <w:pPr>
        <w:spacing w:after="0" w:line="17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Neither we nor the underwriters can assure investors that an active trading market will develop for our Class A common stock, or that the Class A common stock will trade in the public market at or above the initial public offering price.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J.P. Morgan Securities LLC, Morgan Stanley &amp; Co. LLC, BofA Securities Inc. and Cowen and Company, LLC will receive a fee for acting as placement agents in connection with the 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60"/>
          </w:cols>
          <w:pgMar w:left="320" w:top="117" w:right="419" w:bottom="1440" w:gutter="0" w:footer="0" w:header="0"/>
        </w:sectPr>
      </w:pPr>
    </w:p>
    <w:bookmarkStart w:id="180" w:name="page181"/>
    <w:bookmarkEnd w:id="180"/>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6"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 and United Kingdom</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(Relevant States),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29" w:lineRule="exact"/>
        <w:rPr>
          <w:sz w:val="20"/>
          <w:szCs w:val="20"/>
          <w:color w:val="auto"/>
        </w:rPr>
      </w:pPr>
    </w:p>
    <w:p>
      <w:pPr>
        <w:ind w:left="640" w:hanging="308"/>
        <w:spacing w:after="0"/>
        <w:tabs>
          <w:tab w:leader="none" w:pos="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or</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69"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shares shall require us or any underwriter to publish a prospectus pursuant to Article 3 of the Prospectus Regulation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240"/>
          </w:cols>
          <w:pgMar w:left="320" w:top="117" w:right="339" w:bottom="1440" w:gutter="0" w:footer="0" w:header="0"/>
        </w:sectPr>
      </w:pPr>
    </w:p>
    <w:bookmarkStart w:id="181" w:name="page182"/>
    <w:bookmarkEnd w:id="181"/>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22"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3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7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3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prospectus:</w:t>
      </w:r>
    </w:p>
    <w:p>
      <w:pPr>
        <w:spacing w:after="0" w:line="171" w:lineRule="exact"/>
        <w:rPr>
          <w:sz w:val="20"/>
          <w:szCs w:val="20"/>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(Corporations Act);</w:t>
      </w:r>
    </w:p>
    <w:p>
      <w:pPr>
        <w:spacing w:after="0" w:line="171" w:lineRule="exact"/>
        <w:rPr>
          <w:rFonts w:ascii="Times New Roman" w:cs="Times New Roman" w:eastAsia="Times New Roman" w:hAnsi="Times New Roman"/>
          <w:sz w:val="18"/>
          <w:szCs w:val="18"/>
          <w:color w:val="auto"/>
        </w:rPr>
      </w:pPr>
    </w:p>
    <w:p>
      <w:pPr>
        <w:jc w:val="both"/>
        <w:ind w:left="660" w:right="520" w:hanging="328"/>
        <w:spacing w:after="0" w:line="266"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60"/>
          </w:cols>
          <w:pgMar w:left="320" w:top="117" w:right="419" w:bottom="1440" w:gutter="0" w:footer="0" w:header="0"/>
        </w:sectPr>
      </w:pPr>
    </w:p>
    <w:bookmarkStart w:id="182" w:name="page183"/>
    <w:bookmarkEnd w:id="182"/>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2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7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28"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220"/>
          </w:cols>
          <w:pgMar w:left="320" w:top="117" w:right="359" w:bottom="1440" w:gutter="0" w:footer="0" w:header="0"/>
        </w:sectPr>
      </w:pPr>
    </w:p>
    <w:bookmarkStart w:id="183" w:name="page184"/>
    <w:bookmarkEnd w:id="183"/>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in connection with the offer or sale, or invitation for subscription or purchase, of the shares, whether directly or indirectly, to any person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other than:</w:t>
      </w:r>
    </w:p>
    <w:p>
      <w:pPr>
        <w:spacing w:after="0" w:line="153" w:lineRule="exact"/>
        <w:rPr>
          <w:sz w:val="20"/>
          <w:szCs w:val="20"/>
          <w:color w:val="auto"/>
        </w:rPr>
      </w:pPr>
    </w:p>
    <w:p>
      <w:pPr>
        <w:ind w:left="660" w:right="180" w:hanging="328"/>
        <w:spacing w:after="0" w:line="282" w:lineRule="auto"/>
        <w:tabs>
          <w:tab w:leader="none" w:pos="65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(SFA)) pursuant to Section 274 of the SFA;</w:t>
      </w:r>
    </w:p>
    <w:p>
      <w:pPr>
        <w:spacing w:after="0" w:line="10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and in accordance with the conditions specified in Section 275 of the SFA; or</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171" w:lineRule="exact"/>
        <w:rPr>
          <w:sz w:val="20"/>
          <w:szCs w:val="20"/>
          <w:color w:val="auto"/>
        </w:rPr>
      </w:pPr>
    </w:p>
    <w:p>
      <w:pPr>
        <w:ind w:left="660" w:right="80" w:hanging="328"/>
        <w:spacing w:after="0" w:line="282" w:lineRule="auto"/>
        <w:tabs>
          <w:tab w:leader="none" w:pos="65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7"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276(4)(i)(B) of the SFA;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China</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Korea</w:t>
      </w:r>
    </w:p>
    <w:p>
      <w:pPr>
        <w:spacing w:after="0" w:line="175"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The shares have not been and will not be registered under the Financial Investments Services and Capital Markets Act of Korea and the decrees and regulations thereunder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20"/>
          </w:cols>
          <w:pgMar w:left="320" w:top="117" w:right="359" w:bottom="1440" w:gutter="0" w:footer="0" w:header="0"/>
        </w:sectPr>
      </w:pPr>
    </w:p>
    <w:bookmarkStart w:id="184" w:name="page185"/>
    <w:bookmarkEnd w:id="184"/>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75" w:lineRule="exact"/>
        <w:rPr>
          <w:sz w:val="20"/>
          <w:szCs w:val="20"/>
          <w:color w:val="auto"/>
        </w:rPr>
      </w:pPr>
    </w:p>
    <w:p>
      <w:pPr>
        <w:ind w:right="160" w:firstLine="324"/>
        <w:spacing w:after="0" w:line="281" w:lineRule="auto"/>
        <w:rPr>
          <w:sz w:val="20"/>
          <w:szCs w:val="20"/>
          <w:color w:val="auto"/>
        </w:rPr>
      </w:pPr>
      <w:r>
        <w:rPr>
          <w:rFonts w:ascii="Times New Roman" w:cs="Times New Roman" w:eastAsia="Times New Roman" w:hAnsi="Times New Roman"/>
          <w:sz w:val="17"/>
          <w:szCs w:val="17"/>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Saudi Arabia</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 (DIFC)</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3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w:t>
      </w:r>
    </w:p>
    <w:p>
      <w:pPr>
        <w:spacing w:after="0" w:line="175"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7"/>
          <w:szCs w:val="17"/>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DFSA.</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Bermuda</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British Virgin Islands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shares are not being, and may not be offered to the public or to any person in the British Virgin Islands for purchase or subscription by or on behalf of the Company. The shares may be offered to companies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240"/>
          </w:cols>
          <w:pgMar w:left="320" w:top="117" w:right="339" w:bottom="1440" w:gutter="0" w:footer="0" w:header="0"/>
        </w:sectPr>
      </w:pPr>
    </w:p>
    <w:bookmarkStart w:id="185" w:name="page186"/>
    <w:bookmarkEnd w:id="185"/>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under the BVI Business Companies Act, 2004 (British Virgin Islands) (BVI Companies), but only where the offer will be made to, and received by, the relevant BVI Company entirely outside of the British Virgin Islands.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South Africa</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no “offer to the public” (as such term is defined in the South African Companies Act, No. 71 of 2008 (as amended or re-enacted) (South African Companies Act))is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189" w:lineRule="exact"/>
        <w:rPr>
          <w:sz w:val="20"/>
          <w:szCs w:val="20"/>
          <w:color w:val="auto"/>
        </w:rPr>
      </w:pPr>
    </w:p>
    <w:p>
      <w:pPr>
        <w:ind w:left="36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96 (1)(a)</w:t>
      </w:r>
      <w:r>
        <w:rPr>
          <w:sz w:val="20"/>
          <w:szCs w:val="20"/>
          <w:color w:val="auto"/>
        </w:rPr>
        <w:tab/>
      </w:r>
      <w:r>
        <w:rPr>
          <w:rFonts w:ascii="Times New Roman" w:cs="Times New Roman" w:eastAsia="Times New Roman" w:hAnsi="Times New Roman"/>
          <w:sz w:val="17"/>
          <w:szCs w:val="17"/>
          <w:color w:val="auto"/>
        </w:rPr>
        <w:t>the offer, transfer, sale, renunciation or delivery is to:</w:t>
      </w:r>
    </w:p>
    <w:p>
      <w:pPr>
        <w:spacing w:after="0" w:line="27" w:lineRule="exact"/>
        <w:rPr>
          <w:sz w:val="20"/>
          <w:szCs w:val="20"/>
          <w:color w:val="auto"/>
        </w:rPr>
      </w:pPr>
    </w:p>
    <w:p>
      <w:pPr>
        <w:ind w:left="2380" w:hanging="221"/>
        <w:spacing w:after="0"/>
        <w:tabs>
          <w:tab w:leader="none" w:pos="23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ordinary business, or part of whose ordinary business, is to deal in securities, as principal or agent;</w:t>
      </w:r>
    </w:p>
    <w:p>
      <w:pPr>
        <w:spacing w:after="0" w:line="9" w:lineRule="exact"/>
        <w:rPr>
          <w:rFonts w:ascii="Times New Roman" w:cs="Times New Roman" w:eastAsia="Times New Roman" w:hAnsi="Times New Roman"/>
          <w:sz w:val="18"/>
          <w:szCs w:val="18"/>
          <w:color w:val="auto"/>
        </w:rPr>
      </w:pPr>
    </w:p>
    <w:p>
      <w:pPr>
        <w:ind w:left="2420" w:hanging="261"/>
        <w:spacing w:after="0"/>
        <w:tabs>
          <w:tab w:leader="none" w:pos="24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South African Public Investment Corporation;</w:t>
      </w:r>
    </w:p>
    <w:p>
      <w:pPr>
        <w:spacing w:after="0" w:line="9" w:lineRule="exact"/>
        <w:rPr>
          <w:rFonts w:ascii="Times New Roman" w:cs="Times New Roman" w:eastAsia="Times New Roman" w:hAnsi="Times New Roman"/>
          <w:sz w:val="18"/>
          <w:szCs w:val="18"/>
          <w:color w:val="auto"/>
        </w:rPr>
      </w:pPr>
    </w:p>
    <w:p>
      <w:pPr>
        <w:ind w:left="2480" w:hanging="321"/>
        <w:spacing w:after="0"/>
        <w:tabs>
          <w:tab w:leader="none" w:pos="24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or entities regulated by the Reserve Bank of South Africa;</w:t>
      </w:r>
    </w:p>
    <w:p>
      <w:pPr>
        <w:spacing w:after="0" w:line="9" w:lineRule="exact"/>
        <w:rPr>
          <w:rFonts w:ascii="Times New Roman" w:cs="Times New Roman" w:eastAsia="Times New Roman" w:hAnsi="Times New Roman"/>
          <w:sz w:val="18"/>
          <w:szCs w:val="18"/>
          <w:color w:val="auto"/>
        </w:rPr>
      </w:pPr>
    </w:p>
    <w:p>
      <w:pPr>
        <w:ind w:left="2460" w:hanging="301"/>
        <w:spacing w:after="0"/>
        <w:tabs>
          <w:tab w:leader="none" w:pos="24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financial service providers under South African law;</w:t>
      </w:r>
    </w:p>
    <w:p>
      <w:pPr>
        <w:spacing w:after="0" w:line="9" w:lineRule="exact"/>
        <w:rPr>
          <w:rFonts w:ascii="Times New Roman" w:cs="Times New Roman" w:eastAsia="Times New Roman" w:hAnsi="Times New Roman"/>
          <w:sz w:val="18"/>
          <w:szCs w:val="18"/>
          <w:color w:val="auto"/>
        </w:rPr>
      </w:pPr>
    </w:p>
    <w:p>
      <w:pPr>
        <w:ind w:left="2420" w:hanging="261"/>
        <w:spacing w:after="0"/>
        <w:tabs>
          <w:tab w:leader="none" w:pos="24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recognized as such under South African law;</w:t>
      </w:r>
    </w:p>
    <w:p>
      <w:pPr>
        <w:spacing w:after="0" w:line="9" w:lineRule="exact"/>
        <w:rPr>
          <w:rFonts w:ascii="Times New Roman" w:cs="Times New Roman" w:eastAsia="Times New Roman" w:hAnsi="Times New Roman"/>
          <w:sz w:val="18"/>
          <w:szCs w:val="18"/>
          <w:color w:val="auto"/>
        </w:rPr>
      </w:pPr>
    </w:p>
    <w:p>
      <w:pPr>
        <w:ind w:left="2160" w:right="420" w:hanging="1"/>
        <w:spacing w:after="0" w:line="250" w:lineRule="auto"/>
        <w:tabs>
          <w:tab w:leader="none" w:pos="246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 w:lineRule="exact"/>
        <w:rPr>
          <w:rFonts w:ascii="Times New Roman" w:cs="Times New Roman" w:eastAsia="Times New Roman" w:hAnsi="Times New Roman"/>
          <w:sz w:val="18"/>
          <w:szCs w:val="18"/>
          <w:color w:val="auto"/>
        </w:rPr>
      </w:pPr>
    </w:p>
    <w:p>
      <w:pPr>
        <w:ind w:left="2520" w:hanging="361"/>
        <w:spacing w:after="0"/>
        <w:tabs>
          <w:tab w:leader="none" w:pos="2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person in (i) to (vi); or</w:t>
      </w:r>
    </w:p>
    <w:p>
      <w:pPr>
        <w:sectPr>
          <w:pgSz w:w="11900" w:h="16838" w:orient="portrait"/>
          <w:cols w:equalWidth="0" w:num="1">
            <w:col w:w="11240"/>
          </w:cols>
          <w:pgMar w:left="320" w:top="117" w:right="339" w:bottom="1440" w:gutter="0" w:footer="0" w:header="0"/>
        </w:sectPr>
      </w:pP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Section 96 (1)(b)</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47" w:lineRule="exact"/>
        <w:rPr>
          <w:sz w:val="20"/>
          <w:szCs w:val="20"/>
          <w:color w:val="auto"/>
        </w:rPr>
      </w:pPr>
    </w:p>
    <w:p>
      <w:pPr>
        <w:sectPr>
          <w:pgSz w:w="11900" w:h="16838" w:orient="portrait"/>
          <w:cols w:equalWidth="0" w:num="2">
            <w:col w:w="1580" w:space="580"/>
            <w:col w:w="9080"/>
          </w:cols>
          <w:pgMar w:left="320" w:top="117" w:right="339" w:bottom="1440" w:gutter="0" w:footer="0" w:header="0"/>
          <w:type w:val="continuous"/>
        </w:sectPr>
      </w:pPr>
    </w:p>
    <w:p>
      <w:pPr>
        <w:ind w:right="880" w:firstLine="324"/>
        <w:spacing w:after="0" w:line="284" w:lineRule="auto"/>
        <w:rPr>
          <w:sz w:val="20"/>
          <w:szCs w:val="20"/>
          <w:color w:val="auto"/>
        </w:rPr>
      </w:pPr>
      <w:r>
        <w:rPr>
          <w:rFonts w:ascii="Times New Roman" w:cs="Times New Roman" w:eastAsia="Times New Roman" w:hAnsi="Times New Roman"/>
          <w:sz w:val="18"/>
          <w:szCs w:val="18"/>
          <w:color w:val="auto"/>
        </w:rPr>
        <w:t>Information made available in this prospectus should not be considered as “</w:t>
      </w:r>
      <w:r>
        <w:rPr>
          <w:rFonts w:ascii="Times New Roman" w:cs="Times New Roman" w:eastAsia="Times New Roman" w:hAnsi="Times New Roman"/>
          <w:sz w:val="18"/>
          <w:szCs w:val="18"/>
          <w:i w:val="1"/>
          <w:iCs w:val="1"/>
          <w:color w:val="auto"/>
        </w:rPr>
        <w:t>advice</w:t>
      </w:r>
      <w:r>
        <w:rPr>
          <w:rFonts w:ascii="Times New Roman" w:cs="Times New Roman" w:eastAsia="Times New Roman" w:hAnsi="Times New Roman"/>
          <w:sz w:val="18"/>
          <w:szCs w:val="18"/>
          <w:color w:val="auto"/>
        </w:rPr>
        <w:t>” as defined in the South African Financial Advisory and Intermediary Services Act, 2002.</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Israel</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240"/>
          </w:cols>
          <w:pgMar w:left="320" w:top="117" w:right="339" w:bottom="1440" w:gutter="0" w:footer="0" w:header="0"/>
          <w:type w:val="continuous"/>
        </w:sectPr>
      </w:pPr>
    </w:p>
    <w:bookmarkStart w:id="186" w:name="page187"/>
    <w:bookmarkEnd w:id="186"/>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17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Immediately subsequent to the closing of this offering, Fidelity Management &amp; Research Company LLC, SoftBank, certain funds and accounts advised by T. Rowe Price Associates, Inc. and aMoon Fund will purchase from us, severally and not jointly, in a private placement an aggregate of $135.0 million of our Class A common stock at a price per share equal to the initial public offering price. Based on an assumed initial public offering price of $17.00 per share, which is the midpoint of the price range set forth on the cover page of this prospectus, this would be 7,941,175 shares. We will pay J.P. Morgan Securities LLC, Morgan Stanley &amp; Co. LLC, BofA Securities Inc. and Cowen and Company, LLC an aggregate commission of $4.725</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million with respect to the shares that are sold in the private placement. The sale of the shares in the private placement is contingent upon the completion of this offering. The sale of these shares will not be registered in this offering and the shares will be subject to a lock-up agreement with the underwriters. See the section titled “Shares Eligible for Future Sale—Lock-Up Arrangements”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220"/>
          </w:cols>
          <w:pgMar w:left="320" w:top="117" w:right="359" w:bottom="1440" w:gutter="0" w:footer="0" w:header="0"/>
        </w:sectPr>
      </w:pPr>
    </w:p>
    <w:bookmarkStart w:id="187" w:name="page188"/>
    <w:bookmarkEnd w:id="187"/>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validity of the issuance of our Class A common stock offered in this prospectus will be passed upon for us by Wilson Sonsini Goodrich &amp; Rosati, Professional Corporation, Palo Alto, California. Davis Polk &amp; Wardwell LLP, Menlo Park, California, is representing the underwriters in connection with this offering. Wilson Sonsini Goodrich &amp; Rosati, P.C. and certain of its members are associated with WS Investment Company, LLC (2017A) and WS Investment Company, LLC (2018A). Upon the completion of the offering, WS Investment Company (2017A) and WS Investment Company (2018A) will directly or indirectly own less than 0.1% of the outstanding shares of our common stock.</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500"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Seer, Inc. as of December 31, 2018 and 2019, and for each of the two years in the period ended December 31, 2019, included in this Prospectus have been audited by Deloitte &amp; Touche LLP, an independent registered public accounting firm, as stated in their report appearing elsewhere herein. Such financial statements are included in reliance upon the report of such firm given upon their authority as experts in accounting and auditing.</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include all of the information contained in the registration statement, some of which is contained in exhibits to the registration statement as permitted by the rules and regulations of the SEC. You should refer to the registration statement and its exhibits for additional information. Whenever we make references in this prospectus to any of our contracts, agreements or other documents, such references are not necessarily complete and you should refer to the exhibits attached to the registration statement for copies of the actual contract, agreement or other document.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can read our SEC filings, including the registration statement and its exhibits, over the Internet at the SEC’s website at www.sec.gov.</w:t>
      </w:r>
    </w:p>
    <w:p>
      <w:pPr>
        <w:spacing w:after="0" w:line="17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When we complete this offering, we will be subject to the information reporting requirements of the Exchange Act, and we will file annual, quarterly and special reports, proxy statements and other information with the SEC. These reports, proxy statements and other information will be available at the website of the SEC referred to above. We also maintain a website at which you may access these materials free of charge as soon as reasonably practicable after they are electronically filed with, or furnished to, the SEC. The information contained on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80"/>
          </w:cols>
          <w:pgMar w:left="320" w:top="117" w:right="399" w:bottom="1440" w:gutter="0" w:footer="0" w:header="0"/>
        </w:sectPr>
      </w:pPr>
    </w:p>
    <w:bookmarkStart w:id="188" w:name="page189"/>
    <w:bookmarkEnd w:id="18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760" w:type="dxa"/>
            <w:vAlign w:val="bottom"/>
          </w:tcPr>
          <w:p>
            <w:pPr>
              <w:spacing w:after="0"/>
              <w:rPr>
                <w:sz w:val="16"/>
                <w:szCs w:val="16"/>
                <w:color w:val="auto"/>
              </w:rPr>
            </w:pPr>
          </w:p>
        </w:tc>
        <w:tc>
          <w:tcPr>
            <w:tcW w:w="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9"/>
        </w:trPr>
        <w:tc>
          <w:tcPr>
            <w:tcW w:w="10760" w:type="dxa"/>
            <w:vAlign w:val="bottom"/>
          </w:tcPr>
          <w:p>
            <w:pPr>
              <w:spacing w:after="0" w:line="199" w:lineRule="exact"/>
              <w:rPr>
                <w:rFonts w:ascii="Times New Roman" w:cs="Times New Roman" w:eastAsia="Times New Roman" w:hAnsi="Times New Roman"/>
                <w:sz w:val="18"/>
                <w:szCs w:val="18"/>
                <w:u w:val="single" w:color="auto"/>
                <w:color w:val="0000FF"/>
              </w:rPr>
            </w:pPr>
            <w:hyperlink w:anchor="page189">
              <w:r>
                <w:rPr>
                  <w:rFonts w:ascii="Times New Roman" w:cs="Times New Roman" w:eastAsia="Times New Roman" w:hAnsi="Times New Roman"/>
                  <w:sz w:val="18"/>
                  <w:szCs w:val="18"/>
                  <w:u w:val="single" w:color="auto"/>
                  <w:color w:val="0000FF"/>
                </w:rPr>
                <w:t>Report of Independent Registered Public Accounting Firm</w:t>
              </w:r>
            </w:hyperlink>
          </w:p>
        </w:tc>
        <w:tc>
          <w:tcPr>
            <w:tcW w:w="40" w:type="dxa"/>
            <w:vAlign w:val="bottom"/>
          </w:tcPr>
          <w:p>
            <w:pPr>
              <w:spacing w:after="0"/>
              <w:rPr>
                <w:sz w:val="17"/>
                <w:szCs w:val="17"/>
                <w:color w:val="auto"/>
              </w:rPr>
            </w:pPr>
          </w:p>
        </w:tc>
        <w:tc>
          <w:tcPr>
            <w:tcW w:w="300" w:type="dxa"/>
            <w:vAlign w:val="bottom"/>
            <w:gridSpan w:val="2"/>
          </w:tcPr>
          <w:p>
            <w:pPr>
              <w:jc w:val="center"/>
              <w:ind w:right="60"/>
              <w:spacing w:after="0" w:line="199" w:lineRule="exact"/>
              <w:rPr>
                <w:rFonts w:ascii="Times New Roman" w:cs="Times New Roman" w:eastAsia="Times New Roman" w:hAnsi="Times New Roman"/>
                <w:sz w:val="18"/>
                <w:szCs w:val="18"/>
                <w:color w:val="0000FF"/>
                <w:w w:val="95"/>
              </w:rPr>
            </w:pPr>
            <w:hyperlink w:anchor="page189">
              <w:r>
                <w:rPr>
                  <w:rFonts w:ascii="Times New Roman" w:cs="Times New Roman" w:eastAsia="Times New Roman" w:hAnsi="Times New Roman"/>
                  <w:sz w:val="18"/>
                  <w:szCs w:val="18"/>
                  <w:color w:val="0000FF"/>
                  <w:w w:val="95"/>
                </w:rPr>
                <w:t>F-2</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60" w:type="dxa"/>
            <w:vAlign w:val="bottom"/>
          </w:tcPr>
          <w:p>
            <w:pPr>
              <w:spacing w:after="0"/>
              <w:rPr>
                <w:rFonts w:ascii="Times New Roman" w:cs="Times New Roman" w:eastAsia="Times New Roman" w:hAnsi="Times New Roman"/>
                <w:sz w:val="18"/>
                <w:szCs w:val="18"/>
                <w:u w:val="single" w:color="auto"/>
                <w:color w:val="0000FF"/>
              </w:rPr>
            </w:pPr>
            <w:hyperlink w:anchor="page190">
              <w:r>
                <w:rPr>
                  <w:rFonts w:ascii="Times New Roman" w:cs="Times New Roman" w:eastAsia="Times New Roman" w:hAnsi="Times New Roman"/>
                  <w:sz w:val="18"/>
                  <w:szCs w:val="18"/>
                  <w:u w:val="single" w:color="auto"/>
                  <w:color w:val="0000FF"/>
                </w:rPr>
                <w:t>Balance Sheets</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Times New Roman" w:cs="Times New Roman" w:eastAsia="Times New Roman" w:hAnsi="Times New Roman"/>
                <w:sz w:val="18"/>
                <w:szCs w:val="18"/>
                <w:color w:val="0000FF"/>
                <w:w w:val="95"/>
              </w:rPr>
            </w:pPr>
            <w:hyperlink w:anchor="page190">
              <w:r>
                <w:rPr>
                  <w:rFonts w:ascii="Times New Roman" w:cs="Times New Roman" w:eastAsia="Times New Roman" w:hAnsi="Times New Roman"/>
                  <w:sz w:val="18"/>
                  <w:szCs w:val="18"/>
                  <w:color w:val="0000FF"/>
                  <w:w w:val="95"/>
                </w:rPr>
                <w:t>F-3</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60" w:type="dxa"/>
            <w:vAlign w:val="bottom"/>
          </w:tcPr>
          <w:p>
            <w:pPr>
              <w:spacing w:after="0"/>
              <w:rPr>
                <w:rFonts w:ascii="Times New Roman" w:cs="Times New Roman" w:eastAsia="Times New Roman" w:hAnsi="Times New Roman"/>
                <w:sz w:val="18"/>
                <w:szCs w:val="18"/>
                <w:u w:val="single" w:color="auto"/>
                <w:color w:val="0000FF"/>
              </w:rPr>
            </w:pPr>
            <w:hyperlink w:anchor="page192">
              <w:r>
                <w:rPr>
                  <w:rFonts w:ascii="Times New Roman" w:cs="Times New Roman" w:eastAsia="Times New Roman" w:hAnsi="Times New Roman"/>
                  <w:sz w:val="18"/>
                  <w:szCs w:val="18"/>
                  <w:u w:val="single" w:color="auto"/>
                  <w:color w:val="0000FF"/>
                </w:rPr>
                <w:t>Statements of Operations and Comprehensive Loss</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Times New Roman" w:cs="Times New Roman" w:eastAsia="Times New Roman" w:hAnsi="Times New Roman"/>
                <w:sz w:val="18"/>
                <w:szCs w:val="18"/>
                <w:color w:val="0000FF"/>
                <w:w w:val="95"/>
              </w:rPr>
            </w:pPr>
            <w:hyperlink w:anchor="page192">
              <w:r>
                <w:rPr>
                  <w:rFonts w:ascii="Times New Roman" w:cs="Times New Roman" w:eastAsia="Times New Roman" w:hAnsi="Times New Roman"/>
                  <w:sz w:val="18"/>
                  <w:szCs w:val="18"/>
                  <w:color w:val="0000FF"/>
                  <w:w w:val="95"/>
                </w:rPr>
                <w:t>F-5</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760" w:type="dxa"/>
            <w:vAlign w:val="bottom"/>
          </w:tcPr>
          <w:p>
            <w:pPr>
              <w:spacing w:after="0"/>
              <w:rPr>
                <w:rFonts w:ascii="Times New Roman" w:cs="Times New Roman" w:eastAsia="Times New Roman" w:hAnsi="Times New Roman"/>
                <w:sz w:val="18"/>
                <w:szCs w:val="18"/>
                <w:u w:val="single" w:color="auto"/>
                <w:color w:val="0000FF"/>
              </w:rPr>
            </w:pPr>
            <w:hyperlink w:anchor="page193">
              <w:r>
                <w:rPr>
                  <w:rFonts w:ascii="Times New Roman" w:cs="Times New Roman" w:eastAsia="Times New Roman" w:hAnsi="Times New Roman"/>
                  <w:sz w:val="18"/>
                  <w:szCs w:val="18"/>
                  <w:u w:val="single" w:color="auto"/>
                  <w:color w:val="0000FF"/>
                </w:rPr>
                <w:t>Statements of Changes in Stockholders’ Equity</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Times New Roman" w:cs="Times New Roman" w:eastAsia="Times New Roman" w:hAnsi="Times New Roman"/>
                <w:sz w:val="18"/>
                <w:szCs w:val="18"/>
                <w:color w:val="0000FF"/>
                <w:w w:val="95"/>
              </w:rPr>
            </w:pPr>
            <w:hyperlink w:anchor="page193">
              <w:r>
                <w:rPr>
                  <w:rFonts w:ascii="Times New Roman" w:cs="Times New Roman" w:eastAsia="Times New Roman" w:hAnsi="Times New Roman"/>
                  <w:sz w:val="18"/>
                  <w:szCs w:val="18"/>
                  <w:color w:val="0000FF"/>
                  <w:w w:val="95"/>
                </w:rPr>
                <w:t>F-6</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60" w:type="dxa"/>
            <w:vAlign w:val="bottom"/>
          </w:tcPr>
          <w:p>
            <w:pPr>
              <w:spacing w:after="0"/>
              <w:rPr>
                <w:rFonts w:ascii="Times New Roman" w:cs="Times New Roman" w:eastAsia="Times New Roman" w:hAnsi="Times New Roman"/>
                <w:sz w:val="18"/>
                <w:szCs w:val="18"/>
                <w:u w:val="single" w:color="auto"/>
                <w:color w:val="0000FF"/>
              </w:rPr>
            </w:pPr>
            <w:hyperlink w:anchor="page195">
              <w:r>
                <w:rPr>
                  <w:rFonts w:ascii="Times New Roman" w:cs="Times New Roman" w:eastAsia="Times New Roman" w:hAnsi="Times New Roman"/>
                  <w:sz w:val="18"/>
                  <w:szCs w:val="18"/>
                  <w:u w:val="single" w:color="auto"/>
                  <w:color w:val="0000FF"/>
                </w:rPr>
                <w:t>Statements of Cash Flows</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Times New Roman" w:cs="Times New Roman" w:eastAsia="Times New Roman" w:hAnsi="Times New Roman"/>
                <w:sz w:val="18"/>
                <w:szCs w:val="18"/>
                <w:color w:val="0000FF"/>
                <w:w w:val="95"/>
              </w:rPr>
            </w:pPr>
            <w:hyperlink w:anchor="page195">
              <w:r>
                <w:rPr>
                  <w:rFonts w:ascii="Times New Roman" w:cs="Times New Roman" w:eastAsia="Times New Roman" w:hAnsi="Times New Roman"/>
                  <w:sz w:val="18"/>
                  <w:szCs w:val="18"/>
                  <w:color w:val="0000FF"/>
                  <w:w w:val="95"/>
                </w:rPr>
                <w:t>F-8</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60" w:type="dxa"/>
            <w:vAlign w:val="bottom"/>
          </w:tcPr>
          <w:p>
            <w:pPr>
              <w:spacing w:after="0"/>
              <w:rPr>
                <w:rFonts w:ascii="Times New Roman" w:cs="Times New Roman" w:eastAsia="Times New Roman" w:hAnsi="Times New Roman"/>
                <w:sz w:val="18"/>
                <w:szCs w:val="18"/>
                <w:u w:val="single" w:color="auto"/>
                <w:color w:val="0000FF"/>
              </w:rPr>
            </w:pPr>
            <w:hyperlink w:anchor="page197">
              <w:r>
                <w:rPr>
                  <w:rFonts w:ascii="Times New Roman" w:cs="Times New Roman" w:eastAsia="Times New Roman" w:hAnsi="Times New Roman"/>
                  <w:sz w:val="18"/>
                  <w:szCs w:val="18"/>
                  <w:u w:val="single" w:color="auto"/>
                  <w:color w:val="0000FF"/>
                </w:rPr>
                <w:t>Notes to Financial Statements</w:t>
              </w:r>
            </w:hyperlink>
          </w:p>
        </w:tc>
        <w:tc>
          <w:tcPr>
            <w:tcW w:w="340" w:type="dxa"/>
            <w:vAlign w:val="bottom"/>
            <w:tcBorders>
              <w:bottom w:val="single" w:sz="8" w:color="0000FF"/>
            </w:tcBorders>
            <w:gridSpan w:val="3"/>
          </w:tcPr>
          <w:p>
            <w:pPr>
              <w:jc w:val="center"/>
              <w:spacing w:after="0"/>
              <w:rPr>
                <w:rFonts w:ascii="Times New Roman" w:cs="Times New Roman" w:eastAsia="Times New Roman" w:hAnsi="Times New Roman"/>
                <w:sz w:val="18"/>
                <w:szCs w:val="18"/>
                <w:color w:val="0000FF"/>
                <w:w w:val="99"/>
              </w:rPr>
            </w:pPr>
            <w:hyperlink w:anchor="page197">
              <w:r>
                <w:rPr>
                  <w:rFonts w:ascii="Times New Roman" w:cs="Times New Roman" w:eastAsia="Times New Roman" w:hAnsi="Times New Roman"/>
                  <w:sz w:val="18"/>
                  <w:szCs w:val="18"/>
                  <w:color w:val="0000FF"/>
                  <w:w w:val="99"/>
                </w:rPr>
                <w:t>F-10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100"/>
          </w:cols>
          <w:pgMar w:left="340" w:top="117" w:right="459" w:bottom="1440" w:gutter="0" w:footer="0" w:header="0"/>
        </w:sectPr>
      </w:pPr>
    </w:p>
    <w:bookmarkStart w:id="189" w:name="page190"/>
    <w:bookmarkEnd w:id="189"/>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Seer,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Seer, Inc. (the “Company”) as of December 31, 2018 and 2019, the related statements of operations and comprehensive loss,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2018 and 2019, and the results of its operations and its cash flows for each of the two years in the period ended December 31, 2019,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2020 (November 30, 2020 as to the effects of the reverse stock split as described in Note 2 and Note 14)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00"/>
          </w:cols>
          <w:pgMar w:left="320" w:top="1440" w:right="37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103,800</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receivables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receivables, related parties</w:t>
            </w:r>
          </w:p>
        </w:tc>
        <w:tc>
          <w:tcPr>
            <w:tcW w:w="38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123,325</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33,696</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93,236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133,890</w:t>
            </w: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rent, current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4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(Note 10)</w:t>
            </w: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Convertible preferred stock, $0.00001 par value; 10,994,238,</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22,173,245, and 29,026,827 shares authorized as of</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December 31, 2018 and 2019, and September 30, 2020</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(unaudited), respectively; 10,994,225, 22,173,216, and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29,026,787 shares issued and outstanding as of December</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31, 2018 and 2019, and September 30, 2020 (unaudited),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respectively; aggregate liquidation preference of $36,000,</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$108,500, and $163,500 as of December 31, 2018 and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2019, and September 30, 2020 (unaudited), respectively;</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shares issued and outstanding, pro forma (unaudited)</w:t>
            </w:r>
          </w:p>
        </w:tc>
        <w:tc>
          <w:tcPr>
            <w:tcW w:w="38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35,812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107,953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162,849</w:t>
            </w:r>
          </w:p>
        </w:tc>
        <w:tc>
          <w:tcPr>
            <w:tcW w:w="420" w:type="dxa"/>
            <w:vAlign w:val="bottom"/>
          </w:tcPr>
          <w:p>
            <w:pPr>
              <w:spacing w:after="0"/>
              <w:rPr>
                <w:sz w:val="20"/>
                <w:szCs w:val="20"/>
                <w:color w:val="auto"/>
              </w:rPr>
            </w:pPr>
          </w:p>
        </w:tc>
        <w:tc>
          <w:tcPr>
            <w:tcW w:w="1240" w:type="dxa"/>
            <w:vAlign w:val="bottom"/>
            <w:vMerge w:val="restart"/>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0"/>
        </w:trPr>
        <w:tc>
          <w:tcPr>
            <w:tcW w:w="4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17"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$0.00001 par value; 28,037,383,</w:t>
            </w: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42,757,009, and 56,074,766 shares authorized as of</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December 31, 2018 and 2019, and September 30, 2020</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(unaudited), respectively; 2,858,902, 2,847,893, and</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3,296,556 shares issued and outstanding as of December</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31, 2018 and 2019, and September 30, 2020 (unaudited),</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respectively; 32,323,343 shares issued and outstanding as</w:t>
            </w:r>
          </w:p>
        </w:tc>
        <w:tc>
          <w:tcPr>
            <w:tcW w:w="5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of September 30, 2020, pro forma (unaudited)</w:t>
            </w:r>
          </w:p>
        </w:tc>
        <w:tc>
          <w:tcPr>
            <w:tcW w:w="5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w w:val="99"/>
              </w:rPr>
              <w:t>Class B common stock, $0.00001 par value; 9,345,794 shares</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authorized as of December 31, 2018 and 2019, and</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September 30, 2020 (unaudited), respectively; 9,345,784</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shares issued and outstanding as of December 31, 2018</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and 2019, and September 30, 2020 (unaudited),</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respectively; 9,345,784 shares issued and outstanding as of</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September 30, 2020, pro forma (unaudited)</w:t>
            </w:r>
          </w:p>
        </w:tc>
        <w:tc>
          <w:tcPr>
            <w:tcW w:w="560" w:type="dxa"/>
            <w:vAlign w:val="bottom"/>
          </w:tcPr>
          <w:p>
            <w:pPr>
              <w:spacing w:after="0"/>
              <w:rPr>
                <w:sz w:val="20"/>
                <w:szCs w:val="20"/>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0"/>
        </w:trPr>
        <w:tc>
          <w:tcPr>
            <w:tcW w:w="4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167,993</w:t>
            </w: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0" w:type="dxa"/>
            <w:vAlign w:val="bottom"/>
          </w:tcPr>
          <w:p>
            <w:pPr>
              <w:spacing w:after="0"/>
              <w:rPr>
                <w:sz w:val="1"/>
                <w:szCs w:val="1"/>
                <w:color w:val="auto"/>
              </w:rPr>
            </w:pPr>
          </w:p>
        </w:tc>
      </w:tr>
      <w:tr>
        <w:trPr>
          <w:trHeight w:val="263"/>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29,975</w:t>
            </w: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87,679</w:t>
            </w: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125,536</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125,536</w:t>
            </w:r>
          </w:p>
        </w:tc>
        <w:tc>
          <w:tcPr>
            <w:tcW w:w="0" w:type="dxa"/>
            <w:vAlign w:val="bottom"/>
          </w:tcPr>
          <w:p>
            <w:pPr>
              <w:spacing w:after="0"/>
              <w:rPr>
                <w:sz w:val="1"/>
                <w:szCs w:val="1"/>
                <w:color w:val="auto"/>
              </w:rPr>
            </w:pPr>
          </w:p>
        </w:tc>
      </w:tr>
      <w:tr>
        <w:trPr>
          <w:trHeight w:val="45"/>
        </w:trPr>
        <w:tc>
          <w:tcPr>
            <w:tcW w:w="47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60" w:type="dxa"/>
            <w:vAlign w:val="bottom"/>
            <w:tcBorders>
              <w:top w:val="single" w:sz="8" w:color="CCEEFF"/>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117"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Statements of Operations and Comprehensive Loss</w:t>
      </w:r>
    </w:p>
    <w:p>
      <w:pPr>
        <w:spacing w:after="0" w:line="2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24765</wp:posOffset>
            </wp:positionV>
            <wp:extent cx="20485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40"/>
        <w:spacing w:after="0"/>
        <w:tabs>
          <w:tab w:leader="none" w:pos="698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24765</wp:posOffset>
            </wp:positionV>
            <wp:extent cx="20485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24765</wp:posOffset>
            </wp:positionV>
            <wp:extent cx="20485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10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24765</wp:posOffset>
            </wp:positionV>
            <wp:extent cx="20485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61" w:lineRule="exact"/>
        <w:rPr>
          <w:sz w:val="20"/>
          <w:szCs w:val="20"/>
          <w:color w:val="auto"/>
        </w:rPr>
      </w:pPr>
    </w:p>
    <w:p>
      <w:pPr>
        <w:sectPr>
          <w:pgSz w:w="11900" w:h="16838" w:orient="portrait"/>
          <w:cols w:equalWidth="0" w:num="2">
            <w:col w:w="7840" w:space="720"/>
            <w:col w:w="2680"/>
          </w:cols>
          <w:pgMar w:left="320" w:top="11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revenue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 revenue</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50"/>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(20,608)</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7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w:t>
            </w: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income</w:t>
            </w:r>
          </w:p>
        </w:tc>
        <w:tc>
          <w:tcPr>
            <w:tcW w:w="4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gridSpan w:val="2"/>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54"/>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440" w:type="dxa"/>
            <w:vAlign w:val="bottom"/>
            <w:vMerge w:val="continue"/>
            <w:shd w:val="clear" w:color="auto" w:fill="CCEEFF"/>
          </w:tcPr>
          <w:p>
            <w:pPr>
              <w:spacing w:after="0"/>
              <w:rPr>
                <w:sz w:val="22"/>
                <w:szCs w:val="22"/>
                <w:color w:val="auto"/>
              </w:rPr>
            </w:pPr>
          </w:p>
        </w:tc>
        <w:tc>
          <w:tcPr>
            <w:tcW w:w="11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vMerge w:val="continue"/>
            <w:shd w:val="clear" w:color="auto" w:fill="CCEEFF"/>
          </w:tcPr>
          <w:p>
            <w:pPr>
              <w:spacing w:after="0"/>
              <w:rPr>
                <w:sz w:val="22"/>
                <w:szCs w:val="22"/>
                <w:color w:val="auto"/>
              </w:rPr>
            </w:pPr>
          </w:p>
        </w:tc>
        <w:tc>
          <w:tcPr>
            <w:tcW w:w="1140" w:type="dxa"/>
            <w:vAlign w:val="bottom"/>
            <w:vMerge w:val="continue"/>
            <w:shd w:val="clear" w:color="auto" w:fill="CCEEFF"/>
          </w:tcPr>
          <w:p>
            <w:pPr>
              <w:spacing w:after="0"/>
              <w:rPr>
                <w:sz w:val="22"/>
                <w:szCs w:val="22"/>
                <w:color w:val="auto"/>
              </w:rPr>
            </w:pPr>
          </w:p>
        </w:tc>
        <w:tc>
          <w:tcPr>
            <w:tcW w:w="540" w:type="dxa"/>
            <w:vAlign w:val="bottom"/>
            <w:gridSpan w:val="2"/>
            <w:vMerge w:val="continue"/>
            <w:shd w:val="clear" w:color="auto" w:fill="CCEEFF"/>
          </w:tcPr>
          <w:p>
            <w:pPr>
              <w:spacing w:after="0"/>
              <w:rPr>
                <w:sz w:val="22"/>
                <w:szCs w:val="22"/>
                <w:color w:val="auto"/>
              </w:rPr>
            </w:pPr>
          </w:p>
        </w:tc>
        <w:tc>
          <w:tcPr>
            <w:tcW w:w="11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vMerge w:val="continue"/>
            <w:shd w:val="clear" w:color="auto" w:fill="CCEEFF"/>
          </w:tcPr>
          <w:p>
            <w:pPr>
              <w:spacing w:after="0"/>
              <w:rPr>
                <w:sz w:val="22"/>
                <w:szCs w:val="22"/>
                <w:color w:val="auto"/>
              </w:rPr>
            </w:pPr>
          </w:p>
        </w:tc>
        <w:tc>
          <w:tcPr>
            <w:tcW w:w="114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3,973,329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6,952,419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6,536,307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9,709,501</w:t>
            </w:r>
          </w:p>
        </w:tc>
        <w:tc>
          <w:tcPr>
            <w:tcW w:w="0" w:type="dxa"/>
            <w:vAlign w:val="bottom"/>
          </w:tcPr>
          <w:p>
            <w:pPr>
              <w:spacing w:after="0"/>
              <w:rPr>
                <w:sz w:val="1"/>
                <w:szCs w:val="1"/>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Pro forma net loss per common share, basic and diluted</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(unaudited)</w:t>
            </w:r>
          </w:p>
        </w:tc>
        <w:tc>
          <w:tcPr>
            <w:tcW w:w="4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Pro forma weighted-average common shares used to compute</w:t>
            </w:r>
          </w:p>
        </w:tc>
        <w:tc>
          <w:tcPr>
            <w:tcW w:w="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net loss per common share (unaudited)</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21,454,787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35,409,555</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17" w:right="339" w:bottom="1440" w:gutter="0" w:footer="0" w:header="0"/>
          <w:type w:val="continuous"/>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80" w:type="dxa"/>
            <w:vAlign w:val="bottom"/>
          </w:tcPr>
          <w:p>
            <w:pPr>
              <w:spacing w:after="0"/>
              <w:rPr>
                <w:sz w:val="14"/>
                <w:szCs w:val="14"/>
                <w:color w:val="auto"/>
              </w:rPr>
            </w:pPr>
          </w:p>
        </w:tc>
        <w:tc>
          <w:tcPr>
            <w:tcW w:w="198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4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3,087,468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10,461,439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5,715</w:t>
            </w:r>
          </w:p>
        </w:tc>
        <w:tc>
          <w:tcPr>
            <w:tcW w:w="0" w:type="dxa"/>
            <w:vAlign w:val="bottom"/>
          </w:tcPr>
          <w:p>
            <w:pPr>
              <w:spacing w:after="0"/>
              <w:rPr>
                <w:sz w:val="1"/>
                <w:szCs w:val="1"/>
                <w:color w:val="auto"/>
              </w:rPr>
            </w:pPr>
          </w:p>
        </w:tc>
      </w:tr>
      <w:tr>
        <w:trPr>
          <w:trHeight w:val="162"/>
        </w:trPr>
        <w:tc>
          <w:tcPr>
            <w:tcW w:w="30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Class A common stock from</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845,710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exercise of options</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restricted Class A common</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early exercised stock options and</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restricted common stock</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Series B convertible preferred</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7,906,757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29,894</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29,894</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 net of issuance costs of $106</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(6,307)</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(6,307)</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10,994,225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35,812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12,204,686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29,975</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6"/>
                <w:szCs w:val="16"/>
                <w:color w:val="auto"/>
              </w:rPr>
              <w:t>Issuance of Class A common stock from</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133,850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exercise of options</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Class A common stock</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Vesting of early exercised stock options and</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restricted common stock</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Series C convertible preferred</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3,271,023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17,347</w:t>
            </w:r>
          </w:p>
        </w:tc>
        <w:tc>
          <w:tcPr>
            <w:tcW w:w="8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17,347</w:t>
            </w:r>
          </w:p>
        </w:tc>
        <w:tc>
          <w:tcPr>
            <w:tcW w:w="0" w:type="dxa"/>
            <w:vAlign w:val="bottom"/>
          </w:tcPr>
          <w:p>
            <w:pPr>
              <w:spacing w:after="0"/>
              <w:rPr>
                <w:sz w:val="1"/>
                <w:szCs w:val="1"/>
                <w:color w:val="auto"/>
              </w:rPr>
            </w:pPr>
          </w:p>
        </w:tc>
      </w:tr>
      <w:tr>
        <w:trPr>
          <w:trHeight w:val="213"/>
        </w:trPr>
        <w:tc>
          <w:tcPr>
            <w:tcW w:w="3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 net of issuance costs of $153</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Series D convertible preferred</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7,849,737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54,389</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54,389</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 net of issuance costs of $206</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Series D convertible preferred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stock upon extinguishment of convertible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58,231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3"/>
        </w:trPr>
        <w:tc>
          <w:tcPr>
            <w:tcW w:w="3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notes</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(16,038)</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(16,038)</w:t>
            </w:r>
          </w:p>
        </w:tc>
        <w:tc>
          <w:tcPr>
            <w:tcW w:w="0" w:type="dxa"/>
            <w:vAlign w:val="bottom"/>
          </w:tcPr>
          <w:p>
            <w:pPr>
              <w:spacing w:after="0"/>
              <w:rPr>
                <w:sz w:val="1"/>
                <w:szCs w:val="1"/>
                <w:color w:val="auto"/>
              </w:rPr>
            </w:pPr>
          </w:p>
        </w:tc>
      </w:tr>
      <w:tr>
        <w:trPr>
          <w:trHeight w:val="239"/>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2019</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22,173,216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107,953</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12,193,677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8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87,679</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17"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80" w:type="dxa"/>
            <w:vAlign w:val="bottom"/>
          </w:tcPr>
          <w:p>
            <w:pPr>
              <w:spacing w:after="0"/>
              <w:rPr>
                <w:sz w:val="14"/>
                <w:szCs w:val="14"/>
                <w:color w:val="auto"/>
              </w:rPr>
            </w:pPr>
          </w:p>
        </w:tc>
        <w:tc>
          <w:tcPr>
            <w:tcW w:w="198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4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10,994,225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35,812</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12,204,686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29,975</w:t>
            </w:r>
          </w:p>
        </w:tc>
        <w:tc>
          <w:tcPr>
            <w:tcW w:w="0" w:type="dxa"/>
            <w:vAlign w:val="bottom"/>
          </w:tcPr>
          <w:p>
            <w:pPr>
              <w:spacing w:after="0"/>
              <w:rPr>
                <w:sz w:val="1"/>
                <w:szCs w:val="1"/>
                <w:color w:val="auto"/>
              </w:rPr>
            </w:pPr>
          </w:p>
        </w:tc>
      </w:tr>
      <w:tr>
        <w:trPr>
          <w:trHeight w:val="162"/>
        </w:trPr>
        <w:tc>
          <w:tcPr>
            <w:tcW w:w="30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Class A common stock from</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126,560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exercise of options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Repurchase of Class A common stock</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(144,859)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(unaudited)</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early exercised stock options and</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3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restricted common stock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Series C convertible preferred</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6"/>
                <w:szCs w:val="16"/>
                <w:color w:val="auto"/>
              </w:rPr>
              <w:t>stock, net of issuance costs of $153</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3,271,023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17,347</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17,347</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(unaudited)</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(unaudited)</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(unaudited)</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40"/>
        </w:trPr>
        <w:tc>
          <w:tcPr>
            <w:tcW w:w="3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loss (unaudited)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(10,892)</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(10,892)</w:t>
            </w:r>
          </w:p>
        </w:tc>
        <w:tc>
          <w:tcPr>
            <w:tcW w:w="0" w:type="dxa"/>
            <w:vAlign w:val="bottom"/>
          </w:tcPr>
          <w:p>
            <w:pPr>
              <w:spacing w:after="0"/>
              <w:rPr>
                <w:sz w:val="1"/>
                <w:szCs w:val="1"/>
                <w:color w:val="auto"/>
              </w:rPr>
            </w:pPr>
          </w:p>
        </w:tc>
      </w:tr>
      <w:tr>
        <w:trPr>
          <w:trHeight w:val="26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2019 (unaudited)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14,265,248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53,159</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12,186,387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22,173,216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107,953</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12,193,677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87,679</w:t>
            </w:r>
          </w:p>
        </w:tc>
        <w:tc>
          <w:tcPr>
            <w:tcW w:w="0" w:type="dxa"/>
            <w:vAlign w:val="bottom"/>
          </w:tcPr>
          <w:p>
            <w:pPr>
              <w:spacing w:after="0"/>
              <w:rPr>
                <w:sz w:val="1"/>
                <w:szCs w:val="1"/>
                <w:color w:val="auto"/>
              </w:rPr>
            </w:pPr>
          </w:p>
        </w:tc>
      </w:tr>
      <w:tr>
        <w:trPr>
          <w:trHeight w:val="162"/>
        </w:trPr>
        <w:tc>
          <w:tcPr>
            <w:tcW w:w="30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Class A common stock from</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663,908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3"/>
        </w:trPr>
        <w:tc>
          <w:tcPr>
            <w:tcW w:w="3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exercise of options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Repurchase of Class A common stock</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(215,245)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(unaudited)</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early exercised stock options and</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3"/>
        </w:trPr>
        <w:tc>
          <w:tcPr>
            <w:tcW w:w="3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restricted common stock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Series D-1 convertible preferred</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6"/>
                <w:szCs w:val="16"/>
                <w:color w:val="auto"/>
              </w:rPr>
              <w:t>stock, net of issuance costs of $104</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6,853,571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54,896</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54,896</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(unaudited)</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Distribution of PrognomIQ shares</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(unaudited)</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(unaudited)</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(unaudited)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(19,839)</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(19,839)</w:t>
            </w:r>
          </w:p>
        </w:tc>
        <w:tc>
          <w:tcPr>
            <w:tcW w:w="0" w:type="dxa"/>
            <w:vAlign w:val="bottom"/>
          </w:tcPr>
          <w:p>
            <w:pPr>
              <w:spacing w:after="0"/>
              <w:rPr>
                <w:sz w:val="1"/>
                <w:szCs w:val="1"/>
                <w:color w:val="auto"/>
              </w:rPr>
            </w:pPr>
          </w:p>
        </w:tc>
      </w:tr>
      <w:tr>
        <w:trPr>
          <w:trHeight w:val="239"/>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2020 (unaudited)</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29,026,787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162,849</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12,642,340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4,969</w:t>
            </w:r>
          </w:p>
        </w:tc>
        <w:tc>
          <w:tcPr>
            <w:tcW w:w="8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(42,425)</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125,536</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117" w:right="339" w:bottom="1440" w:gutter="0" w:footer="0" w:header="0"/>
        </w:sectPr>
      </w:pPr>
    </w:p>
    <w:bookmarkStart w:id="195" w:name="page196"/>
    <w:bookmarkEnd w:id="1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33655</wp:posOffset>
            </wp:positionV>
            <wp:extent cx="2040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9" w:lineRule="exact"/>
        <w:rPr>
          <w:sz w:val="20"/>
          <w:szCs w:val="20"/>
          <w:color w:val="auto"/>
        </w:rPr>
      </w:pPr>
    </w:p>
    <w:p>
      <w:pPr>
        <w:ind w:left="5340"/>
        <w:spacing w:after="0"/>
        <w:tabs>
          <w:tab w:leader="none" w:pos="698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33655</wp:posOffset>
            </wp:positionV>
            <wp:extent cx="20485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9" w:lineRule="exact"/>
        <w:rPr>
          <w:sz w:val="20"/>
          <w:szCs w:val="20"/>
          <w:color w:val="auto"/>
        </w:rPr>
      </w:pPr>
    </w:p>
    <w:p>
      <w:pPr>
        <w:ind w:left="10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55" w:lineRule="exact"/>
        <w:rPr>
          <w:sz w:val="20"/>
          <w:szCs w:val="20"/>
          <w:color w:val="auto"/>
        </w:rPr>
      </w:pPr>
    </w:p>
    <w:p>
      <w:pPr>
        <w:sectPr>
          <w:pgSz w:w="11900" w:h="16838" w:orient="portrait"/>
          <w:cols w:equalWidth="0" w:num="2">
            <w:col w:w="7840" w:space="720"/>
            <w:col w:w="26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(19,839)</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w:t>
            </w:r>
          </w:p>
        </w:tc>
        <w:tc>
          <w:tcPr>
            <w:tcW w:w="0" w:type="dxa"/>
            <w:vAlign w:val="bottom"/>
          </w:tcPr>
          <w:p>
            <w:pPr>
              <w:spacing w:after="0"/>
              <w:rPr>
                <w:sz w:val="1"/>
                <w:szCs w:val="1"/>
                <w:color w:val="auto"/>
              </w:rPr>
            </w:pPr>
          </w:p>
        </w:tc>
      </w:tr>
      <w:tr>
        <w:trPr>
          <w:trHeight w:val="193"/>
        </w:trPr>
        <w:tc>
          <w:tcPr>
            <w:tcW w:w="4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amortization of premium (accretion of discount) on available-for-sale</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securities</w:t>
            </w:r>
          </w:p>
        </w:tc>
        <w:tc>
          <w:tcPr>
            <w:tcW w:w="6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93"/>
        </w:trPr>
        <w:tc>
          <w:tcPr>
            <w:tcW w:w="4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Non-cash interest expense and other adjustments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receivables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93"/>
        </w:trPr>
        <w:tc>
          <w:tcPr>
            <w:tcW w:w="4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assets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3"/>
        </w:trPr>
        <w:tc>
          <w:tcPr>
            <w:tcW w:w="4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revenue</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rent</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193"/>
        </w:trPr>
        <w:tc>
          <w:tcPr>
            <w:tcW w:w="4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Accrued expenses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6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6"/>
        </w:trPr>
        <w:tc>
          <w:tcPr>
            <w:tcW w:w="4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(13,073)</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(15,343)</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6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(4,407)</w:t>
            </w: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available-for-sale securities</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(92,002)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(42,265)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(75,624)</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maturities of available-for-sale securities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40,250</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equity method investee</w:t>
            </w:r>
          </w:p>
        </w:tc>
        <w:tc>
          <w:tcPr>
            <w:tcW w:w="6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6"/>
        </w:trPr>
        <w:tc>
          <w:tcPr>
            <w:tcW w:w="4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(72,383)</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(28,550)</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(39,831)</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restricted stock</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Class A common stock</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35"/>
        </w:trPr>
        <w:tc>
          <w:tcPr>
            <w:tcW w:w="47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Proceeds from exercise of Class A common stock options including early</w:t>
            </w:r>
          </w:p>
        </w:tc>
        <w:tc>
          <w:tcPr>
            <w:tcW w:w="6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0" w:type="dxa"/>
            <w:vAlign w:val="bottom"/>
          </w:tcPr>
          <w:p>
            <w:pPr>
              <w:spacing w:after="0"/>
              <w:rPr>
                <w:sz w:val="1"/>
                <w:szCs w:val="1"/>
                <w:color w:val="auto"/>
              </w:rPr>
            </w:pPr>
          </w:p>
        </w:tc>
      </w:tr>
      <w:tr>
        <w:trPr>
          <w:trHeight w:val="189"/>
        </w:trPr>
        <w:tc>
          <w:tcPr>
            <w:tcW w:w="4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exercised options</w:t>
            </w:r>
          </w:p>
        </w:tc>
        <w:tc>
          <w:tcPr>
            <w:tcW w:w="6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Series B convertible preferred stock, net of issuance</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costs</w:t>
            </w: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29,894</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Series C convertible preferred stock, net of issuance</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Series D convertible preferred stock, net of issuance</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costs</w:t>
            </w:r>
          </w:p>
        </w:tc>
        <w:tc>
          <w:tcPr>
            <w:tcW w:w="6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54,584</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Series D-1 convertible preferred stock, net of</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costs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54,896</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convertible notes</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of deferred offering costs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29,945</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72,331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55,395</w:t>
            </w:r>
          </w:p>
        </w:tc>
        <w:tc>
          <w:tcPr>
            <w:tcW w:w="0" w:type="dxa"/>
            <w:vAlign w:val="bottom"/>
          </w:tcPr>
          <w:p>
            <w:pPr>
              <w:spacing w:after="0"/>
              <w:rPr>
                <w:sz w:val="1"/>
                <w:szCs w:val="1"/>
                <w:color w:val="auto"/>
              </w:rPr>
            </w:pPr>
          </w:p>
        </w:tc>
      </w:tr>
      <w:tr>
        <w:trPr>
          <w:trHeight w:val="186"/>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25,126</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(13,125)</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(20,453)</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17,828</w:t>
            </w: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30,953</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17,828</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18,049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17" w:right="339" w:bottom="1440" w:gutter="0" w:footer="0" w:header="0"/>
          <w:type w:val="continuous"/>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434340</wp:posOffset>
            </wp:positionV>
            <wp:extent cx="41490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4"/>
          <w:szCs w:val="14"/>
          <w:b w:val="1"/>
          <w:bCs w:val="1"/>
          <w:color w:val="auto"/>
        </w:rPr>
        <w:t>FINANCING ACTIVITIES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purchases included in accounts payable</w:t>
            </w: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w:t>
            </w:r>
          </w:p>
        </w:tc>
        <w:tc>
          <w:tcPr>
            <w:tcW w:w="100" w:type="dxa"/>
            <w:vAlign w:val="bottom"/>
          </w:tcPr>
          <w:p>
            <w:pPr>
              <w:spacing w:after="0"/>
              <w:rPr>
                <w:sz w:val="18"/>
                <w:szCs w:val="18"/>
                <w:color w:val="auto"/>
              </w:rPr>
            </w:pPr>
          </w:p>
        </w:tc>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8"/>
                <w:szCs w:val="18"/>
                <w:color w:val="auto"/>
              </w:rPr>
            </w:pP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purchases included in accrued expenses</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3"/>
        </w:trPr>
        <w:tc>
          <w:tcPr>
            <w:tcW w:w="4700" w:type="dxa"/>
            <w:vAlign w:val="bottom"/>
          </w:tcPr>
          <w:p>
            <w:pPr>
              <w:ind w:left="20"/>
              <w:spacing w:after="0" w:line="113" w:lineRule="exact"/>
              <w:rPr>
                <w:sz w:val="20"/>
                <w:szCs w:val="20"/>
                <w:color w:val="auto"/>
              </w:rPr>
            </w:pPr>
            <w:r>
              <w:rPr>
                <w:rFonts w:ascii="Times New Roman" w:cs="Times New Roman" w:eastAsia="Times New Roman" w:hAnsi="Times New Roman"/>
                <w:sz w:val="13"/>
                <w:szCs w:val="13"/>
                <w:color w:val="auto"/>
              </w:rPr>
              <w:t>Issuance of Series D convertible preferred stock upon extinguishment of</w:t>
            </w:r>
          </w:p>
        </w:tc>
        <w:tc>
          <w:tcPr>
            <w:tcW w:w="64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9"/>
                <w:szCs w:val="9"/>
                <w:color w:val="auto"/>
              </w:rPr>
            </w:pPr>
          </w:p>
        </w:tc>
        <w:tc>
          <w:tcPr>
            <w:tcW w:w="72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4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convertible notes</w:t>
            </w:r>
          </w:p>
        </w:tc>
        <w:tc>
          <w:tcPr>
            <w:tcW w:w="6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preferred stock issuance costs included in accrued expenses</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Tenant improvements paid by landlord</w:t>
            </w: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00" w:type="dxa"/>
            <w:vAlign w:val="bottom"/>
          </w:tcPr>
          <w:p>
            <w:pPr>
              <w:spacing w:after="0"/>
              <w:rPr>
                <w:sz w:val="16"/>
                <w:szCs w:val="16"/>
                <w:color w:val="auto"/>
              </w:rPr>
            </w:pP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offering costs in accounts payable</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offering costs in accrued expenses</w:t>
            </w: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17" w:right="339"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THE BUSINESS</w:t>
      </w:r>
    </w:p>
    <w:p>
      <w:pPr>
        <w:spacing w:after="0" w:line="175"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Seer, Inc. (the Company) was incorporated in Delaware on March 16, 2017, and is based in Redwood City, California. The Company is a life sciences company focused on capturing deep molecular insights from the proteome to enable novel insights and breakthroughs in the understanding of biology and disease. Since inception, the Company has devoted its efforts principally to research and development of its technology and product candidates, recruiting management and technical staff, acquiring operating assets, and raising capital.</w:t>
      </w:r>
    </w:p>
    <w:p>
      <w:pPr>
        <w:spacing w:after="0" w:line="12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early-stage life science companies, including, but not limited to, raising additional capital, development and commercialization of its products, development by its competitors of new technological innovations, protection of its intellectual property, and market acceptance of its products.</w:t>
      </w:r>
    </w:p>
    <w:p>
      <w:pPr>
        <w:spacing w:after="0" w:line="122"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The accompanying financial statements have been prepared assuming the Company will continue as a going concern, which contemplates the realization of assets and liabilities and commitments in the normal course of business. In the course of its development activities, the Company has incurred significant losses since inception, including a net loss of approximately $6.3 million and $16.0 million for the years ended December 31, 2018 and 2019, respectively, and a net loss of approximately $10.9 million and $19.8 million during the nine months ended September 30, 2019 and 2020 (unaudited), respectively, and expects net losses to continue for the foreseeable future. As of December 31, 2018 and 2019, and September 30, 2020 (unaudited), the Company’s accumulated deficit was approximately $6.5 million, $22.6 million, and $42.4 millions, respectively. To date, the Company has funded its operations primarily through issuances of convertible preferred stock. Management believes that currently available resources will provide sufficient funds to enable the Company to meet its obligations for at least one year past the issuance date of these financial statements. Future capital requirements will depend on many factors, including the timing and extent of spending on research and development and the market acceptance of the Company’s products.</w:t>
      </w:r>
    </w:p>
    <w:p>
      <w:pPr>
        <w:spacing w:after="0" w:line="11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Company’s ability to fund its operations will require additional capital to be raised, which may be through a combination of public equity or private offerings, debt financings, collaborations, strategic alliances, licensing arrangements, and other marketing distribution arrangements.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 and on the Company’s future financial results, financial position, and cash flows.</w:t>
      </w:r>
    </w:p>
    <w:p>
      <w:pPr>
        <w:spacing w:after="0" w:line="129"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BASIS OF PRESENTATION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75"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In November 2020, the Company’s board of directors approved an amended and restated certificate of incorporation to effect a reverse split of shares of the Company’s common stock and convertible preferred stock on a 1-for-2.14 basis (the “Reverse Stock Split”)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financial statements have been retrospectively adjusted to reflect the effect of the Reverse Stock Split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20"/>
          </w:cols>
          <w:pgMar w:left="320" w:top="117" w:right="359"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but not limited to, those related to the fair value of common stock, stock-based compensation, accrued research and development expenses, useful lives and valuation of property and equipment, income tax uncertainties, and tax valuation allowances.</w:t>
      </w:r>
    </w:p>
    <w:p>
      <w:pPr>
        <w:spacing w:after="0" w:line="1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Information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Unaudited Pro Forma Balance Sheet</w:t>
      </w:r>
    </w:p>
    <w:p>
      <w:pPr>
        <w:spacing w:after="0" w:line="17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balance sheet information as of September 30, 2020, assumes all shares of convertible preferred stock had automatically converted into an aggregate of 29,026,787 shares of the Company’s Class A common stock upon the completion of a qualifying initial public offering (IPO). The unaudited pro forma balance sheet does not include the shares of Class A common stock expected to be sold in, and the related proceeds to be received from, the IPO.</w:t>
      </w:r>
    </w:p>
    <w:p>
      <w:pPr>
        <w:spacing w:after="0" w:line="126" w:lineRule="exact"/>
        <w:rPr>
          <w:sz w:val="20"/>
          <w:szCs w:val="20"/>
          <w:color w:val="auto"/>
        </w:rPr>
      </w:pPr>
    </w:p>
    <w:p>
      <w:pPr>
        <w:ind w:right="160" w:firstLine="324"/>
        <w:spacing w:after="0" w:line="281" w:lineRule="auto"/>
        <w:rPr>
          <w:sz w:val="20"/>
          <w:szCs w:val="20"/>
          <w:color w:val="auto"/>
        </w:rPr>
      </w:pPr>
      <w:r>
        <w:rPr>
          <w:rFonts w:ascii="Times New Roman" w:cs="Times New Roman" w:eastAsia="Times New Roman" w:hAnsi="Times New Roman"/>
          <w:sz w:val="17"/>
          <w:szCs w:val="17"/>
          <w:color w:val="auto"/>
        </w:rPr>
        <w:t>The Company granted certain employees RSUs, which vest upon satisfaction of both a service condition and a performance condition that is satisfied upon the closing of the IPO. Assuming the IPO occurred on September 30, 2020, the unaudited pro forma balance sheet assumes the recognition of stock-based compensation of $0.2 million associated with such RSUs as an increase to additional paid-in capital and accumulated deficit. No RSUs have been included in the unaudited pro forma balance sheet disclosure of shares outstanding as the awards do not begin vesting until the closing of the IPO.</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Unaudited Pro Forma Net Loss Per Share</w:t>
      </w:r>
    </w:p>
    <w:p>
      <w:pPr>
        <w:spacing w:after="0" w:line="17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Pro forma basic and diluted net loss per common share has been computed to give effect to the conversion of all outstanding convertible preferred stock into shares of Class A common stock as if the conversion had occurred on the later of the beginning of the period or the issuance date of the convertible preferred stock. The unaudited pro forma net loss per common share does not include the shares of Class A common stock expected to be sold in, and related proceeds to be received from, the IPO.</w:t>
      </w:r>
    </w:p>
    <w:p>
      <w:pPr>
        <w:spacing w:after="0" w:line="12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numerator in the pro forma basic and diluted net loss per common share calculation has not been adjusted for stock-based compensation associated with the RSUs, which would have been $0.2 million had the IPO occurred on September 30, 2020. There is no adjustment to the denominator for the RSUs as no awards would have vested as of September 30, 2020 had the IPO occurred on the later of the beginning of the period or the issuance date of the RSUs.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accompanying interim balance sheet as of September 30, 2020, the interim statements of operations and comprehensive loss, statements of changes in stockholders’ equity and statements of cash flows for the nine months ended September 30, 2019 and 2020 and the related footnote disclosures are unaudited. The unaudited interim financial statements have been prepared on the same basis as the annual financial statements and include, in the opinion of management, all adjustments, consisting of normal recurring adjustments, that are necessary for the fair presentation of the Company’s financial position as of September 30, 2020 and results of operations and cash flows for the nine months ended September 30, 2019 and 2020. The results as of and for the nine months ended September 30, 2020 are not necessarily indicative of the results to be expected for the year ending December 31, 2020 or any other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17" w:right="339" w:bottom="1440" w:gutter="0" w:footer="0" w:header="0"/>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and available-for-sale securities.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recorded in the balance sheets.</w:t>
      </w:r>
    </w:p>
    <w:p>
      <w:pPr>
        <w:spacing w:after="0" w:line="126"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early-stage life science companies, including, but not limited to, the need to obtain adequate additional funding, its reliance on third parties to obtain its clinical samples, competitors developing new technological innovations, the need to successfully commercialize and gain market acceptance of the Company’s products, protection of its proprietary technology, and the need to secure and maintain adequate manufacturing arrangements with third parties. If the Company does not successfully commercialize or partner any of its products, it will be unable to generate product revenue or achieve profitability.</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Pandemic</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COVID-19 pandemic (COVID-19), the Company’s operations experienced disruptions and restrictions on employees’ ability to work and on the hiring of additional personnel,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have been similarly impacted by COVID-19, which may limit the Company’s ability to achieve its planned progress. COVID-19 has adversely affected the broader economy and financial markets, resulting in an economic downturn that could affect the Company’s financing prospects. Continued disruptions from COVID-19 could harm the Company’s operations and the Company cannot anticipate all the ways in which it could be adversely impacted by health epidemics such as COVID-19.</w:t>
      </w:r>
    </w:p>
    <w:p>
      <w:pPr>
        <w:spacing w:after="0" w:line="135" w:lineRule="exact"/>
        <w:rPr>
          <w:sz w:val="20"/>
          <w:szCs w:val="20"/>
          <w:color w:val="auto"/>
        </w:rPr>
      </w:pPr>
    </w:p>
    <w:p>
      <w:pPr>
        <w:ind w:right="300" w:firstLine="324"/>
        <w:spacing w:after="0" w:line="281" w:lineRule="auto"/>
        <w:rPr>
          <w:sz w:val="20"/>
          <w:szCs w:val="20"/>
          <w:color w:val="auto"/>
        </w:rPr>
      </w:pPr>
      <w:r>
        <w:rPr>
          <w:rFonts w:ascii="Times New Roman" w:cs="Times New Roman" w:eastAsia="Times New Roman" w:hAnsi="Times New Roman"/>
          <w:sz w:val="17"/>
          <w:szCs w:val="17"/>
          <w:color w:val="auto"/>
        </w:rPr>
        <w:t>The COVID-19 pandemic has mainly impacted the progress of research and development activities due to the limited ability of the Company’s employees to access laboratories during times of statewide quarantine and on some of its suppliers who have experienced a surge in demand for their products resulting in supply delays for critical hardware, instrumentation and medical and testing supplies used for product development. The Company continues to monitor and assess the effects of the COVID-19 pandemic on its business, financial condition, results of operations and cash flows.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 and Voting Interest Entities</w:t>
      </w:r>
    </w:p>
    <w:p>
      <w:pPr>
        <w:spacing w:after="0" w:line="17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Company consolidates those entities in which it has direct, or indirect controlling financial interest based on either the Variable Interest Entity (VIE) model or the Voting Interest Entity (VOE) model.</w:t>
      </w:r>
    </w:p>
    <w:p>
      <w:pPr>
        <w:spacing w:after="0" w:line="10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VIEs are primarily entities that, by design, either lack sufficient equity-at-risk to finance their activities without additional subordinated financial support from other parties or whose equity-at-risk holders, as a group, lack one or more of the following characteristics: (i) direct or indirect ability to make decisions (ii) obligation to absorb expected losses or (iii) right to receive expected residual returns. VIEs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of a VIE is required to consolidate the assets and liabilities of the VIE. To determine a VIE’s primary beneficiary, the Company performs a qualitative assessment to determine which party, if any, has the power to direct activities of the VIE and the obligation to absorb its losses or receive its benefits. This assessment involves identifying the activities that most significantly impact the VIE’s economic performance and determining whether the Company, or another party, have the power to direct those activities.</w:t>
      </w:r>
    </w:p>
    <w:p>
      <w:pPr>
        <w:spacing w:after="0" w:line="134"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To assess whether the Company has the power to direct the activities of a VIE that most significantly impact the VIE’s economic performance, the Company considers all the facts and circumstances, including its role in establishing the VIE and its ongoing rights and responsibilities. In general, the parties that make the most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17" w:right="339" w:bottom="1440" w:gutter="0" w:footer="0" w:header="0"/>
        </w:sectPr>
      </w:pPr>
    </w:p>
    <w:bookmarkStart w:id="200" w:name="page201"/>
    <w:bookmarkEnd w:id="2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decisions affecting the VIE (management and representation on the board of directors) and have the right to unilaterally remove those decision-makers are deemed to have the power to direct the activities of a VIE.</w:t>
      </w:r>
    </w:p>
    <w:p>
      <w:pPr>
        <w:spacing w:after="0" w:line="10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To assess whether the Company has the obligation to absorb losses of the VIE or the right to receive benefits from the VIE that could potentially be significant to the VIE, the Company considers all of its economic interests, which typically include equity investments in preferred and common stock that are deemed to be variable interests in the VIE. This assessment requires the Company to apply judgment in determining whether these interests, in the aggregate, are considered potentially significant to the VIE. Factors considered in assessing the significance include: the design of the VIE, including its capitalization structure; subordination of interests; payment priority; relative share of interests held across various classes within the VIE’s capital structure; and the reasons why the interests are held by the Company.</w:t>
      </w:r>
    </w:p>
    <w:p>
      <w:pPr>
        <w:spacing w:after="0" w:line="133"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At the VIE’s inception, the Company determines whether it is the primary beneficiary and if the VIE should be consolidated based on the facts and circumstances. The Company then performs on-going reassessments of the VIE based on reconsideration events and reevaluates whether a change to the consolidation conclusion is required at each reporting period.</w:t>
      </w:r>
    </w:p>
    <w:p>
      <w:pPr>
        <w:spacing w:after="0" w:line="12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Entities that do not qualify as a VIE are assessed for consolidation under the VOE model. Under the VOE model, the Company consolidates the entity if it determines that it, directly or indirectly, has greater than 50% of the voting shares and that other equity holders do not have substantive voting, participating or liquidation rights.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the equity method to account for investments when it possesses the ability to exercise significant influence, but not control, over the operating and financial decisions of the investee.</w:t>
      </w:r>
    </w:p>
    <w:p>
      <w:pPr>
        <w:spacing w:after="0" w:line="10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applying the equity method, the Company records the investment at cost and subsequently increases or decreases the carrying amount of the investment by its proportionate share of the net earnings or losses and other comprehensive income of the investee based on its percentage of common stock ownership during the respective reporting period. Payments to investees such as additional investments and payments from investees such as dividends are recorded as adjustments to the carrying value of the investment. In the event that net losses of the investee reduce the carrying amount to zero, no additional net losses are recorded unless the Company makes additional investment in the investee, has guaranteed obligations of the investee, or is otherwise committed to provide further financial support for the investee.</w:t>
      </w:r>
    </w:p>
    <w:p>
      <w:pPr>
        <w:spacing w:after="0" w:line="133" w:lineRule="exact"/>
        <w:rPr>
          <w:sz w:val="20"/>
          <w:szCs w:val="20"/>
          <w:color w:val="auto"/>
        </w:rPr>
      </w:pPr>
    </w:p>
    <w:p>
      <w:pPr>
        <w:ind w:left="340" w:right="360"/>
        <w:spacing w:after="0" w:line="438" w:lineRule="auto"/>
        <w:rPr>
          <w:sz w:val="20"/>
          <w:szCs w:val="20"/>
          <w:color w:val="auto"/>
        </w:rPr>
      </w:pPr>
      <w:r>
        <w:rPr>
          <w:rFonts w:ascii="Times New Roman" w:cs="Times New Roman" w:eastAsia="Times New Roman" w:hAnsi="Times New Roman"/>
          <w:sz w:val="18"/>
          <w:szCs w:val="18"/>
          <w:color w:val="auto"/>
        </w:rPr>
        <w:t xml:space="preserve">As of September 30, 2020 (unaudited), the Company has an equity method investment in PrognomIQ. Refer to Note 11 for additional information. </w:t>
      </w:r>
      <w:r>
        <w:rPr>
          <w:rFonts w:ascii="Times New Roman" w:cs="Times New Roman" w:eastAsia="Times New Roman" w:hAnsi="Times New Roman"/>
          <w:sz w:val="18"/>
          <w:szCs w:val="18"/>
          <w:b w:val="1"/>
          <w:bCs w:val="1"/>
          <w:i w:val="1"/>
          <w:iCs w:val="1"/>
          <w:color w:val="auto"/>
        </w:rPr>
        <w:t>Cash, Cash Equivalents and Restricted Cash</w:t>
      </w:r>
    </w:p>
    <w:p>
      <w:pPr>
        <w:spacing w:after="0" w:line="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As of December 31, 2018, 2019 and September 30, 2020 (unaudited), all amounts recorded as cash and cash equivalents consist of money market funds and are stated at fair value.</w:t>
      </w:r>
    </w:p>
    <w:p>
      <w:pPr>
        <w:spacing w:after="0" w:line="12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Restricted cash as of December 31, 2019 and September 30, 2020 (unaudited) represents cash held by a financial institution as security for a letter of credit issued to the lessor for one of the Company’s operating leases and is classified as non-current based on the term of the underlying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17"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balance sheets that sum to the total of the same amounts shown in the statements of cash flows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9"/>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183"/>
        </w:trPr>
        <w:tc>
          <w:tcPr>
            <w:tcW w:w="6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operating segment. The Company’s chief operating decision maker, its Chief Executive Officer, manages the Company’s operations on a consolidated basis for the purposes of allocating resources, making operating decisions and evaluating financial performance.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has designated all investments, which includes U.S. Treasury securities,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on the statements of operations and comprehensive loss. Realized gains and losses and interest income on available-for-sale securities are also included in other income (expense). The cost of securities sold is based on the specific identification method. The Company includes all of its available-for-sale securities in current assets. The Company determines the appropriate classification of its investments in debt securities at the time of purchase and reevaluates such designation at each balance sheet date. Available-for-sale securities with original maturities beyond three months at the date of purchase are classified as current based on their availability for use in current operations.</w:t>
      </w:r>
    </w:p>
    <w:p>
      <w:pPr>
        <w:spacing w:after="0" w:line="13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During the years ended December 31, 2018 and 2019 the Company did not recognize any impairment charges on its investments.</w:t>
      </w:r>
    </w:p>
    <w:p>
      <w:pPr>
        <w:spacing w:after="0" w:line="133"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Effective January 1, 2020, any unrealized losses on available-for-sale debt securities that are attributed to credit risk are recorded to the statements of operations and comprehensive loss through an allowance for credit losses. During the nine months ended September 30, 2020 (unaudited), the Company did not recognize any such impairment charges on its investments.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and amortization. Depreciation is recorded using the straight-line method over the estimated useful lives of the assets, generally three to five years. When assets are retired or otherwise disposed of, the cost and related accumulated depreciation and amortization are removed from the balance sheet and any resulting gain or loss is included as a part of income (loss) from operations within the statements of operations and comprehensive loss. Leasehold improvements are capitalized and amortized over the shorter of the lease term or the estimated useful life of the related asset. Major replacements and improvements are capitalized, while general repairs and maintenance are expensed as incurred. Construction-in-process assets consist primarily of tools and equipment that have not yet been placed in service. These assets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17" w:right="339"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stated at cost and are not depreciated. Once the assets are placed into service, assets are reclassified to the appropriate asset class on their nature and depreciated in accordance with the useful lives above.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evaluates the carrying amount of its long-lived assets whenever events or changes in circumstances indicate that the assets may not be recoverable. If indicators of impairment exist and the undiscounted future net cash flows expected to be generated by such assets are less than the carrying amount of the asset, an impairment loss is recorded to write the asset down to its estimated fair value based on a discounted future cash flow approach or quoted market values. There have been no such impairment losses for the periods presented.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may enter into lease agreements that are classified as either operating or capital leases. The Company enters into lease agreements for its administrative and laboratory facilities, which are classified as operating leases. When lease agreements include rent abatement and rent escalation clauses, the Company records a deferred rent liability. The Company records rent expense on a straight-line basis over the term of the lease from the date that it obtains the legal right to use and control the leased space and records the difference between cash rent payments and the recognition of rent expense as a deferred rent liability.</w:t>
      </w:r>
    </w:p>
    <w:p>
      <w:pPr>
        <w:spacing w:after="0" w:line="1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Lease agreements may also include tenant improvement allowances from landlords. The Company recognizes these allowances as a leasehold incentive obligation included in deferred rent on the balance sheets and amortizes it on a straight-line basis over the life of the lease. Building improvements made with lease incentives or tenant allowances are capitalized as leasehold improvements and included in property and equipment on the balance sheets.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Revenue</w:t>
      </w:r>
    </w:p>
    <w:p>
      <w:pPr>
        <w:spacing w:after="0" w:line="17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control of the services is transferred to its customers in an amount that reflects the consideration it expects to receive from its customers in exchange for those products and services.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considers a performance obligation satisfied once it has transferred control of a good or service to the customer, meaning the customer has the ability to use and obtain the benefit of the good or service.</w:t>
      </w:r>
    </w:p>
    <w:p>
      <w:pPr>
        <w:spacing w:after="0" w:line="13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Company recognizes revenue for research and development services contracts when control is transferred, which is upon completion of the services and when results of the services have been transferred to the customer. Upfront payments and fees received are recorded as deferred revenue until the Company performs its obligations under its arrangements. Amounts payable to the Company are recorded as other receivables when its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7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17" w:right="339" w:bottom="1440" w:gutter="0" w:footer="0" w:header="0"/>
        </w:sectPr>
      </w:pPr>
    </w:p>
    <w:bookmarkStart w:id="203" w:name="page204"/>
    <w:bookmarkEnd w:id="2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costs, which includes cost associated with performing services under research and development service contracts and research and development of the Company’s technology and product candidates, are expensed as incurred. Research and development expenses primarily consist of employee compensation, including stock-based compensation, and related benefits, laboratory supplies, consulting costs, costs related to clinical studies for the collection of biological samples for research use and allocated costs, including rent, depreciation, information technology, and utilities.</w:t>
      </w:r>
    </w:p>
    <w:p>
      <w:pPr>
        <w:spacing w:after="0" w:line="3"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Advance payments for goods or services for future research and development activities are deferred as prepaid expenses and expensed as the goods are delivered or the related services are performed. Subsequent to the issuance of the December 31, 2019 financial statements, the Company identified $0.3 million and $0.5 million of legal expenses incurred during the years ended December 31, 2018 and 2019, respectively, associated with patents were classified as research and development expenses rather than general and administrative expenses. These classifications have been corrected in the accompanying statements of operations and comprehensive loss and management has concluded that this correction is not material.</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Goods or services for research and development activities that have not yet been invoiced are recorded as liabilities within accrued research and development on the balance sheets. The Company estimates clinical discovery studies expenses based on the services performed related to clinical studies for the collection of biological samples for research use. In accruing service fees, the Company estimates the period over which services will be performed and the level of effort to be expended in each period. These estimates are based on communications with the service provider and the Company’s estimates of services performed based on information available at each balance sheet date determined through analysis with internal personnel and external service providers as to the progress or stage of completion of the associated services. Although the Company does not expect its estimates to be materially different from amounts actually incurred, the Company’s estimate of the status and timing of services performed relative to the actual status and timing of services performed may vary. Through December 31, 2019 and September 30, 2020 (unaudited), there have been no material differences from the Company’s estimated accrued research and development expenses to actual expenses.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employee compensation, including stock-based compensation, and related benefits for executive management, finance administration and human resources, allocated costs, including rent, depreciation, information technology, utilities, professional service fees, and other general overhead costs to support the Company’s operations.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stock-based compensation, including from restricted common stock awards (RSAs), grants of restricted stock units (RSUs), and stock options that may be settled in shares of our common stock, based on the fair values of the equity instruments issued. The fair value is determined on the measurement date, which is generally the date of grant. The fair value for our RSAs is their intrinsic value, which is the difference between the fair value of the underlying stock at the measurement date and the purchase price. The fair value of our RSUs is the fair value of the underlying stock at the measurement date. The fair value for our stock option awards is determined at the grant date using the Black-Scholes valuation model. The fair value of share-based payment awards is recognized as expense on a straight-line basis over the requisite service period in which the awards are expected to vest. Forfeitures are accounted for in the period in which they occur. Share-based payment awards that include a service condition and a performance condition are expected to vest when the performance condition is probable of being met.</w:t>
      </w:r>
    </w:p>
    <w:p>
      <w:pPr>
        <w:spacing w:after="0" w:line="13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Black-Scholes model considers several variables and assumptions in estimating the fair value of stock-based awards that require judgment, for which changes if they occur can materially affect the resulting estimates of fair value. These assumptions include the per share fair value of the underlying common stock, exercise price, expected term, risk-free interest rate, expected annual dividend yield, and the expected stock price volatility over the expected term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17" w:right="339" w:bottom="1440" w:gutter="0" w:footer="0" w:header="0"/>
        </w:sectPr>
      </w:pPr>
    </w:p>
    <w:bookmarkStart w:id="204" w:name="page205"/>
    <w:bookmarkEnd w:id="20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Fair Value of Common Stock</w:t>
      </w:r>
    </w:p>
    <w:p>
      <w:pPr>
        <w:spacing w:after="0" w:line="17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grant-date fair market value of the shares of common stock underlying stock options has historically been determined by the Company’s Board of Directors with assistance of third-party valuation specialists. Because there has been no public market for the Company’s common stock, the Board of Directors exercises reasonable judgment and considers a number of objective and subjective factors to determine the best estimate of the fair market value, which include important developments in the Company’s operations, the prices at which the Company sold shares of its convertible preferred stock, the rights, preferences and privileges of the Company’s convertible preferred stock relative to those of the Company’s common stock, actual operating results, financial performance, external market conditions in the life sciences industry, general U.S. market conditions, equity market conditions of comparable public companies, and the lack of marketability of the Company’s common stock.</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Expected Volatility</w:t>
      </w:r>
    </w:p>
    <w:p>
      <w:pPr>
        <w:spacing w:after="0" w:line="17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there is no trading history for the Company’s common stock, the Company has used the historical volatility of the stock price of similar publicly traded peer companies. The historical volatility is calculated based on a period of time commensurate with the expected term assumptions.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Expected Term</w:t>
      </w:r>
    </w:p>
    <w:p>
      <w:pPr>
        <w:spacing w:after="0" w:line="173"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For stock options granted to employees and directors, the expected term is calculated using the simplified method for “plain vanilla” stock option awards.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Risk-Free Interest Rate</w:t>
      </w:r>
    </w:p>
    <w:p>
      <w:pPr>
        <w:spacing w:after="0" w:line="17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risk-free interest rate is based on the yield available on U.S. Treasury zero-coupon issues similar in duration to the expected term of the equity-settled award.</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Expected Dividends</w:t>
      </w:r>
    </w:p>
    <w:p>
      <w:pPr>
        <w:spacing w:after="0" w:line="17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expected dividend yield is assumed to be zero as the Company has never paid dividends and has no current plans to pay dividends on its common stock.</w:t>
      </w:r>
    </w:p>
    <w:p>
      <w:pPr>
        <w:spacing w:after="0" w:line="10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Stock-based compensation related to awards to non-employees is recognized based on the then-current fair value at each measurement date when earned over the requisite service period of the award, which is generally the vesting term. The fair value of non-employee stock options is estimated using the Black-Scholes valuation model with assumptions generally consistent with those used for employee stock options, with the exception of the expected term, which is the remaining contractual life at each measurement date.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Deferred offering costs, consisting of legal, accounting and filing fees relating to the IPO, are capitalized. The deferred offering costs will be offset against offering proceeds upon the completion of the offering. In the event the offering is terminated or delayed, deferred offering costs will be expensed. As of December 31, 2018 and 2019, there were no capitalized deferred offering costs in the balance sheets. As of September 30, 2020 (unaudited), the Company recorded deferred offering costs of $1.2 million as other assets on the balance sheet.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2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 valuation allowance is recorded for deferred tax assets if it is more likely than not that some portion or all of the deferred tax assets will not be realized. In evaluating the ability to recover its deferred income tax assets,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60"/>
          </w:cols>
          <w:pgMar w:left="320" w:top="117" w:right="419" w:bottom="1440" w:gutter="0" w:footer="0" w:header="0"/>
        </w:sectPr>
      </w:pPr>
    </w:p>
    <w:bookmarkStart w:id="205" w:name="page206"/>
    <w:bookmarkEnd w:id="20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increase the provision for income taxes in the period when such determination is made.</w:t>
      </w:r>
    </w:p>
    <w:p>
      <w:pPr>
        <w:spacing w:after="0" w:line="1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likely than 50 percent likely to be realized. Interest and penalties related to unrecognized tax benefits are included within the provision for income tax. At both December 31, 2018 and 2019, there were no interest and penalties.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Company’s participating securities include the Company’s convertible preferred stock, as the holders are entitled to receive noncumulative dividends on a pari passu basis in the event that a dividend is paid on common stock. The Company also considers any shares issued on the early exercise of stock options subject to repurchase to be participating securities because holders of such shares have non-forfeitable dividend rights in the event a dividend is paid on common stock. The holders of convertible preferred stock, as well as the holders of early exercised shares subject to repurchase, do not have a contractual obligation to share in losses.</w:t>
      </w:r>
    </w:p>
    <w:p>
      <w:pPr>
        <w:spacing w:after="0" w:line="129" w:lineRule="exact"/>
        <w:rPr>
          <w:sz w:val="20"/>
          <w:szCs w:val="20"/>
          <w:color w:val="auto"/>
        </w:rPr>
      </w:pPr>
    </w:p>
    <w:p>
      <w:pPr>
        <w:jc w:val="both"/>
        <w:ind w:right="660" w:firstLine="324"/>
        <w:spacing w:after="0" w:line="312"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8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75"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Comprehensive loss is comprised of net loss and changes in accumulated other comprehensive income on the Company’s available-for-sale investments related to unrealized gains and losses.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7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or an exit price, in the principal or most advantageous market for that asset or liability in an orderly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00"/>
          </w:cols>
          <w:pgMar w:left="320" w:top="117" w:right="379" w:bottom="1440" w:gutter="0" w:footer="0" w:header="0"/>
        </w:sectPr>
      </w:pPr>
    </w:p>
    <w:bookmarkStart w:id="206" w:name="page207"/>
    <w:bookmarkEnd w:id="20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0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financial assets and liabilities using the fair value hierarchy that describes three levels of inputs that may be used to measure fair value, as follows: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71" w:lineRule="exact"/>
        <w:rPr>
          <w:sz w:val="20"/>
          <w:szCs w:val="20"/>
          <w:color w:val="auto"/>
        </w:rPr>
      </w:pPr>
    </w:p>
    <w:p>
      <w:pPr>
        <w:ind w:left="1380" w:right="240" w:hanging="728"/>
        <w:spacing w:after="0" w:line="266" w:lineRule="auto"/>
        <w:rPr>
          <w:sz w:val="20"/>
          <w:szCs w:val="20"/>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7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2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other receivables, prepaid expenses, other current assets, accounts payable, and accrued expenses approximate fair value due to their short maturities.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Accounting Standards Update (ASU) No. 2016-09,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(Topic 718): Improvements to Employee Share-Based Payment Accounting</w:t>
      </w:r>
      <w:r>
        <w:rPr>
          <w:rFonts w:ascii="Times New Roman" w:cs="Times New Roman" w:eastAsia="Times New Roman" w:hAnsi="Times New Roman"/>
          <w:sz w:val="18"/>
          <w:szCs w:val="18"/>
          <w:color w:val="auto"/>
        </w:rPr>
        <w:t>. This ASU simplifies several aspects of the accounting for share-based payment award transactions, including, the income tax consequences, classification of awards as either equity or liabilities, and classification on the statement of cash flows. Under ASU No. 2016-09, entities are permitted to make an accounting policy election to either estimate forfeiture on share-based payment awards, as previously required, or to recognize forfeitures as they occur. The Company made an accounting policy election to account for forfeitures as they occur. The Company adopted this standard as of January 1, 2018, using the modified retrospective approach, which did not have a material impact on its financial statements as of the adoption date.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and further updated through ASU No. 2016-</w:t>
      </w:r>
    </w:p>
    <w:p>
      <w:pPr>
        <w:spacing w:after="0" w:line="29" w:lineRule="exact"/>
        <w:rPr>
          <w:sz w:val="20"/>
          <w:szCs w:val="20"/>
          <w:color w:val="auto"/>
        </w:rPr>
      </w:pPr>
    </w:p>
    <w:p>
      <w:pPr>
        <w:ind w:right="120" w:firstLine="8"/>
        <w:spacing w:after="0" w:line="253" w:lineRule="auto"/>
        <w:tabs>
          <w:tab w:leader="none" w:pos="27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standard is based on the principle that revenue is recognized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revenue and cash flows arising from customer contracts, including significant judgments and changes in judgments and assets recognized from costs incurred to obtain or fulfill a contract. The Company adopted this standard as of January 1, 2019, using the modified retrospective approach, which did not have a material impact on its financial statements as of the adoption date.</w:t>
      </w:r>
    </w:p>
    <w:p>
      <w:pPr>
        <w:spacing w:after="0" w:line="131"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xml:space="preserve"> which requires restricted cash and restricted cash equivalents to be included with cash and cash equivalents in the statements of cash flows. The Company adopted this standard as of January 1, 2019, and has applied the standard on a retrospective basis to all periods presented, which did not have a material impact on its financial statements.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adopted the following accounting standards during the nine months ended September 30, 2020 (unaudited).</w:t>
      </w:r>
    </w:p>
    <w:p>
      <w:pPr>
        <w:spacing w:after="0" w:line="169" w:lineRule="exact"/>
        <w:rPr>
          <w:sz w:val="20"/>
          <w:szCs w:val="20"/>
          <w:color w:val="auto"/>
        </w:rPr>
      </w:pPr>
    </w:p>
    <w:p>
      <w:pPr>
        <w:ind w:right="360"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which requires that financial assets measured at amortized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20"/>
          </w:cols>
          <w:pgMar w:left="320" w:top="117" w:right="359" w:bottom="1440" w:gutter="0" w:footer="0" w:header="0"/>
        </w:sectPr>
      </w:pPr>
    </w:p>
    <w:bookmarkStart w:id="207" w:name="page208"/>
    <w:bookmarkEnd w:id="2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 be presented at the net amount expected to be collected. Unrealized losses on available-for-sale debt securities that are attributed to credit risk are recorded through earnings rather than to other comprehensive income. Credit losses relating to available-for-sale debt securities are now recorded through an allowance for credit losses. The Company adopted this standard as of January 1, 2020, and the adoption of this standard did not result in a cumulative effect adjustment as of the date of the adoption.</w:t>
      </w:r>
    </w:p>
    <w:p>
      <w:pPr>
        <w:spacing w:after="0" w:line="124"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Disclosure Framework—Changes to the Disclosure Requirements for Fair Value Measurement,</w:t>
      </w:r>
      <w:r>
        <w:rPr>
          <w:rFonts w:ascii="Times New Roman" w:cs="Times New Roman" w:eastAsia="Times New Roman" w:hAnsi="Times New Roman"/>
          <w:sz w:val="18"/>
          <w:szCs w:val="18"/>
          <w:color w:val="auto"/>
        </w:rPr>
        <w:t xml:space="preserve"> which amends Accounting Standards Codification 820, Fair Value Measurement. This standard modifies the disclosure requirements for fair value measurements by removing, modifying, or adding certain disclosures. The Company adopted this standard as of January 1, 2020, which did not have a material impact on its financial statements.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ind w:right="2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This ASU clarifies the definition of a lease and requires a lessee to recognize in the statement of financial position a liability to make lease payments (the lease liability) and a right-to-use asset representing its right to use the underlying asset for the lease term. In November 2019, the FASB issued ASU No. 2019-10 which extends the effective date of ASU No. 2016-02 for non-public business entities, including smaller reporting companies, to fiscal years beginning after December 15, 2020, and interim periods within fiscal years beginning after December 15, 2021. While the Company has not yet quantified the impact, these adjustments will increase total assets and total liabilities relative to such amounts reported prior to adoption.</w:t>
      </w:r>
    </w:p>
    <w:p>
      <w:pPr>
        <w:spacing w:after="0" w:line="12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which requires that financial assets measured at amortized cost be presented at the net amount expected to be collected. The measurement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losses is based on historical experience, current conditions, and reasonable and supportable forecasts that affect collectability. This standard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This standard is effective for fiscal years beginning after December 15, 2022, and interim periods within those fiscal years. Early adoption is permitted. The Company is currently assessing the impact of this standard on its financial statements and related disclosures.</w:t>
      </w:r>
    </w:p>
    <w:p>
      <w:pPr>
        <w:spacing w:after="0" w:line="13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June 20, 2018, the FASB issued ASU No. 2018-07, </w:t>
      </w:r>
      <w:r>
        <w:rPr>
          <w:rFonts w:ascii="Times New Roman" w:cs="Times New Roman" w:eastAsia="Times New Roman" w:hAnsi="Times New Roman"/>
          <w:sz w:val="18"/>
          <w:szCs w:val="18"/>
          <w:i w:val="1"/>
          <w:iCs w:val="1"/>
          <w:color w:val="auto"/>
        </w:rPr>
        <w:t>Compensation—Stock Compensation (Topic 718): Improvements to Non-employee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Payment Accounting, </w:t>
      </w:r>
      <w:r>
        <w:rPr>
          <w:rFonts w:ascii="Times New Roman" w:cs="Times New Roman" w:eastAsia="Times New Roman" w:hAnsi="Times New Roman"/>
          <w:sz w:val="18"/>
          <w:szCs w:val="18"/>
          <w:color w:val="auto"/>
        </w:rPr>
        <w:t>to reduce cost and complexity and to improve financial reporting for share-based payments issued to non-employees. The standard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fiscal years beginning after December 15, 2019, and interim periods within fiscal years beginning after December 15, 2020, with early adoption permitted, but no earlier than the adoption of Topic 606. The Company is currently evaluating the impact this standard will have on the Company’s financial statements.</w:t>
      </w:r>
    </w:p>
    <w:p>
      <w:pPr>
        <w:spacing w:after="0" w:line="129"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Disclosure Framework—Changes to the Disclosure Requirements for Fair Value Measurement,</w:t>
      </w:r>
      <w:r>
        <w:rPr>
          <w:rFonts w:ascii="Times New Roman" w:cs="Times New Roman" w:eastAsia="Times New Roman" w:hAnsi="Times New Roman"/>
          <w:sz w:val="18"/>
          <w:szCs w:val="18"/>
          <w:color w:val="auto"/>
        </w:rPr>
        <w:t xml:space="preserve"> which amends Accounting Standards Codification 820, Fair Value Measurement. This standard modifies the disclosure requirements for fair value measurements by removing, modifying, or adding certain disclosures. The effective date is the first quarter of fiscal year 2020, with early adoption permitted for the removed disclosures and delayed adoption until fiscal year 2020 permitted for the new disclosures. The removed and modified disclosures will be adopted on a retrospective basis and the new disclosures will be adopted on a prospective basis. The Company is currently assessing the impact of this standard on its financial statements and related disclosures.</w:t>
      </w:r>
    </w:p>
    <w:p>
      <w:pPr>
        <w:spacing w:after="0" w:line="12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which is intended to simplify the accounting for income taxes. The standard removes certain exceptions to the general principles in Topic 740 and also clarifies and amends existing standards to improve consistent application. The amendments in this ASU are effective for fiscal years, and interim periods within those fiscal years, beginning after December 15, 2020. Early adoption of the amendments is permitted, including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20"/>
          </w:cols>
          <w:pgMar w:left="320" w:top="117" w:right="359" w:bottom="1440" w:gutter="0" w:footer="0" w:header="0"/>
        </w:sectPr>
      </w:pPr>
    </w:p>
    <w:bookmarkStart w:id="208" w:name="page209"/>
    <w:bookmarkEnd w:id="2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any interim period for which financial statements have not yet been issued. An entity that elects to early adopt the amendments in an interim period should reflect any adjustments as of the beginning of the annual period that includes that interim period. Additionally, an entity that elects early adoption must adopt all the amendments in the same period. The Company is currently assessing the impact of this standard on its financial statements and related disclosures.</w:t>
      </w:r>
    </w:p>
    <w:p>
      <w:pPr>
        <w:spacing w:after="0" w:line="122"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FAIR VALUE OF FINANCIAL INSTRUMENTS</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that were measured at fair value on a recurring basis by level within the fair value hierarchy (in thousands).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3260" w:val="left"/>
        </w:tabs>
        <w:rPr>
          <w:sz w:val="20"/>
          <w:szCs w:val="20"/>
          <w:color w:val="auto"/>
        </w:rPr>
      </w:pPr>
      <w:r>
        <w:rPr>
          <w:rFonts w:ascii="Times New Roman" w:cs="Times New Roman" w:eastAsia="Times New Roman" w:hAnsi="Times New Roman"/>
          <w:sz w:val="18"/>
          <w:szCs w:val="18"/>
          <w:color w:val="auto"/>
        </w:rPr>
        <w:t>Assets:</w:t>
      </w:r>
      <w:r>
        <w:rPr>
          <w:sz w:val="20"/>
          <w:szCs w:val="20"/>
          <w:color w:val="auto"/>
        </w:rPr>
        <w:tab/>
      </w:r>
      <w:r>
        <w:rPr>
          <w:rFonts w:ascii="Times New Roman" w:cs="Times New Roman" w:eastAsia="Times New Roman" w:hAnsi="Times New Roman"/>
          <w:sz w:val="18"/>
          <w:szCs w:val="18"/>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tabs>
          <w:tab w:leader="none" w:pos="3260" w:val="left"/>
        </w:tabs>
        <w:rPr>
          <w:sz w:val="20"/>
          <w:szCs w:val="20"/>
          <w:color w:val="auto"/>
        </w:rPr>
      </w:pPr>
      <w:r>
        <w:rPr>
          <w:rFonts w:ascii="Times New Roman" w:cs="Times New Roman" w:eastAsia="Times New Roman" w:hAnsi="Times New Roman"/>
          <w:sz w:val="18"/>
          <w:szCs w:val="18"/>
          <w:color w:val="auto"/>
        </w:rPr>
        <w:t>Money market funds</w:t>
      </w:r>
      <w:r>
        <w:rPr>
          <w:sz w:val="20"/>
          <w:szCs w:val="20"/>
          <w:color w:val="auto"/>
        </w:rPr>
        <w:tab/>
      </w: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97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3260" w:val="left"/>
        </w:tabs>
        <w:rPr>
          <w:sz w:val="20"/>
          <w:szCs w:val="20"/>
          <w:color w:val="auto"/>
        </w:rPr>
      </w:pPr>
      <w:r>
        <w:rPr>
          <w:rFonts w:ascii="Times New Roman" w:cs="Times New Roman" w:eastAsia="Times New Roman" w:hAnsi="Times New Roman"/>
          <w:sz w:val="18"/>
          <w:szCs w:val="18"/>
          <w:color w:val="auto"/>
        </w:rPr>
        <w:t>Assets:</w:t>
      </w:r>
      <w:r>
        <w:rPr>
          <w:sz w:val="20"/>
          <w:szCs w:val="20"/>
          <w:color w:val="auto"/>
        </w:rPr>
        <w:tab/>
      </w:r>
      <w:r>
        <w:rPr>
          <w:rFonts w:ascii="Times New Roman" w:cs="Times New Roman" w:eastAsia="Times New Roman" w:hAnsi="Times New Roman"/>
          <w:sz w:val="18"/>
          <w:szCs w:val="18"/>
          <w:color w:val="auto"/>
        </w:rPr>
        <w:t>Classification:</w:t>
      </w:r>
    </w:p>
    <w:p>
      <w:pPr>
        <w:spacing w:after="0" w:line="90" w:lineRule="exact"/>
        <w:rPr>
          <w:sz w:val="20"/>
          <w:szCs w:val="20"/>
          <w:color w:val="auto"/>
        </w:rPr>
      </w:pPr>
    </w:p>
    <w:p>
      <w:pPr>
        <w:ind w:left="20"/>
        <w:spacing w:after="0"/>
        <w:tabs>
          <w:tab w:leader="none" w:pos="3260" w:val="left"/>
        </w:tabs>
        <w:rPr>
          <w:sz w:val="20"/>
          <w:szCs w:val="20"/>
          <w:color w:val="auto"/>
        </w:rPr>
      </w:pPr>
      <w:r>
        <w:rPr>
          <w:rFonts w:ascii="Times New Roman" w:cs="Times New Roman" w:eastAsia="Times New Roman" w:hAnsi="Times New Roman"/>
          <w:sz w:val="18"/>
          <w:szCs w:val="18"/>
          <w:color w:val="auto"/>
        </w:rPr>
        <w:t>Money market funds</w:t>
      </w:r>
      <w:r>
        <w:rPr>
          <w:sz w:val="20"/>
          <w:szCs w:val="20"/>
          <w:color w:val="auto"/>
        </w:rPr>
        <w:tab/>
      </w: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3260" w:val="left"/>
        </w:tabs>
        <w:rPr>
          <w:sz w:val="20"/>
          <w:szCs w:val="20"/>
          <w:color w:val="auto"/>
        </w:rPr>
      </w:pPr>
      <w:r>
        <w:rPr>
          <w:rFonts w:ascii="Times New Roman" w:cs="Times New Roman" w:eastAsia="Times New Roman" w:hAnsi="Times New Roman"/>
          <w:sz w:val="18"/>
          <w:szCs w:val="18"/>
          <w:color w:val="auto"/>
        </w:rPr>
        <w:t>U.S. Treasury securities</w:t>
      </w:r>
      <w:r>
        <w:rPr>
          <w:sz w:val="20"/>
          <w:szCs w:val="20"/>
          <w:color w:val="auto"/>
        </w:rPr>
        <w:tab/>
      </w:r>
      <w:r>
        <w:rPr>
          <w:rFonts w:ascii="Times New Roman" w:cs="Times New Roman" w:eastAsia="Times New Roman" w:hAnsi="Times New Roman"/>
          <w:sz w:val="17"/>
          <w:szCs w:val="17"/>
          <w:color w:val="auto"/>
        </w:rPr>
        <w:t>Investments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3260" w:val="left"/>
        </w:tabs>
        <w:rPr>
          <w:sz w:val="20"/>
          <w:szCs w:val="20"/>
          <w:color w:val="auto"/>
        </w:rPr>
      </w:pPr>
      <w:r>
        <w:rPr>
          <w:rFonts w:ascii="Times New Roman" w:cs="Times New Roman" w:eastAsia="Times New Roman" w:hAnsi="Times New Roman"/>
          <w:sz w:val="18"/>
          <w:szCs w:val="18"/>
          <w:color w:val="auto"/>
        </w:rPr>
        <w:t>Assets:</w:t>
      </w:r>
      <w:r>
        <w:rPr>
          <w:sz w:val="20"/>
          <w:szCs w:val="20"/>
          <w:color w:val="auto"/>
        </w:rPr>
        <w:tab/>
      </w:r>
      <w:r>
        <w:rPr>
          <w:rFonts w:ascii="Times New Roman" w:cs="Times New Roman" w:eastAsia="Times New Roman" w:hAnsi="Times New Roman"/>
          <w:sz w:val="18"/>
          <w:szCs w:val="18"/>
          <w:color w:val="auto"/>
        </w:rPr>
        <w:t>Classification:</w:t>
      </w:r>
    </w:p>
    <w:p>
      <w:pPr>
        <w:spacing w:after="0" w:line="90" w:lineRule="exact"/>
        <w:rPr>
          <w:sz w:val="20"/>
          <w:szCs w:val="20"/>
          <w:color w:val="auto"/>
        </w:rPr>
      </w:pPr>
    </w:p>
    <w:p>
      <w:pPr>
        <w:ind w:left="20"/>
        <w:spacing w:after="0"/>
        <w:tabs>
          <w:tab w:leader="none" w:pos="3260" w:val="left"/>
        </w:tabs>
        <w:rPr>
          <w:sz w:val="20"/>
          <w:szCs w:val="20"/>
          <w:color w:val="auto"/>
        </w:rPr>
      </w:pPr>
      <w:r>
        <w:rPr>
          <w:rFonts w:ascii="Times New Roman" w:cs="Times New Roman" w:eastAsia="Times New Roman" w:hAnsi="Times New Roman"/>
          <w:sz w:val="18"/>
          <w:szCs w:val="18"/>
          <w:color w:val="auto"/>
        </w:rPr>
        <w:t>Money market funds</w:t>
      </w:r>
      <w:r>
        <w:rPr>
          <w:sz w:val="20"/>
          <w:szCs w:val="20"/>
          <w:color w:val="auto"/>
        </w:rPr>
        <w:tab/>
      </w: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3260" w:val="left"/>
        </w:tabs>
        <w:rPr>
          <w:sz w:val="20"/>
          <w:szCs w:val="20"/>
          <w:color w:val="auto"/>
        </w:rPr>
      </w:pPr>
      <w:r>
        <w:rPr>
          <w:rFonts w:ascii="Times New Roman" w:cs="Times New Roman" w:eastAsia="Times New Roman" w:hAnsi="Times New Roman"/>
          <w:sz w:val="18"/>
          <w:szCs w:val="18"/>
          <w:color w:val="auto"/>
        </w:rPr>
        <w:t>U.S. Treasury securities</w:t>
      </w:r>
      <w:r>
        <w:rPr>
          <w:sz w:val="20"/>
          <w:szCs w:val="20"/>
          <w:color w:val="auto"/>
        </w:rPr>
        <w:tab/>
      </w:r>
      <w:r>
        <w:rPr>
          <w:rFonts w:ascii="Times New Roman" w:cs="Times New Roman" w:eastAsia="Times New Roman" w:hAnsi="Times New Roman"/>
          <w:sz w:val="17"/>
          <w:szCs w:val="17"/>
          <w:color w:val="auto"/>
        </w:rPr>
        <w:t>Investments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136525</wp:posOffset>
            </wp:positionV>
            <wp:extent cx="32486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30,953</w:t>
            </w:r>
          </w:p>
        </w:tc>
      </w:tr>
      <w:tr>
        <w:trPr>
          <w:trHeight w:val="27"/>
        </w:trPr>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30,953</w:t>
            </w:r>
          </w:p>
        </w:tc>
      </w:tr>
      <w:tr>
        <w:trPr>
          <w:trHeight w:val="27"/>
        </w:trPr>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17,485</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68,535</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68,535</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68,535</w:t>
            </w:r>
          </w:p>
        </w:tc>
        <w:tc>
          <w:tcPr>
            <w:tcW w:w="8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86,020</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 (unaudited)</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103,800</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103,800</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103,800</w:t>
            </w:r>
          </w:p>
        </w:tc>
        <w:tc>
          <w:tcPr>
            <w:tcW w:w="8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121,506</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2">
            <w:col w:w="5380" w:space="720"/>
            <w:col w:w="5140"/>
          </w:cols>
          <w:pgMar w:left="320" w:top="117" w:right="339" w:bottom="1440" w:gutter="0" w:footer="0" w:header="0"/>
          <w:type w:val="continuous"/>
        </w:sect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There were no financial liabilities measured at fair value. The Company classifies money market funds within Level 1 of the fair value hierarchy because they are valued using bank balances or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Levels 1, 2, or 3 for the periods presented.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Company’s cash equivalents and investments and the gross unrealized holding gains and losses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518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5"/>
                <w:szCs w:val="15"/>
                <w:color w:val="auto"/>
              </w:rPr>
            </w:pPr>
          </w:p>
        </w:tc>
        <w:tc>
          <w:tcPr>
            <w:tcW w:w="12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7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50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17,485</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68,535</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85,996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86,020</w:t>
            </w:r>
          </w:p>
        </w:tc>
      </w:tr>
      <w:tr>
        <w:trPr>
          <w:trHeight w:val="21"/>
        </w:trPr>
        <w:tc>
          <w:tcPr>
            <w:tcW w:w="5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ectPr>
          <w:pgSz w:w="11900" w:h="16838" w:orient="portrait"/>
          <w:cols w:equalWidth="0" w:num="1">
            <w:col w:w="11240"/>
          </w:cols>
          <w:pgMar w:left="320" w:top="117" w:right="339" w:bottom="1440" w:gutter="0" w:footer="0" w:header="0"/>
          <w:type w:val="continuous"/>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2020 (unaudited)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518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5"/>
                <w:szCs w:val="15"/>
                <w:color w:val="auto"/>
              </w:rPr>
            </w:pPr>
          </w:p>
        </w:tc>
        <w:tc>
          <w:tcPr>
            <w:tcW w:w="12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7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103,800</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121,506</w:t>
            </w:r>
          </w:p>
        </w:tc>
      </w:tr>
      <w:tr>
        <w:trPr>
          <w:trHeight w:val="21"/>
        </w:trPr>
        <w:tc>
          <w:tcPr>
            <w:tcW w:w="5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2019, unrealized losses on available-for-sale investments are not attributable to credit risk and are considered to be temporary.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December 31, 2018 and 2019, the weighted-average remaining maturity of the Company’s investment portfolio was less than one year.</w:t>
      </w:r>
    </w:p>
    <w:p>
      <w:pPr>
        <w:spacing w:after="0" w:line="126"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(unaudited), the Company has not recorded any impairment charges on marketable securities related to other-than-temporary declines in market value or deterioration in credit risk. As of September 30, 2020 (unaudited), the weighted-average remaining maturity of the Company’s investment portfolio was less than one year.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1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OTHER FINANCIAL STATEMENT INFORMATION</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Other Receivables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receivables consist of the following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2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receivable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receivables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4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2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620"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less than $0.1 million and $0.7 million for the years ended December 31, 2018 and 2019, respectively, and $0.5 million and $1.1 million for the nine months ended September 30, 2019 and 2020 (unaudited),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117"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86"/>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liability, current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DEFERRED REVENUE</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2019 and September 30, 2020 (unaudited), the Company recorded $0.2 million and $0.4 million of deferred revenue related to the following agreements.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Agreements</w:t>
      </w:r>
    </w:p>
    <w:p>
      <w:pPr>
        <w:spacing w:after="0" w:line="17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February 2019, the Company entered into a sponsored research agreement with a biotechnology company under which the Company is required to execute certain research and development activities as well as optional research and development activities if elected by the customer for total consideration payable of $0.4 million. During the year ended December 31, 2019 and nine months ended September 30, 2020 (unaudited), the Company recognized research revenue of $0.1 million and nil with respect to the research agreement.</w:t>
      </w:r>
    </w:p>
    <w:p>
      <w:pPr>
        <w:spacing w:after="0" w:line="126"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In March 2020, the Company entered into a sponsored research agreement with a pharmaceutical company under which the Company is required to execute certain research and development activities for total consideration payable of $0.5 million, of which $0.3 million was received and recorded as deferred revenue as of September 30, 2020 (unaudited). During the nine months ended September 30, 2020 (unaudited), the Company did not recognize any research revenue with respect to the research agreement.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NIH Grant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August 2019, the Company received a notice of award from the National Institutes of Health, which will provide funding of approximately</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$1.1 million to the Company for its development of research applications. In June 2020, the Company received a notice that additional grant consideration of $0.9 million will be awarded. During the year ended December 31, 2019 and nine months ended September 30, 2020 (unaudited), the Company recognized grant revenue of $0.1 million and $0.3 million with respect to the award.</w:t>
      </w:r>
    </w:p>
    <w:p>
      <w:pPr>
        <w:spacing w:after="0" w:line="128"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May 2019, the Company issued an aggregate of $0.4 million in convertible promissory notes (Notes) that accrue interest at a rate of 2.37% per annum and mature 10 years from the date of issuance. Upon the closing of the Company’s Series D convertible preferred stock offering in November 2019, the Notes were redeemed whereby all of the outstanding principal and accrued interest were converted into 58,231 shares of Series D convertible preferred stock at a conversion price of $6.96 per share, which was the issuance price of the Series D convertible preferred stock. The redemption of the Notes was accounted for as a debt extinguishment, and there was no gain or loss on extinguishment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17" w:right="33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 AND STOCKHOLDERS’ EQUITY</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2019, the Company is authorized to issue 74,276,048 shares of capital stock consisting of 42,757,009 shares of Class A common stock, 9,345,794 shares of Class B common stock, and 22,173,245 shares of convertible preferred stock.</w:t>
      </w:r>
    </w:p>
    <w:p>
      <w:pPr>
        <w:spacing w:after="0" w:line="108"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2020 (unaudited), the Company is authorized to issue 94,447,387 shares of capital stock consisting of 56,074,766 shares of Class A common stock, 9,345,794 shares of Class B common stock, and 29,026,827 shares of convertible preferred stock.</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Convertible preferred stock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Issue Price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5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Aggregate Liquidation</w:t>
            </w: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10"/>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w:t>
            </w:r>
          </w:p>
        </w:tc>
        <w:tc>
          <w:tcPr>
            <w:tcW w:w="114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3,087,477</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3,087,468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7,906,761</w:t>
            </w:r>
          </w:p>
        </w:tc>
        <w:tc>
          <w:tcPr>
            <w:tcW w:w="2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7,906,757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10,994,238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10,994,225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Issue Price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5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Aggregate Liquidation</w:t>
            </w: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10"/>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3,087,477</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3,087,468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7,906,761</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Times New Roman" w:cs="Times New Roman" w:eastAsia="Times New Roman" w:hAnsi="Times New Roman"/>
                <w:sz w:val="18"/>
                <w:szCs w:val="18"/>
                <w:color w:val="auto"/>
              </w:rPr>
              <w:t>7,906,757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C</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5.35</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3,271,028</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3,271,023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D</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7,907,979</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Times New Roman" w:cs="Times New Roman" w:eastAsia="Times New Roman" w:hAnsi="Times New Roman"/>
                <w:sz w:val="18"/>
                <w:szCs w:val="18"/>
                <w:color w:val="auto"/>
              </w:rPr>
              <w:t>7,907,968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54,794</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22,173,245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22,173,216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2020 (unaudited)</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Issue Price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5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Aggregate Liquidation</w:t>
            </w: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10"/>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3,087,477</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3,087,468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7,906,761</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Times New Roman" w:cs="Times New Roman" w:eastAsia="Times New Roman" w:hAnsi="Times New Roman"/>
                <w:sz w:val="18"/>
                <w:szCs w:val="18"/>
                <w:color w:val="auto"/>
              </w:rPr>
              <w:t>7,906,757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C</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5.35</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3,271,028</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3,271,023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D</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7,907,979</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Times New Roman" w:cs="Times New Roman" w:eastAsia="Times New Roman" w:hAnsi="Times New Roman"/>
                <w:sz w:val="18"/>
                <w:szCs w:val="18"/>
                <w:color w:val="auto"/>
              </w:rPr>
              <w:t>7,907,968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D-1</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8.03</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6,853,582</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6,853,571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29,026,827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Borders>
              <w:top w:val="single" w:sz="8" w:color="auto"/>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8"/>
                <w:szCs w:val="18"/>
                <w:color w:val="auto"/>
              </w:rPr>
              <w:t>29,026,787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163,500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March and April 2019, the Company issued 3,271,023 shares of its Series C convertible preferred stock at a price per share of $5.35 for net proceeds of $17.3 million.</w:t>
      </w:r>
    </w:p>
    <w:p>
      <w:pPr>
        <w:spacing w:after="0" w:line="10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November and December 2019, the Company issued 7,849,737 shares of its Series D convertible preferred stock at a price per share of $6.96 for net proceeds of $54.4 million, with such amounts not including the redemption of the Notes (see Note 6).</w:t>
      </w:r>
    </w:p>
    <w:p>
      <w:pPr>
        <w:spacing w:after="0" w:line="10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(unaudited), the Company issued 6,853,571 shares of its Series D-1 convertible preferred stock in May 2020 at a price per share of $8.03 for net proceeds of $54.9 million.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holders of convertible preferred stock have various rights and preferences,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17" w:right="339" w:bottom="1440" w:gutter="0" w:footer="0" w:header="0"/>
        </w:sectPr>
      </w:pPr>
    </w:p>
    <w:bookmarkStart w:id="212" w:name="page213"/>
    <w:bookmarkEnd w:id="2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the event of any liquidation event, either voluntary or involuntary, the holders of convertible preferred stock shall be entitled to receive, out of the assets of the Company, the applicable liquidation preference specified for each share of convertible preferred stock then held by them before any payment shall be made or any assets distributed to the holders of common stock. Liquidation preference is $1.95 per share for Series A convertible preferred stock, $3.80 per share for Series B convertible preferred stock, $5.35 per share of Series C convertible preferred stock, $6.96 per share of Series D convertible preferred stock, and $8.03 per share of Series D-1 convertible preferred stock, each adjusted for any stock splits, combinations, and reorganizations, plus all declared and unpaid dividends on each such share.</w:t>
      </w:r>
    </w:p>
    <w:p>
      <w:pPr>
        <w:spacing w:after="0" w:line="13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If upon the liquidation event, the assets to be distributed among the holders of the convertible preferred stock are insufficient to permit the payment to such holders of the full liquidation preference for their shares, then the holders of shares of convertible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the full preferential amount.</w:t>
      </w:r>
    </w:p>
    <w:p>
      <w:pPr>
        <w:spacing w:after="0" w:line="12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After the payment to the holders of convertible preferred stock of the full preferential amount specified above, any remaining assets of the Company shall be distributed pro rata among the holders of common stock.</w:t>
      </w:r>
    </w:p>
    <w:p>
      <w:pPr>
        <w:spacing w:after="0" w:line="108" w:lineRule="exact"/>
        <w:rPr>
          <w:sz w:val="20"/>
          <w:szCs w:val="20"/>
          <w:color w:val="auto"/>
        </w:rPr>
      </w:pPr>
    </w:p>
    <w:p>
      <w:pPr>
        <w:ind w:left="340" w:right="1560"/>
        <w:spacing w:after="0" w:line="438" w:lineRule="auto"/>
        <w:rPr>
          <w:sz w:val="20"/>
          <w:szCs w:val="20"/>
          <w:color w:val="auto"/>
        </w:rPr>
      </w:pPr>
      <w:r>
        <w:rPr>
          <w:rFonts w:ascii="Times New Roman" w:cs="Times New Roman" w:eastAsia="Times New Roman" w:hAnsi="Times New Roman"/>
          <w:sz w:val="18"/>
          <w:szCs w:val="18"/>
          <w:color w:val="auto"/>
        </w:rPr>
        <w:t xml:space="preserve">A liquidation event requires approval by the holders of at least a majority of the outstanding shares of convertible preferred stock. </w:t>
      </w:r>
      <w:r>
        <w:rPr>
          <w:rFonts w:ascii="Times New Roman" w:cs="Times New Roman" w:eastAsia="Times New Roman" w:hAnsi="Times New Roman"/>
          <w:sz w:val="18"/>
          <w:szCs w:val="18"/>
          <w:b w:val="1"/>
          <w:bCs w:val="1"/>
          <w:i w:val="1"/>
          <w:iCs w:val="1"/>
          <w:color w:val="auto"/>
        </w:rPr>
        <w:t>Optional Conversion Rights</w:t>
      </w:r>
    </w:p>
    <w:p>
      <w:pPr>
        <w:spacing w:after="0" w:line="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Shares of any series of convertible preferred stock shall be convertible, at the option of the holder thereof and without payment, at any time after the date of issuance of such share into that number of fully-paid and nonassessable shares of Class A common stock that is equal to the original issue price for such series divided by the conversion price for such series, as adjusted for any stock splits, combinations, reorganizations and applicable dilutive issuances, in effect on the date of the conversion. In addition, the conversion price for each series of convertible preferred stock will be reduced upon certain issuances by the Company of common stock for consideration per share that is less than the conversion price applicable to such series. The Company’s convertible preferred stock is convertible into the Company’s shares of Class A common stock on a one-for-one basis.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Automatic Conversion Rights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Each share of convertible preferred stock shall automatically be converted into shares of Class A common stock at the then effective conversion price for such share immediately upon (i) the affirmative vote or written consent of the holders of at least a majority of the outstanding shares of convertible preferred stock, voting together as a single class, or (ii) the closing of a firmly underwritten initial public offering with gross proceeds to the Company of at least $50,000,000.</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holders of shares of Series A convertible preferred stock, Series B convertible preferred stock, Series C convertible preferred stock, Series D convertible preferred stock, and Series D-1 convertible preferred stock shall be entitled to receive dividends of $0.1167, $0.2277, $0.3210, $0.4173, and $0.4815 respectively, per annum on each outstanding share of Series A convertible preferred stock, Series B convertible preferred stock, Series C convertible preferred stock, Series D convertible preferred stock, and Series D-1 convertible preferred stock, payable in cash at the election of the Board of Directors, out of any assets at the time legally available therefor, when, as and if declared by the Board of Directors, on an equal basis according to the number of shares of convertible preferred stock held by such holders, prior and in preference to the common stock and shall be noncumulative.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17"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Each holder of convertible preferred stock shall be entitled to the number of votes equal to the number of shares of common stock into which such shares of convertible preferred stock held by such holder could then be converted as of the record date.</w:t>
      </w:r>
    </w:p>
    <w:p>
      <w:pPr>
        <w:spacing w:after="0" w:line="10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holders of convertible preferred stock, voting as a single class, have the right to elect one director to the Company’s Board of Directors. The holders of common stock, as a separate class, have the right to elect three directors to the Board of Directors. The holders of convertible preferred stock and common stock, voting as a single class, have the right to elect one director to the Company’s Board of Directors. Any remaining directors, of which there were two as of December 31, 2019 and September 30, 2020 (unaudited), are elected by the holders of common stock and of any other class or series of voting stock, including convertible preferred stock, as a single class.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75"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There are no redemption rights afforded to the holders of convertible preferred stock. Upon certain change in control events, including liquidation, sale, or transfer of control of the Company, the convertible preferred stock is contingently redeemable.</w:t>
      </w:r>
    </w:p>
    <w:p>
      <w:pPr>
        <w:sectPr>
          <w:pgSz w:w="11900" w:h="16838" w:orient="portrait"/>
          <w:cols w:equalWidth="0" w:num="1">
            <w:col w:w="11240"/>
          </w:cols>
          <w:pgMar w:left="320" w:top="117" w:right="339" w:bottom="1440" w:gutter="0" w:footer="0" w:header="0"/>
        </w:sectPr>
      </w:pP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Common stock issued and outstanding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Class B common stock</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common stock issued and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16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86"/>
        </w:trPr>
        <w:tc>
          <w:tcPr>
            <w:tcW w:w="15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29"/>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2,858,902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2,847,893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3,296,556</w:t>
            </w:r>
          </w:p>
        </w:tc>
        <w:tc>
          <w:tcPr>
            <w:tcW w:w="0" w:type="dxa"/>
            <w:vAlign w:val="bottom"/>
          </w:tcPr>
          <w:p>
            <w:pPr>
              <w:spacing w:after="0"/>
              <w:rPr>
                <w:sz w:val="1"/>
                <w:szCs w:val="1"/>
                <w:color w:val="auto"/>
              </w:rPr>
            </w:pPr>
          </w:p>
        </w:tc>
      </w:tr>
      <w:tr>
        <w:trPr>
          <w:trHeight w:val="234"/>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9,345,784</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9,345,784</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9,345,784</w:t>
            </w:r>
          </w:p>
        </w:tc>
        <w:tc>
          <w:tcPr>
            <w:tcW w:w="0" w:type="dxa"/>
            <w:vAlign w:val="bottom"/>
          </w:tcPr>
          <w:p>
            <w:pPr>
              <w:spacing w:after="0"/>
              <w:rPr>
                <w:sz w:val="1"/>
                <w:szCs w:val="1"/>
                <w:color w:val="auto"/>
              </w:rPr>
            </w:pPr>
          </w:p>
        </w:tc>
      </w:tr>
      <w:tr>
        <w:trPr>
          <w:trHeight w:val="223"/>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12,204,686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12,193,677</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12,642,340</w:t>
            </w:r>
          </w:p>
        </w:tc>
        <w:tc>
          <w:tcPr>
            <w:tcW w:w="0" w:type="dxa"/>
            <w:vAlign w:val="bottom"/>
          </w:tcPr>
          <w:p>
            <w:pPr>
              <w:spacing w:after="0"/>
              <w:rPr>
                <w:sz w:val="1"/>
                <w:szCs w:val="1"/>
                <w:color w:val="auto"/>
              </w:rPr>
            </w:pP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-479425</wp:posOffset>
            </wp:positionV>
            <wp:extent cx="71323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-187960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5640" w:space="720"/>
            <w:col w:w="4880"/>
          </w:cols>
          <w:pgMar w:left="320" w:top="117" w:right="339" w:bottom="1440" w:gutter="0" w:footer="0" w:header="0"/>
          <w:type w:val="continuous"/>
        </w:sectPr>
      </w:pPr>
    </w:p>
    <w:p>
      <w:pPr>
        <w:jc w:val="both"/>
        <w:ind w:right="260" w:firstLine="324"/>
        <w:spacing w:after="0" w:line="261" w:lineRule="auto"/>
        <w:rPr>
          <w:sz w:val="20"/>
          <w:szCs w:val="20"/>
          <w:color w:val="auto"/>
        </w:rPr>
      </w:pPr>
      <w:r>
        <w:rPr>
          <w:rFonts w:ascii="Times New Roman" w:cs="Times New Roman" w:eastAsia="Times New Roman" w:hAnsi="Times New Roman"/>
          <w:sz w:val="18"/>
          <w:szCs w:val="18"/>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spacing w:after="0" w:line="122"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2017, the Company adopted the 2017 Stock Incentive Plan (2017 Plan), which provided for the granting of awards to employees, directors, and consultants of the Company. Awards issuable under the Plan include incentive stock options (ISO), nonqualified stock options (NSO), and restricted stock awards. During the nine months ended September 30, 2020 (unaudited), the Company adopted the 2020 RSU Equity Incentive Plan (2020 RSU Plan), which provided for the granting of RSUs to certain employees of the Company.</w:t>
      </w:r>
    </w:p>
    <w:p>
      <w:pPr>
        <w:spacing w:after="0" w:line="12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Stock options to purchase the Company’s Class A common stock may be granted at a price not less than the fair market value of the Company’s Class A common stock at the date of grant in the case of both NSOs and ISOs, except for grants of stock options to an employee or non-employee with options who owns more than 10% of the voting power of all classes of stock of the Company, in which case the exercise price shall be no less than 110% of the fair market value per Class A common stock on the grant date. The exercise price for ISO cannot be less than the fair market value of the Class A common stock on the grant date. Stock options granted under the 2017 Plan generally vest over four years and expire no later than 10 years from the date of grant. As of December 31, 2019, and September 30, 2020 (unaudited), the Company has reserved 9,085,139 and 11,814,650 shares of Class A common stock for issuance under the 2017 Plan,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17" w:right="339" w:bottom="1440" w:gutter="0" w:footer="0" w:header="0"/>
          <w:type w:val="continuous"/>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option activity under the 2017 Plan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15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6"/>
                <w:szCs w:val="16"/>
                <w:color w:val="auto"/>
              </w:rPr>
            </w:pP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Term (Years)</w:t>
            </w:r>
          </w:p>
        </w:tc>
        <w:tc>
          <w:tcPr>
            <w:tcW w:w="120" w:type="dxa"/>
            <w:vAlign w:val="bottom"/>
          </w:tcPr>
          <w:p>
            <w:pPr>
              <w:spacing w:after="0"/>
              <w:rPr>
                <w:sz w:val="16"/>
                <w:szCs w:val="16"/>
                <w:color w:val="auto"/>
              </w:rPr>
            </w:pPr>
          </w:p>
        </w:tc>
        <w:tc>
          <w:tcPr>
            <w:tcW w:w="14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2017</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123,296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2,266,576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(845,710)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 and 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(68,476)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0.00002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2018</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1,475,686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3,005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834,959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(133,862)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 and 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2019</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2,176,102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4,051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 (unaudited)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6,428,732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 (unaudited)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(663,908)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 and forfeited (unaudited)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(387,426)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September 30, 2020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7,553,500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41,230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exercisable, December 31, 2019</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231F20"/>
              </w:rPr>
              <w:t>677,070</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231F20"/>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231F20"/>
              </w:rPr>
              <w:t>0.33</w:t>
            </w:r>
          </w:p>
        </w:tc>
        <w:tc>
          <w:tcPr>
            <w:tcW w:w="1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231F20"/>
              </w:rPr>
              <w:t>8.55</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231F20"/>
                <w:w w:val="88"/>
              </w:rPr>
              <w:t>$</w:t>
            </w: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231F20"/>
              </w:rPr>
              <w:t>1,600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September 30, 2020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993,485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6,863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stock options granted to employees during the years ended December 31, 2018 and 2019, was $1.65 and $1.61 per share, respectively, and was $1.61 and $1.89 per share for the nine months ended September 30, 2019 and 2020 (unaudited), respectively. The total intrinsic value of stock options exercised during the years ended December 31, 2018 and 2019, was nil and $0.2 million, respectively, and was $0.2 million and $1.2 million during the nine months ended September 30, 2019 and 2020 (unaudited), respectively.</w:t>
      </w:r>
    </w:p>
    <w:p>
      <w:pPr>
        <w:spacing w:after="0" w:line="12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PrognomIQ transaction (see Note 11) and pursuant to the anti-dilution provisions included in the 2017 Plan, certain adjustments were made to the number and exercise price of the outstanding awards granted to the Company’s employees and directors to maintain the aggregate intrinsic value of the awards at the date of the transaction, which were accounted for as a modification of the awards. Except for the number of the adjusted awards, the material terms of the awards remained unchanged, and the awards continue to vest over their original vesting period. The impact of these adjustments did not have a material impact on the Company’s financial statements during the nine months ended September 30, 2020 (unaudited).</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17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to employees and directors is calculated using the Black-Scholes option pricing model using the following assumptions:</w:t>
      </w:r>
    </w:p>
    <w:p>
      <w:pPr>
        <w:sectPr>
          <w:pgSz w:w="11900" w:h="16838" w:orient="portrait"/>
          <w:cols w:equalWidth="0" w:num="1">
            <w:col w:w="11240"/>
          </w:cols>
          <w:pgMar w:left="320" w:top="117" w:right="339" w:bottom="1440" w:gutter="0" w:footer="0" w:header="0"/>
        </w:sectPr>
      </w:pPr>
    </w:p>
    <w:p>
      <w:pPr>
        <w:spacing w:after="0" w:line="142"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24765</wp:posOffset>
            </wp:positionV>
            <wp:extent cx="21774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2" w:lineRule="exact"/>
        <w:rPr>
          <w:sz w:val="20"/>
          <w:szCs w:val="20"/>
          <w:color w:val="auto"/>
        </w:rPr>
      </w:pPr>
    </w:p>
    <w:p>
      <w:pPr>
        <w:ind w:left="4960"/>
        <w:spacing w:after="0"/>
        <w:tabs>
          <w:tab w:leader="none" w:pos="670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24765</wp:posOffset>
            </wp:positionV>
            <wp:extent cx="21774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24765</wp:posOffset>
            </wp:positionV>
            <wp:extent cx="21856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2" w:lineRule="exact"/>
        <w:rPr>
          <w:sz w:val="20"/>
          <w:szCs w:val="20"/>
          <w:color w:val="auto"/>
        </w:rPr>
      </w:pPr>
    </w:p>
    <w:p>
      <w:pPr>
        <w:ind w:left="60"/>
        <w:spacing w:after="0"/>
        <w:tabs>
          <w:tab w:leader="none" w:pos="180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24765</wp:posOffset>
            </wp:positionV>
            <wp:extent cx="21856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9" w:lineRule="exact"/>
        <w:rPr>
          <w:sz w:val="20"/>
          <w:szCs w:val="20"/>
          <w:color w:val="auto"/>
        </w:rPr>
      </w:pPr>
    </w:p>
    <w:p>
      <w:pPr>
        <w:sectPr>
          <w:pgSz w:w="11900" w:h="16838" w:orient="portrait"/>
          <w:cols w:equalWidth="0" w:num="2">
            <w:col w:w="7720" w:space="720"/>
            <w:col w:w="28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- 2.6%</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0.3%-1.5%</w:t>
            </w: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- 77.9%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- 77.5%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- 77.5%</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62.2%-69.2%</w:t>
            </w: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8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6.08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- 6.08</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5.21-6.22</w:t>
            </w: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800" w:type="dxa"/>
            <w:vAlign w:val="bottom"/>
            <w:gridSpan w:val="2"/>
          </w:tcPr>
          <w:p>
            <w:pPr>
              <w:jc w:val="center"/>
              <w:ind w:left="970"/>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17" w:right="339" w:bottom="1440" w:gutter="0" w:footer="0" w:header="0"/>
          <w:type w:val="continuous"/>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stock options granted to non-employees is calculated at each reporting date using the Black-Scholes option pricing model using the following assumptions:</w:t>
      </w:r>
    </w:p>
    <w:p>
      <w:pPr>
        <w:sectPr>
          <w:pgSz w:w="11900" w:h="16838" w:orient="portrait"/>
          <w:cols w:equalWidth="0" w:num="1">
            <w:col w:w="11240"/>
          </w:cols>
          <w:pgMar w:left="320" w:top="117" w:right="339" w:bottom="1440" w:gutter="0" w:footer="0" w:header="0"/>
        </w:sectPr>
      </w:pPr>
    </w:p>
    <w:p>
      <w:pPr>
        <w:spacing w:after="0" w:line="142"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24765</wp:posOffset>
            </wp:positionV>
            <wp:extent cx="21774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2" w:lineRule="exact"/>
        <w:rPr>
          <w:sz w:val="20"/>
          <w:szCs w:val="20"/>
          <w:color w:val="auto"/>
        </w:rPr>
      </w:pPr>
    </w:p>
    <w:p>
      <w:pPr>
        <w:ind w:left="4960"/>
        <w:spacing w:after="0"/>
        <w:tabs>
          <w:tab w:leader="none" w:pos="670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24765</wp:posOffset>
            </wp:positionV>
            <wp:extent cx="21774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24765</wp:posOffset>
            </wp:positionV>
            <wp:extent cx="21856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2" w:lineRule="exact"/>
        <w:rPr>
          <w:sz w:val="20"/>
          <w:szCs w:val="20"/>
          <w:color w:val="auto"/>
        </w:rPr>
      </w:pPr>
    </w:p>
    <w:p>
      <w:pPr>
        <w:ind w:left="60"/>
        <w:spacing w:after="0"/>
        <w:tabs>
          <w:tab w:leader="none" w:pos="180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24765</wp:posOffset>
            </wp:positionV>
            <wp:extent cx="21856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9" w:lineRule="exact"/>
        <w:rPr>
          <w:sz w:val="20"/>
          <w:szCs w:val="20"/>
          <w:color w:val="auto"/>
        </w:rPr>
      </w:pPr>
    </w:p>
    <w:p>
      <w:pPr>
        <w:sectPr>
          <w:pgSz w:w="11900" w:h="16838" w:orient="portrait"/>
          <w:cols w:equalWidth="0" w:num="2">
            <w:col w:w="7720" w:space="720"/>
            <w:col w:w="28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72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2.7%</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 - 1.9%</w:t>
            </w:r>
          </w:p>
        </w:tc>
        <w:tc>
          <w:tcPr>
            <w:tcW w:w="17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1.5%-1.9%</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0.5%-0.7%</w:t>
            </w: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7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77.5%</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77.7%</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73.7%</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68.8%</w:t>
            </w: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72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8.73 – 9.88</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7.73 – 9.49</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8.39-9.82</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7.38-9.87</w:t>
            </w:r>
          </w:p>
        </w:tc>
      </w:tr>
      <w:tr>
        <w:trPr>
          <w:trHeight w:val="234"/>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7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Certain stock options granted under the 2017 Plan provide stock option holders the right to exercise unvested stock options in exchange for restricted shares of Class A common stock. The Company has also issued restricted shares of Class A common stock to employees and directors under the Plan. The restricted shares of Class A common stock related to early exercised stock options and restricted shares of Class A common stock awards are subject to repurchase by the Company at the original purchase price in the event that the optionee’s employment is terminated prior to the shares vesting. The consideration received for early exercised stock options and for shares sold pursuant to restricted stock purchase agreements is recorded as a liability on the balance sheets and reclassified to stockholders’ equity as the shares vest.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activity of restricted shares of Class A common stock under the 2017 Plan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194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tcPr>
          <w:p>
            <w:pPr>
              <w:jc w:val="center"/>
              <w:ind w:right="174"/>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2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2017</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1,691,190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2,395,346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December 31, 2019</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1,499,715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(unaudited)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Repurchased (unaudited)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(unaudited)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September 30, 2020 (unaudited)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1,192,560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restricted shares of Class A common stock that vested during the years ended December 31, 2018 and 2019, was $0.2 million and $0.3 million, respectively, and was $0.4 million for nine months ended September 30, 2020 (unaudited).</w:t>
      </w:r>
    </w:p>
    <w:p>
      <w:pPr>
        <w:spacing w:after="0" w:line="10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Amounts due from the Company’s employees, directors and consultants for the exercise of stock options and related tax withholding of $0.7 million are recorded as other receivables, related parties on the balance sheet as of September 30, 2020 (unaudited), all of which were received by the Company in October 2020.</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(unaudited), the Company granted certain employees 335,194 RSUs under the 2020 RSU Plan that entitle the holder to receive shares of Class A common stock upon vesting. The Company has not recognized any stock-based compensation for these RSUs, which vest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17" w:right="339" w:bottom="1440" w:gutter="0" w:footer="0" w:header="0"/>
          <w:type w:val="continuous"/>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satisfaction of both a service condition and a performance condition that is satisfied upon the closing of the IPO and is not considered probable until such event occurs. Stock-based compensation will be recognized using the accelerated attribution method from the grant date upon achievement of the performance condition. 50% of the RSUs vest upon the one-year anniversary of the IPO and the remaining 50% vest upon the two-year anniversary of the IPO. The weighted-average grant date fair value of the RSUs was $3.39 per share.</w:t>
      </w:r>
    </w:p>
    <w:p>
      <w:pPr>
        <w:spacing w:after="0" w:line="12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If the performance condition had been achieved as of September 30, 2020, the Company would have recognized $0.2 million in additional stock-based compensation related to the RSUs for the service period rendered from the date of grant through September 30, 2020.</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stock-based compensation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80" w:type="dxa"/>
            <w:vAlign w:val="bottom"/>
          </w:tcPr>
          <w:p>
            <w:pPr>
              <w:spacing w:after="0"/>
              <w:rPr>
                <w:sz w:val="18"/>
                <w:szCs w:val="18"/>
                <w:color w:val="auto"/>
              </w:rPr>
            </w:pPr>
          </w:p>
        </w:tc>
        <w:tc>
          <w:tcPr>
            <w:tcW w:w="246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0"/>
        </w:trPr>
        <w:tc>
          <w:tcPr>
            <w:tcW w:w="4980" w:type="dxa"/>
            <w:vAlign w:val="bottom"/>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8"/>
        </w:trPr>
        <w:tc>
          <w:tcPr>
            <w:tcW w:w="4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60" w:type="dxa"/>
            <w:vAlign w:val="bottom"/>
          </w:tcPr>
          <w:p>
            <w:pPr>
              <w:spacing w:after="0"/>
              <w:rPr>
                <w:sz w:val="16"/>
                <w:szCs w:val="16"/>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granted to employees and directors</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granted to non-employees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shares of Class A common stock</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1"/>
        </w:trPr>
        <w:tc>
          <w:tcPr>
            <w:tcW w:w="4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recognized in the Company’s statements of operations and comprehensive loss (in thousands):</w:t>
      </w:r>
    </w:p>
    <w:p>
      <w:pPr>
        <w:sectPr>
          <w:pgSz w:w="11900" w:h="16838" w:orient="portrait"/>
          <w:cols w:equalWidth="0" w:num="1">
            <w:col w:w="11240"/>
          </w:cols>
          <w:pgMar w:left="320" w:top="117" w:right="339" w:bottom="1440" w:gutter="0" w:footer="0" w:header="0"/>
        </w:sectPr>
      </w:pPr>
    </w:p>
    <w:p>
      <w:pPr>
        <w:spacing w:after="0" w:line="15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33655</wp:posOffset>
            </wp:positionV>
            <wp:extent cx="21856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49" w:lineRule="exact"/>
        <w:rPr>
          <w:sz w:val="20"/>
          <w:szCs w:val="20"/>
          <w:color w:val="auto"/>
        </w:rPr>
      </w:pPr>
    </w:p>
    <w:p>
      <w:pPr>
        <w:ind w:left="5100"/>
        <w:spacing w:after="0"/>
        <w:tabs>
          <w:tab w:leader="none" w:pos="686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33655</wp:posOffset>
            </wp:positionV>
            <wp:extent cx="21856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24765</wp:posOffset>
            </wp:positionV>
            <wp:extent cx="20485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9" w:lineRule="exact"/>
        <w:rPr>
          <w:sz w:val="20"/>
          <w:szCs w:val="20"/>
          <w:color w:val="auto"/>
        </w:rPr>
      </w:pPr>
    </w:p>
    <w:p>
      <w:pPr>
        <w:ind w:left="10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24765</wp:posOffset>
            </wp:positionV>
            <wp:extent cx="20485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9" w:lineRule="exact"/>
        <w:rPr>
          <w:sz w:val="20"/>
          <w:szCs w:val="20"/>
          <w:color w:val="auto"/>
        </w:rPr>
      </w:pPr>
    </w:p>
    <w:p>
      <w:pPr>
        <w:sectPr>
          <w:pgSz w:w="11900" w:h="16838" w:orient="portrait"/>
          <w:cols w:equalWidth="0" w:num="2">
            <w:col w:w="7840" w:space="720"/>
            <w:col w:w="26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3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385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2019 and September 30, 2020 (unaudited), the total unrecognized stock-based compensation related to unvested stock options and restricted stock awards was $3.8 million and $14.7 million, which the Company expects to recognize over a remaining weighted-average period of 2.71 years and 1.71 years, respectively.</w:t>
      </w:r>
    </w:p>
    <w:p>
      <w:pPr>
        <w:spacing w:after="0" w:line="122"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granted 59,577 shares of performance-based stock options in February 2018 through June 2019, of which 3,504 shares have vested or been determined to be probable to vest as of December 31, 2019. There is $0.1 million in unrecognized stock-based compensation associated with options not determined to be probable of vesting as of December 31, 2019.</w:t>
      </w:r>
    </w:p>
    <w:p>
      <w:pPr>
        <w:spacing w:after="0" w:line="118"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sponsors a qualified 401(k) defined contribution plan covering eligible employees. Participants may contribute a portion of their annual compensation limited to a maximum annual amount set by the Internal Revenue Service. There were no employer contributions under this plan for fiscal 2018 and 2019 or during the nine months ended September 30, 2020 (unaudited).</w:t>
      </w:r>
    </w:p>
    <w:p>
      <w:pPr>
        <w:spacing w:after="0" w:line="118"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Facility Lease Agreement</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On March 1, 2018, the Company entered into an 18-month sublease agreement for its facility in South San Francisco, California. In March 2019, the Company extended the lease term until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17" w:right="339" w:bottom="1440" w:gutter="0" w:footer="0" w:header="0"/>
          <w:type w:val="continuous"/>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On January 4, 2019, the Company entered into a new lease agreement for office and laboratory space in Redwood City, California. The lease term commenced in November 2019 and ends on September 30, 2029. As of December 31, 2019, the Company has moved into this facility and no longer occupies the facility in South San Francisco. In connection with the lease, the Company maintains a letter of credit issued to the lessor in the amount of $0.3 million, which is secured by restricted cash that is classified as non-current based on the term of the underlying lease.</w:t>
      </w:r>
    </w:p>
    <w:p>
      <w:pPr>
        <w:spacing w:after="0" w:line="12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2020 (unaudited), the Company entered into an amendment to the lease agreement with respect to its facility in Redwood City, California in June 2020. The amendment is accounted for as a new operating lease. The amendment makes certain changes to the original lease, including (i) additional office and laboratory space in the same building (Expansion Premises) and (ii) an extension of the expiration date of the original lease to 127.5 months following the delivery date of the Expansion Premises, which is estimated to be July 1, 2021.</w:t>
      </w:r>
    </w:p>
    <w:p>
      <w:pPr>
        <w:spacing w:after="0" w:line="126"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Under the amendment, the Company retains its original option to renew the lease for an additional five-year term, at then-current market rates.</w:t>
      </w:r>
    </w:p>
    <w:p>
      <w:pPr>
        <w:spacing w:after="0" w:line="126"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During the period from the lease amendment commencement until the earlier of one month after occupancy of the Expansion Premises or September 2021, the Company will be provided with temporary space. The Company is not required to pay additional rent for the temporary space, but is required to pay property taxes, insurance and normal maintenance costs with respect to the temporary space.</w:t>
      </w:r>
    </w:p>
    <w:p>
      <w:pPr>
        <w:spacing w:after="0" w:line="122"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Rent expense was $0.4 million and $0.6 million for the years ended December 31, 2018 and 2019, respectively, and was $0.4 million and $0.5 million for the nine months ended September 30, 2019 and 2020 (unaudited). The Company is required to pay property taxes, insurance, and normal maintenance costs for the facility and will be required to pay any increases over the base year of these expenses.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2019, future minimum commitments under the Company’s non-cancelable facility operating lease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8"/>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w:t>
            </w:r>
          </w:p>
        </w:tc>
      </w:tr>
      <w:tr>
        <w:trPr>
          <w:trHeight w:val="248"/>
        </w:trPr>
        <w:tc>
          <w:tcPr>
            <w:tcW w:w="9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2020 (unaudited), future minimum commitments under the Company’s non-cancelable facility operating lease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8"/>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(three months remaining)</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14,728</w:t>
            </w:r>
          </w:p>
        </w:tc>
      </w:tr>
      <w:tr>
        <w:trPr>
          <w:trHeight w:val="248"/>
        </w:trPr>
        <w:tc>
          <w:tcPr>
            <w:tcW w:w="9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20,780</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17" w:right="33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December 31, 2018 and 2019, and September 30, 2020 (unaudited), the Company does not have any material indemnification claims that were probable or reasonably possible and consequently has not recorded related liabilities.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The Company is not currently a party to any material legal proceedings.</w:t>
      </w:r>
    </w:p>
    <w:p>
      <w:pPr>
        <w:spacing w:after="0" w:line="104" w:lineRule="exact"/>
        <w:rPr>
          <w:sz w:val="20"/>
          <w:szCs w:val="20"/>
          <w:color w:val="auto"/>
        </w:rPr>
      </w:pPr>
    </w:p>
    <w:p>
      <w:pPr>
        <w:ind w:left="640" w:hanging="632"/>
        <w:spacing w:after="0"/>
        <w:tabs>
          <w:tab w:leader="none" w:pos="6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PROGNOMIQ, INC. (UNAUDITED)</w:t>
      </w:r>
    </w:p>
    <w:p>
      <w:pPr>
        <w:spacing w:after="0" w:line="175"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As discussed in Note 14, 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12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Following the distribution in August 2020, and a subsequent $55.0 million equity financing of PrognomIQ by outside investors, the Company retained a non-controlling equity interest consisting of all the outstanding shares of PrognomIQ’s common stock and representing approximately 19% of total equity interests of PrognomIQ as of September 30, 2020. The Company has accounted for the transfer of certain assets to PrognomIQ as a common control transaction based on the carrying value of the net assets transferred and therefore there was no gain or loss recorded. The carrying value of the net assets transferred to PrognomIQ was nil, except for a cash contribution of $0.1 million.</w:t>
      </w:r>
    </w:p>
    <w:p>
      <w:pPr>
        <w:spacing w:after="0" w:line="1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concluded that as of the time of the transaction and as of the $55.0 million equity financing of PrognomIQ by outside investors, which was determined to be a VIE reconsideration event,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In performing this analysis, the Company considered its explicit and implicit arrangements with PrognomIQ, a related party, and determined its maximum financial statement exposure related to the investment was its initial investment of $0.1 million.</w:t>
      </w:r>
    </w:p>
    <w:p>
      <w:pPr>
        <w:spacing w:after="0" w:line="13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has the ability to exercise significant influence over PrognomIQ and therefore has accounted for its investment in PrognomIQ using the equity method. During the nine months ended September 30, 2020, the carrying value of the Company’s investment in PrognomIQ was reduced to nil after recognizing net losses based on its percentage of ownership in PrognomIQ.</w:t>
      </w:r>
    </w:p>
    <w:p>
      <w:pPr>
        <w:spacing w:after="0" w:line="12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 Omid Farokhzad, the Company’s Chief Executive Officer and Chairman of the Board, was appointed as the chair of PrognomIQ’s board of directors. Additionally, Philip Ma resigned from his position as the Company’s Chief Business Officer and transitioned to the full-time Chief Executive Officer of PrognomIQ, effective October 15, 2020.</w:t>
      </w:r>
    </w:p>
    <w:p>
      <w:pPr>
        <w:spacing w:after="0" w:line="12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PrognomIQ constitutes a related party and as of September 30, 2020, the Company recorded $0.2 million in other receivables, related parties on the balance sheet representing amounts due for general transition services and support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17"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Company's pro-rata distribution to its stockholders of most of the shares of capital stock of PrognomIQ resulted in a taxable gain of $6.4 million in August 2020. Due to the net loss incurred during the nine months ended September 30, 2020, the Company's net operating loss carryforwards, and the full valuation allowance recorded against the Company's net deferred tax assets, there is no income tax expense reflected on the statement of operations and comprehensive loss for the nine months ended September 30, 2020 related to this distribution.</w:t>
      </w:r>
    </w:p>
    <w:p>
      <w:pPr>
        <w:spacing w:after="0" w:line="122"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computation of basic and diluted net loss per share (in thousands, except share and per share data):</w:t>
      </w:r>
    </w:p>
    <w:p>
      <w:pPr>
        <w:sectPr>
          <w:pgSz w:w="11900" w:h="16838" w:orient="portrait"/>
          <w:cols w:equalWidth="0" w:num="1">
            <w:col w:w="11240"/>
          </w:cols>
          <w:pgMar w:left="320" w:top="117" w:right="339" w:bottom="1440" w:gutter="0" w:footer="0" w:header="0"/>
        </w:sectPr>
      </w:pPr>
    </w:p>
    <w:p>
      <w:pPr>
        <w:spacing w:after="0" w:line="205"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24765</wp:posOffset>
            </wp:positionV>
            <wp:extent cx="20485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40"/>
        <w:spacing w:after="0"/>
        <w:tabs>
          <w:tab w:leader="none" w:pos="698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24765</wp:posOffset>
            </wp:positionV>
            <wp:extent cx="20485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24765</wp:posOffset>
            </wp:positionV>
            <wp:extent cx="20485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10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24765</wp:posOffset>
            </wp:positionV>
            <wp:extent cx="20485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9" w:lineRule="exact"/>
        <w:rPr>
          <w:sz w:val="20"/>
          <w:szCs w:val="20"/>
          <w:color w:val="auto"/>
        </w:rPr>
      </w:pPr>
    </w:p>
    <w:p>
      <w:pPr>
        <w:sectPr>
          <w:pgSz w:w="11900" w:h="16838" w:orient="portrait"/>
          <w:cols w:equalWidth="0" w:num="2">
            <w:col w:w="7840" w:space="720"/>
            <w:col w:w="26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(19,839)</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common shares used in computing net loss</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per share attributable to common stockholders, basic and</w:t>
            </w: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3,973,329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6,952,419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6,536,307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9,709,501</w:t>
            </w: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loss per share attributable to common stockholders, basic</w:t>
            </w: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and diluted</w:t>
            </w: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16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9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188"/>
        </w:trPr>
        <w:tc>
          <w:tcPr>
            <w:tcW w:w="4700" w:type="dxa"/>
            <w:vAlign w:val="bottom"/>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4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3"/>
          </w:tcPr>
          <w:p>
            <w:pPr>
              <w:jc w:val="center"/>
              <w:ind w:left="95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60" w:type="dxa"/>
            <w:vAlign w:val="bottom"/>
          </w:tcPr>
          <w:p>
            <w:pPr>
              <w:spacing w:after="0"/>
              <w:rPr>
                <w:sz w:val="15"/>
                <w:szCs w:val="15"/>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10,994,225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22,173,216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14,265,248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29,026,787</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options issued and outstanding</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1,475,686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2,176,102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2,184,118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7,553,500</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common stock subject to future vesting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6,775,566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3,552,409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4,293,434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1,573,436</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1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335,194</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19,245,477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27,901,727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20,742,800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38,488,917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17" w:right="339" w:bottom="1440" w:gutter="0" w:footer="0" w:header="0"/>
          <w:type w:val="continuous"/>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Net Loss per Share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Unaudited pro forma basic and diluted loss per share is computed as follows (in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0" w:type="dxa"/>
            <w:vAlign w:val="bottom"/>
          </w:tcPr>
          <w:p>
            <w:pPr>
              <w:spacing w:after="0"/>
              <w:rPr>
                <w:sz w:val="13"/>
                <w:szCs w:val="13"/>
                <w:color w:val="auto"/>
              </w:rPr>
            </w:pPr>
          </w:p>
        </w:tc>
        <w:tc>
          <w:tcPr>
            <w:tcW w:w="14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8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83"/>
        </w:trPr>
        <w:tc>
          <w:tcPr>
            <w:tcW w:w="8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00" w:type="dxa"/>
            <w:vAlign w:val="bottom"/>
            <w:gridSpan w:val="4"/>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loss attributable to common stockholders</w:t>
            </w: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Weighted-average common shares used in computing net loss per share attributable to common</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6,952,419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9,709,501</w:t>
            </w:r>
          </w:p>
        </w:tc>
        <w:tc>
          <w:tcPr>
            <w:tcW w:w="0" w:type="dxa"/>
            <w:vAlign w:val="bottom"/>
          </w:tcPr>
          <w:p>
            <w:pPr>
              <w:spacing w:after="0"/>
              <w:rPr>
                <w:sz w:val="1"/>
                <w:szCs w:val="1"/>
                <w:color w:val="auto"/>
              </w:rPr>
            </w:pPr>
          </w:p>
        </w:tc>
      </w:tr>
      <w:tr>
        <w:trPr>
          <w:trHeight w:val="230"/>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3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 to reflect the assumed conversion of convertible preferred stock</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14,502,368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25,700,054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 forma weighted-average common shares used to compute net loss per share, basic and diluted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21,454,787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35,409,555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 diluted</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differs from the amount computed by applying the statutory federal income tax rate due to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60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2"/>
        </w:trPr>
        <w:tc>
          <w:tcPr>
            <w:tcW w:w="80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r>
      <w:tr>
        <w:trPr>
          <w:trHeight w:val="183"/>
        </w:trPr>
        <w:tc>
          <w:tcPr>
            <w:tcW w:w="8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7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benefits at statutory rate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8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117" w:right="33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60" w:firstLine="324"/>
        <w:spacing w:after="0" w:line="312" w:lineRule="auto"/>
        <w:rPr>
          <w:sz w:val="20"/>
          <w:szCs w:val="20"/>
          <w:color w:val="auto"/>
        </w:rPr>
      </w:pPr>
      <w:r>
        <w:rPr>
          <w:rFonts w:ascii="Times New Roman" w:cs="Times New Roman" w:eastAsia="Times New Roman" w:hAnsi="Times New Roman"/>
          <w:sz w:val="17"/>
          <w:szCs w:val="17"/>
          <w:color w:val="auto"/>
        </w:rPr>
        <w:t>Deferred income tax reflects the tax effects of temporary differences between the carrying amounts of assets and liabilities for financial reporting purposes and the amounts used for income tax purposes. The categories that give rise to components of the deferred tax assets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reserves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deferred tax assets (liabilities)</w:t>
            </w: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tax benefit of net operating losses, temporary differences, and credit carryforwards are recorded as an asset to the extent that management assesses that realization is “more likely than not.” Management assesses the available positive and negative evidence to estimate whether sufficient future taxable income will be generated to permit use of existing deferred. A significant piece of objective negative evidence evaluated was the cumulative loss incurred since our incorporation in 2017. Such objective evidence limits the ability to consider other subjective evidence, such as our projections for future growth. On the basis of this evaluation, as of December 31, 2018 and 2019, a full valuation allowance has been recorded against our net deferred tax assets. The amount of the net deferred tax assets considered realizable, could be adjusted as estimates of future taxable income during the carryforward period are reduced or increased or if objective negative evidence in the form of cumulative losses is no longer present and additional weight is given to subjective evidence such as our projections for growth. As of December 31, 2018 and 2019, the Company had net deferred tax assets of $1.4 million and $6.2 million, respectively. For the years ended December 31, 2018 and 2019, the net changes in the net valuation allowance were an increase of $1.4 million and an increase of $4.8 million, respectively.</w:t>
      </w:r>
    </w:p>
    <w:p>
      <w:pPr>
        <w:spacing w:after="0" w:line="14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2018 and 2019, the Company had federal net operating loss carryforwards of approximately $5.0 million and $18.4 million, respectively, which do not expire. At December 31, 2018 and 2019, the Company had state net operating loss carryforwards of approximately $0.3 million and $16.7 million, respectively, which will begin to expire in 2031 for state tax purposes.</w:t>
      </w:r>
    </w:p>
    <w:p>
      <w:pPr>
        <w:spacing w:after="0" w:line="122"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2018 and 2019, the Company had federal research and development credit carryforwards of approximately $0.2 million and $0.4 million, respectively, which begin to expire in 2037 and state research and development credit carryforwards of approximately $0.2 million and $0.5 million, respectively, which will carry forward indefinitely.</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Utilization of the Company’s federal and state net operating loss and tax credit carryforwards may be subject to an annual limitation in the event that there is a change in ownership as provided by Section 382 of the Internal Revenue Code and similar state codes. Such limitation could result in a deferral or expiration of the utilization of the net operating loss and tax credit carryforwards. The Company has not performed a Section 382 analysis of its prior ownership changes to date.</w:t>
      </w:r>
    </w:p>
    <w:p>
      <w:pPr>
        <w:spacing w:after="0" w:line="12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and 2019, the Company had unrecognized tax benefits of approximately $0.1 million and $0.3 million, respectively. The amount of unrecognized tax benefits is not expected to significantly change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117"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next 12 months. No amounts would impact the effective tax rate on continuing operations as any change would offset with a corresponding adjustment to the valuation allowance. The beginning and ending unrecognized tax benefits amounts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related to prior year provisions</w:t>
            </w:r>
          </w:p>
        </w:tc>
        <w:tc>
          <w:tcPr>
            <w:tcW w:w="106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related to current year provisions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It is the Company’s policy to include any assessed penalties and interest expense related to income taxes as a component of other expense and interest expense, respectively, as necessary. Management determined that no accrual for interest and penalties was required as of December 31, 2019.</w:t>
      </w:r>
    </w:p>
    <w:p>
      <w:pPr>
        <w:spacing w:after="0" w:line="10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All tax returns will remain open for examination by the federal and state taxing authorities for three and four years, respectively, from the date of utilization of any net operating loss carryforwards or research and development credits.</w:t>
      </w:r>
    </w:p>
    <w:p>
      <w:pPr>
        <w:spacing w:after="0" w:line="10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2019 and 2020 (unaudited), the Company did not record an income tax expense. The Company will continue to maintain a full valuation allowance against its deferred tax assets as the Company believes it is more likely than not that the related deferred tax asset will not be realized. As a result, the Company’s income tax expense will remain at nil as no items that are either estimated or discrete items would impact the tax expense for the period.</w:t>
      </w:r>
    </w:p>
    <w:p>
      <w:pPr>
        <w:spacing w:after="0" w:line="12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enacted and signed into law. U.S. GAAP requires recognition of the tax effects of new legislation during the reporting period that includes the enactment date. The CARES Act includes changes to the tax provisions that benefits business entities and makes certain technical corrections to the 2017 Tax Cuts and Jobs Act. The tax relief measures for businesses include a five-year net operating loss carryback, suspension of the annual deduction limitation of 80% of taxable income from net operating losses generated in a tax year beginning after December 31, 2017, changes to the deductibility of interest, acceleration of alternative minimum tax credit refunds, payroll tax relief, and a technical correction to allow accelerated deductions for qualified improvement property. The CARES Act also provides other non-tax benefits to assist those impacted by the COVID-19 pandemic. The Company evaluated the impact of the CARES Act and determined that its adoption did not have a material impact to the income tax provision for the nine months ended September 30, 2020.</w:t>
      </w:r>
    </w:p>
    <w:p>
      <w:pPr>
        <w:spacing w:after="0" w:line="134"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5"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events subsequent from December 31, 2019 through September 25, 2020, the date at which the financial statements as of and for the years ended December 31, 2018 and 2019 were available to be issued except for the Reverse Stock Split as to which the date is as of November 30, 2020.</w:t>
      </w:r>
    </w:p>
    <w:p>
      <w:pPr>
        <w:spacing w:after="0" w:line="12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March 2020, the Company entered into a sponsored research agreement with a pharmaceutical company under which the Company is required to execute certain research and development activities for total consideration of $0.5 million.</w:t>
      </w:r>
    </w:p>
    <w:p>
      <w:pPr>
        <w:spacing w:after="0" w:line="10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In May 2020, the Company issued 6,853,571 shares of its Series D-1 convertible preferred stock at a price per share of $8.03 for gross proceeds of $55.0 million.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December 2019, an outbreak of a novel strain of coronavirus (COVID-19) originated in Wuhan, China, and has since spread globally. On March 11, 2020, the World Health Organization characterized COVID-19 as a pandemic and, on March 13, 2020, the United States declared a national emergency with respect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117" w:right="339" w:bottom="1440" w:gutter="0" w:footer="0" w:header="0"/>
        </w:sectPr>
      </w:pPr>
    </w:p>
    <w:bookmarkStart w:id="223" w:name="page224"/>
    <w:bookmarkEnd w:id="2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As a result of COVID-19, the Company’s operations experienced disruptions and restrictions on employees’ ability to work,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are located in the areas impacted by COVID-19, which may limit the Company’s ability to achieve planned progress. COVID-19 has adversely affected the broader economy and financial markets, resulting in an economic downturn that could affect the Company’s financing prospects. Continued disruptions from COVID-19 could harm the Company’s operations and the Company cannot anticipate all the ways in which it could be adversely impacted by health epidemics such as COVID-19.</w:t>
      </w:r>
    </w:p>
    <w:p>
      <w:pPr>
        <w:spacing w:after="0" w:line="135"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As of the date of the issuance of these financial statements, the COVID-19 pandemic has mainly impacted the progress of research and development activities due to the limited ability of the Company’s employees to access laboratories during times of statewide quarantine and on some of its suppliers who have experienced a surge in demand for their products resulting in supply delays for critical hardware, instrumentation and medical and testing supplies used for product development. In addition, the Company temporarily suspended its recruiting and hiring activities during the second quarter of 2020 as a result of the COVID-19 pandemic. The Company continues to monitor and assess the effects of the COVID-19 pandemic on its business, financial condition, results of operations and cash flows.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Amendment</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June 2020, the Company entered into an amendment to the lease agreement with respect to its facility in Redwood City, California. The amendment makes certain changes to the original lease, including (i) the addition of approximately 13,638 square feet of office and laboratory space in the same building (Expansion Premises) and (ii) an extension of the expiration date of the original lease to 127.5 months following the delivery date of the expansion premises, which is estimated to be July 1, 2021.</w:t>
      </w:r>
    </w:p>
    <w:p>
      <w:pPr>
        <w:spacing w:after="0" w:line="126" w:lineRule="exact"/>
        <w:rPr>
          <w:sz w:val="20"/>
          <w:szCs w:val="20"/>
          <w:color w:val="auto"/>
        </w:rPr>
      </w:pPr>
    </w:p>
    <w:p>
      <w:pPr>
        <w:jc w:val="both"/>
        <w:ind w:right="40" w:firstLine="324"/>
        <w:spacing w:after="0" w:line="258" w:lineRule="auto"/>
        <w:rPr>
          <w:sz w:val="20"/>
          <w:szCs w:val="20"/>
          <w:color w:val="auto"/>
        </w:rPr>
      </w:pPr>
      <w:r>
        <w:rPr>
          <w:rFonts w:ascii="Times New Roman" w:cs="Times New Roman" w:eastAsia="Times New Roman" w:hAnsi="Times New Roman"/>
          <w:sz w:val="18"/>
          <w:szCs w:val="18"/>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The Company is required to pay property taxes, insurance, and normal maintenance costs for the Expansion Premises, on the same terms as the existing facility. Under the amendment, the Company retains its original option to renew the lease for an additional five-year term, at then-current market rates.</w:t>
      </w:r>
    </w:p>
    <w:p>
      <w:pPr>
        <w:spacing w:after="0" w:line="1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During the period from the lease amendment commencement until the earlier of one month after occupancy of the Expansion Premises or September 2021, the Company will be provided with approximately 12,700 square feet of temporary space located in an adjacent building. The Company is not required to pay additional rent for the temporary space, but is required to pay property taxes, insurance and normal maintenance costs with respect to the temporary space.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PrognomIQ Transaction</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August 2020, the Company transferred certain assets related to disease testing to PrognomIQ, Inc. (PrognomIQ), a new wholly-owned subsidiary, in exchange for all of its outstanding equity interests. Following the transfer, the Company completed a pro-rata distribution to its stockholders of most of the shares of capital stock of PrognomIQ. Following the distribution and a subsequent $55.0 million equity financing of PrognomIQ, the Company holds approximately 19% of the outstanding capital stock in PrognomIQ. The PrognomIQ transaction will be accounted for as a common control transaction and will, therefore, be recorded using carryover basis. The Company does not expect it to have a material impact to the financial statements.</w:t>
      </w:r>
    </w:p>
    <w:p>
      <w:pPr>
        <w:spacing w:after="0" w:line="12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Omid Farokhzad, Chief Executive Officer, serves as the Chair of PrognomIQ’s board of directors. Philip Ma resigned from his position as the Company’s Chief Business Officer and transitioned to the full-time Chief Executive Officer of PrognomIQ, effective October 15, 2020.</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Furthermore, pursuant to the anti-dilution provisions included in the Company's stock incentive plan, certain adjustments were made to the number and exercise price of the outstanding stock-based compensation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20"/>
          </w:cols>
          <w:pgMar w:left="320" w:top="117" w:right="35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granted to the Company’s employees and directors to maintain the aggregate intrinsic value of the awards at the date of the spin-off. Except for these adjustments, the material terms of the awards remained unchanged, and the awards will continue to vest over their original vesting period. The Company is still evaluating the accounting for these adjustments and its impact on our results of operations and financial position.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2020, the Company’s board of directors approved an amended and restated certificate of incorporation to effect a reverse split of shares of the Company’s common stock and convertible preferred stock on a 1-for-2.14 basis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financial statements have been retrospectively adjusted to reflect the effect of the Reverse Stock Split for all periods presented.</w:t>
      </w:r>
    </w:p>
    <w:p>
      <w:pPr>
        <w:spacing w:after="0" w:line="125"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 (UNAUDITED)</w:t>
      </w:r>
    </w:p>
    <w:p>
      <w:pPr>
        <w:spacing w:after="0" w:line="17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through October 30, 2020, the date at which the unaudited financial statements as of September 30, 2020 and for the nine months ended September 30, 2019 and 2020 were issued; except for the purchase agreement disclosed below as to which the date is November 12, 2020 except for the Reverse Stock Split as to which the date is as of November 30, 2020.</w:t>
      </w:r>
    </w:p>
    <w:p>
      <w:pPr>
        <w:spacing w:after="0" w:line="12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November 12, 2020, the Company entered into a purchase agreement with Fidelity Management &amp; Research Company LLC, SoftBank, certain funds and accounts advised by T. Rowe Price Associates, Inc. and aMoon Fund to purchase an aggregate of $135.0 million of the Company’s Class A common stock in a private placement at a price per share equal to the initial public offering price. The purchase of the Company’s Class A shares will occur immediately subsequent to the closing of the Company’s initial public offering.</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2020, the Company’s board of directors approved an amended and restated certificate of incorporation to effect a reverse split of shares of the Company’s common stock and convertible preferred stock on a 1-for-2.14 basis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financial statements have been retrospectively adjusted to reflect the effect of the Reverse Stock Split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117" w:right="339" w:bottom="1440" w:gutter="0" w:footer="0" w:header="0"/>
        </w:sectPr>
      </w:pPr>
    </w:p>
    <w:bookmarkStart w:id="225" w:name="page226"/>
    <w:bookmarkEnd w:id="2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1057910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8,825,000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285115</wp:posOffset>
            </wp:positionV>
            <wp:extent cx="3000375" cy="9772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0037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Seer, Inc.</w:t>
      </w: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285115</wp:posOffset>
            </wp:positionV>
            <wp:extent cx="35744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43815</wp:posOffset>
            </wp:positionV>
            <wp:extent cx="35744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200" w:val="left"/>
          <w:tab w:leader="none" w:pos="6500" w:val="left"/>
          <w:tab w:leader="none" w:pos="10300" w:val="left"/>
        </w:tabs>
        <w:rPr>
          <w:sz w:val="20"/>
          <w:szCs w:val="20"/>
          <w:color w:val="auto"/>
        </w:rPr>
      </w:pPr>
      <w:r>
        <w:rPr>
          <w:rFonts w:ascii="Times New Roman" w:cs="Times New Roman" w:eastAsia="Times New Roman" w:hAnsi="Times New Roman"/>
          <w:sz w:val="29"/>
          <w:szCs w:val="29"/>
          <w:b w:val="1"/>
          <w:bCs w:val="1"/>
          <w:color w:val="auto"/>
        </w:rPr>
        <w:t>J.P. Morgan</w:t>
      </w:r>
      <w:r>
        <w:rPr>
          <w:sz w:val="20"/>
          <w:szCs w:val="20"/>
          <w:color w:val="auto"/>
        </w:rPr>
        <w:tab/>
      </w:r>
      <w:r>
        <w:rPr>
          <w:rFonts w:ascii="Times New Roman" w:cs="Times New Roman" w:eastAsia="Times New Roman" w:hAnsi="Times New Roman"/>
          <w:sz w:val="29"/>
          <w:szCs w:val="29"/>
          <w:b w:val="1"/>
          <w:bCs w:val="1"/>
          <w:color w:val="auto"/>
        </w:rPr>
        <w:t>Morgan Stanley</w:t>
      </w:r>
      <w:r>
        <w:rPr>
          <w:sz w:val="20"/>
          <w:szCs w:val="20"/>
          <w:color w:val="auto"/>
        </w:rPr>
        <w:tab/>
      </w:r>
      <w:r>
        <w:rPr>
          <w:rFonts w:ascii="Times New Roman" w:cs="Times New Roman" w:eastAsia="Times New Roman" w:hAnsi="Times New Roman"/>
          <w:sz w:val="29"/>
          <w:szCs w:val="29"/>
          <w:b w:val="1"/>
          <w:bCs w:val="1"/>
          <w:color w:val="auto"/>
        </w:rPr>
        <w:t>BofA Securities</w:t>
      </w:r>
      <w:r>
        <w:rPr>
          <w:sz w:val="20"/>
          <w:szCs w:val="20"/>
          <w:color w:val="auto"/>
        </w:rPr>
        <w:tab/>
      </w:r>
      <w:r>
        <w:rPr>
          <w:rFonts w:ascii="Times New Roman" w:cs="Times New Roman" w:eastAsia="Times New Roman" w:hAnsi="Times New Roman"/>
          <w:sz w:val="29"/>
          <w:szCs w:val="29"/>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sectPr>
      </w:pPr>
    </w:p>
    <w:bookmarkStart w:id="226" w:name="page227"/>
    <w:bookmarkEnd w:id="226"/>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75" w:lineRule="exact"/>
        <w:rPr>
          <w:sz w:val="20"/>
          <w:szCs w:val="20"/>
          <w:color w:val="auto"/>
        </w:rPr>
      </w:pPr>
    </w:p>
    <w:p>
      <w:pPr>
        <w:ind w:right="280" w:firstLine="324"/>
        <w:spacing w:after="0" w:line="289" w:lineRule="auto"/>
        <w:rPr>
          <w:sz w:val="20"/>
          <w:szCs w:val="20"/>
          <w:color w:val="auto"/>
        </w:rPr>
      </w:pPr>
      <w:r>
        <w:rPr>
          <w:rFonts w:ascii="Times New Roman" w:cs="Times New Roman" w:eastAsia="Times New Roman" w:hAnsi="Times New Roman"/>
          <w:sz w:val="17"/>
          <w:szCs w:val="17"/>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the filing fee of the Financial Industry Regulatory Authority, Inc., or FINRA, and the Nasdaq Stock Market LLC, or Nasdaq, listing fee.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6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Paid Or To Be</w:t>
            </w:r>
          </w:p>
        </w:tc>
      </w:tr>
      <w:tr>
        <w:trPr>
          <w:trHeight w:val="190"/>
        </w:trPr>
        <w:tc>
          <w:tcPr>
            <w:tcW w:w="9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Paid</w:t>
            </w:r>
          </w:p>
        </w:tc>
      </w:tr>
      <w:tr>
        <w:trPr>
          <w:trHeight w:val="30"/>
        </w:trPr>
        <w:tc>
          <w:tcPr>
            <w:tcW w:w="9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19,931</w:t>
            </w:r>
          </w:p>
        </w:tc>
      </w:tr>
      <w:tr>
        <w:trPr>
          <w:trHeight w:val="27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FINRA filing fee</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27,902</w:t>
            </w:r>
          </w:p>
        </w:tc>
      </w:tr>
      <w:tr>
        <w:trPr>
          <w:trHeight w:val="27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listing fee</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275,000</w:t>
            </w:r>
          </w:p>
        </w:tc>
      </w:tr>
      <w:tr>
        <w:trPr>
          <w:trHeight w:val="27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300,000</w:t>
            </w:r>
          </w:p>
        </w:tc>
      </w:tr>
      <w:tr>
        <w:trPr>
          <w:trHeight w:val="27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1,500,000</w:t>
            </w:r>
          </w:p>
        </w:tc>
      </w:tr>
      <w:tr>
        <w:trPr>
          <w:trHeight w:val="27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675,000</w:t>
            </w:r>
          </w:p>
        </w:tc>
      </w:tr>
      <w:tr>
        <w:trPr>
          <w:trHeight w:val="27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25,000</w:t>
            </w:r>
          </w:p>
        </w:tc>
      </w:tr>
      <w:tr>
        <w:trPr>
          <w:trHeight w:val="270"/>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Miscellaneous expenses</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230,000</w:t>
            </w:r>
          </w:p>
        </w:tc>
      </w:tr>
      <w:tr>
        <w:trPr>
          <w:trHeight w:val="288"/>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3,052,833</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upon the completion of this offering provides for the indemnification of the registrant’s directors and officers to the fullest extent permitted under the DGCL. In addition, the bylaws of the registrant to be in effect upon the completion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3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to be in effect upon the completion of this offering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17" w:right="339" w:bottom="1440" w:gutter="0" w:footer="0" w:header="0"/>
        </w:sectPr>
      </w:pPr>
    </w:p>
    <w:bookmarkStart w:id="227" w:name="page228"/>
    <w:bookmarkEnd w:id="227"/>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2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26"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2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Since January 1, 2017, we have issued the following unregistered securities: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Issuances of Convertible Preferred Stock</w:t>
      </w:r>
    </w:p>
    <w:p>
      <w:pPr>
        <w:spacing w:after="0" w:line="175" w:lineRule="exact"/>
        <w:rPr>
          <w:sz w:val="20"/>
          <w:szCs w:val="20"/>
          <w:color w:val="auto"/>
        </w:rPr>
      </w:pPr>
    </w:p>
    <w:p>
      <w:pPr>
        <w:ind w:left="660" w:right="360" w:hanging="328"/>
        <w:spacing w:after="0" w:line="282" w:lineRule="auto"/>
        <w:tabs>
          <w:tab w:leader="none" w:pos="6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2017, we sold 3,087,477 shares of Series A convertible preferred stock to eleven accredited investors at a price of $1.95 per share, for aggregate proceeds of approximately $6,000,000.</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2018, we sold 7,906,757 shares of Series B convertible preferred stock to eleven accredited investors at a price of $3.80 per share, for aggregate proceeds of approximately $30,000,000.</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2019 and April 12, 2019, we sold 1,869,154 and 1,401,869 shares of Series C convertible preferred stock, respectively, to eight accredited investors at a price of $5.35 per share, for total aggregate proceeds of approximately $17,500,000.</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7, 2019, we issued convertible promissory notes in the aggregate principal amount of $400,000 to two accredited investors.</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15, 2019 and December 13, 2019, we sold 7,120,588 and 787,380 shares of Series D convertible preferred stock, respectively, to 18 accredited investors at a price of $6.96 per share, for total aggregate proceeds of approximately $55,000,000, which consideration included $400,000 in cancellation of indebtedness.</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2020, we sold 6,853,582 shares of Series D-1 convertible preferred stock to 21 accredited investors at a price of $8.03 per share, for aggregate proceeds of approximately $55,000,000.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117" w:right="339" w:bottom="1440" w:gutter="0" w:footer="0" w:header="0"/>
        </w:sectPr>
      </w:pPr>
    </w:p>
    <w:bookmarkStart w:id="228" w:name="page229"/>
    <w:bookmarkEnd w:id="228"/>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Option, RSU and Common Stock Issuances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Since January 1, 2017, we have issued the following unregistered securities:</w:t>
      </w:r>
    </w:p>
    <w:p>
      <w:pPr>
        <w:spacing w:after="0" w:line="171" w:lineRule="exact"/>
        <w:rPr>
          <w:sz w:val="20"/>
          <w:szCs w:val="20"/>
          <w:color w:val="auto"/>
        </w:rPr>
      </w:pPr>
    </w:p>
    <w:p>
      <w:pPr>
        <w:jc w:val="both"/>
        <w:ind w:left="660" w:right="20" w:hanging="328"/>
        <w:spacing w:after="0" w:line="266" w:lineRule="auto"/>
        <w:tabs>
          <w:tab w:leader="none" w:pos="6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September 20, 2017 to November 30, 2020, we granted to our directors, officers, employees, consultants and other service providers options to purchase an aggregate of 10,594,209 shares of our Class A common stock under our equity compensation plans, at exercise prices ranging from approximately $0.02 to 7.97 per share.</w:t>
      </w:r>
    </w:p>
    <w:p>
      <w:pPr>
        <w:spacing w:after="0" w:line="12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September 20, 2017 to November 12, 2020 we issued and sold to our officers, directors, employees, consultants and other service providers an aggregate of 1,701,201 shares of our Class A common stock upon the exercise of options under our equity compensation plans at exercise prices ranging from $0.00002 to $3.47 per share, for a weighted-average exercise price of $0.77 per share.</w:t>
      </w:r>
    </w:p>
    <w:p>
      <w:pPr>
        <w:spacing w:after="0" w:line="12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September 20, 2017 to February 26, 2018, we issued and sold to our officers, directors, employees, consultants and other service providers an aggregate of 2,013,187 shares of our Class A common stock under our equity compensation plans at exercise prices ranging from $0.00002 to $0.03 per share.</w:t>
      </w:r>
    </w:p>
    <w:p>
      <w:pPr>
        <w:spacing w:after="0" w:line="121"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20, 2017, we issued and sold to our officers, directors, employees, consultants and other service providers an aggregate of 9,345,784 shares of our Class B common stock at a purchase price of 0.01 per share.</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April 1, 2020 to November 12, 2020, we granted to our directors, officers, employees, consultants and other service providers an aggregate of 381,922 RSUs to be settled in shares of our Class A common stock under our equity compensation plans.</w:t>
      </w:r>
    </w:p>
    <w:p>
      <w:pPr>
        <w:spacing w:after="0" w:line="10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Except as set forth below,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 and Financial Statement Schedules</w:t>
      </w:r>
    </w:p>
    <w:p>
      <w:pPr>
        <w:spacing w:after="0" w:line="171" w:lineRule="exact"/>
        <w:rPr>
          <w:sz w:val="20"/>
          <w:szCs w:val="20"/>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Exhibits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104" w:lineRule="exact"/>
        <w:rPr>
          <w:sz w:val="20"/>
          <w:szCs w:val="20"/>
          <w:color w:val="auto"/>
        </w:rPr>
      </w:pPr>
    </w:p>
    <w:p>
      <w:pPr>
        <w:ind w:left="640" w:hanging="308"/>
        <w:spacing w:after="0"/>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1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financial statements or notes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0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20"/>
          </w:cols>
          <w:pgMar w:left="320" w:top="117" w:right="359" w:bottom="1440" w:gutter="0" w:footer="0" w:header="0"/>
        </w:sectPr>
      </w:pPr>
    </w:p>
    <w:bookmarkStart w:id="229" w:name="page230"/>
    <w:bookmarkEnd w:id="229"/>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hereby undertakes that:</w:t>
      </w:r>
    </w:p>
    <w:p>
      <w:pPr>
        <w:spacing w:after="0" w:line="171" w:lineRule="exact"/>
        <w:rPr>
          <w:sz w:val="20"/>
          <w:szCs w:val="20"/>
          <w:color w:val="auto"/>
        </w:rPr>
      </w:pPr>
    </w:p>
    <w:p>
      <w:pPr>
        <w:ind w:left="660" w:hanging="328"/>
        <w:spacing w:after="0" w:line="266" w:lineRule="auto"/>
        <w:tabs>
          <w:tab w:leader="none" w:pos="65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200"/>
          </w:cols>
          <w:pgMar w:left="320" w:top="117" w:right="379" w:bottom="1440" w:gutter="0" w:footer="0" w:header="0"/>
        </w:sectPr>
      </w:pPr>
    </w:p>
    <w:bookmarkStart w:id="230" w:name="page231"/>
    <w:bookmarkEnd w:id="230"/>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40" w:type="dxa"/>
            <w:vAlign w:val="bottom"/>
            <w:gridSpan w:val="10"/>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82"/>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24"/>
                <w:szCs w:val="24"/>
                <w:color w:val="auto"/>
              </w:rPr>
            </w:pPr>
          </w:p>
        </w:tc>
        <w:tc>
          <w:tcPr>
            <w:tcW w:w="992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21"/>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5"/>
          </w:tcPr>
          <w:p>
            <w:pPr>
              <w:spacing w:after="0"/>
              <w:rPr>
                <w:rFonts w:ascii="Times New Roman" w:cs="Times New Roman" w:eastAsia="Times New Roman" w:hAnsi="Times New Roman"/>
                <w:sz w:val="17"/>
                <w:szCs w:val="17"/>
                <w:color w:val="0000FF"/>
              </w:rPr>
            </w:pPr>
            <w:hyperlink w:anchor="page234">
              <w:r>
                <w:rPr>
                  <w:rFonts w:ascii="Times New Roman" w:cs="Times New Roman" w:eastAsia="Times New Roman" w:hAnsi="Times New Roman"/>
                  <w:sz w:val="17"/>
                  <w:szCs w:val="17"/>
                  <w:u w:val="single" w:color="auto"/>
                  <w:color w:val="0000FF"/>
                </w:rPr>
                <w:t>Form of Underwriting Agreement</w:t>
              </w:r>
              <w:r>
                <w:rPr>
                  <w:rFonts w:ascii="Times New Roman" w:cs="Times New Roman" w:eastAsia="Times New Roman" w:hAnsi="Times New Roman"/>
                  <w:sz w:val="17"/>
                  <w:szCs w:val="17"/>
                  <w:color w:val="0000FF"/>
                </w:rPr>
                <w:t>.</w:t>
              </w:r>
            </w:hyperlink>
          </w:p>
        </w:tc>
      </w:tr>
      <w:tr>
        <w:trPr>
          <w:trHeight w:val="311"/>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u w:val="single" w:color="auto"/>
                <w:color w:val="0000FF"/>
              </w:rPr>
            </w:pPr>
            <w:hyperlink w:anchor="page288">
              <w:r>
                <w:rPr>
                  <w:rFonts w:ascii="Times New Roman" w:cs="Times New Roman" w:eastAsia="Times New Roman" w:hAnsi="Times New Roman"/>
                  <w:sz w:val="17"/>
                  <w:szCs w:val="17"/>
                  <w:u w:val="single" w:color="auto"/>
                  <w:color w:val="0000FF"/>
                </w:rPr>
                <w:t>Amended and Restated Certificate of Incorporation of the Registrant, as amended, as currently in effect.</w:t>
              </w:r>
            </w:hyperlink>
          </w:p>
        </w:tc>
      </w:tr>
      <w:tr>
        <w:trPr>
          <w:trHeight w:val="310"/>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color w:val="0000FF"/>
              </w:rPr>
            </w:pPr>
            <w:hyperlink w:anchor="page324">
              <w:r>
                <w:rPr>
                  <w:rFonts w:ascii="Times New Roman" w:cs="Times New Roman" w:eastAsia="Times New Roman" w:hAnsi="Times New Roman"/>
                  <w:sz w:val="17"/>
                  <w:szCs w:val="17"/>
                  <w:u w:val="single" w:color="auto"/>
                  <w:color w:val="0000FF"/>
                </w:rPr>
                <w:t>Form of Amended and Restated Certificate of Incorporation of the Registrant, to be in effect upon completion of this offering</w:t>
              </w:r>
              <w:r>
                <w:rPr>
                  <w:rFonts w:ascii="Times New Roman" w:cs="Times New Roman" w:eastAsia="Times New Roman" w:hAnsi="Times New Roman"/>
                  <w:sz w:val="17"/>
                  <w:szCs w:val="17"/>
                  <w:color w:val="0000FF"/>
                </w:rPr>
                <w:t>.</w:t>
              </w:r>
            </w:hyperlink>
          </w:p>
        </w:tc>
      </w:tr>
      <w:tr>
        <w:trPr>
          <w:trHeight w:val="311"/>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u w:val="single" w:color="auto"/>
                <w:color w:val="0000FF"/>
              </w:rPr>
            </w:pPr>
            <w:hyperlink r:id="rId111">
              <w:r>
                <w:rPr>
                  <w:rFonts w:ascii="Times New Roman" w:cs="Times New Roman" w:eastAsia="Times New Roman" w:hAnsi="Times New Roman"/>
                  <w:sz w:val="17"/>
                  <w:szCs w:val="17"/>
                  <w:u w:val="single" w:color="auto"/>
                  <w:color w:val="0000FF"/>
                </w:rPr>
                <w:t>Amended and Restated Bylaws of the Registrant, as amended, as currently in effect.</w:t>
              </w:r>
            </w:hyperlink>
          </w:p>
        </w:tc>
      </w:tr>
      <w:tr>
        <w:trPr>
          <w:trHeight w:val="310"/>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u w:val="single" w:color="auto"/>
                <w:color w:val="0000FF"/>
              </w:rPr>
            </w:pPr>
            <w:hyperlink r:id="rId112">
              <w:r>
                <w:rPr>
                  <w:rFonts w:ascii="Times New Roman" w:cs="Times New Roman" w:eastAsia="Times New Roman" w:hAnsi="Times New Roman"/>
                  <w:sz w:val="17"/>
                  <w:szCs w:val="17"/>
                  <w:u w:val="single" w:color="auto"/>
                  <w:color w:val="0000FF"/>
                </w:rPr>
                <w:t>Form of Amended and Restated Bylaws of the Registrant, to be in effect upon completion of this offering.</w:t>
              </w:r>
            </w:hyperlink>
          </w:p>
        </w:tc>
      </w:tr>
      <w:tr>
        <w:trPr>
          <w:trHeight w:val="311"/>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u w:val="single" w:color="auto"/>
                <w:color w:val="0000FF"/>
              </w:rPr>
            </w:pPr>
            <w:hyperlink r:id="rId113">
              <w:r>
                <w:rPr>
                  <w:rFonts w:ascii="Times New Roman" w:cs="Times New Roman" w:eastAsia="Times New Roman" w:hAnsi="Times New Roman"/>
                  <w:sz w:val="17"/>
                  <w:szCs w:val="17"/>
                  <w:u w:val="single" w:color="auto"/>
                  <w:color w:val="0000FF"/>
                </w:rPr>
                <w:t>Form of common stock certificate of the Registrant.</w:t>
              </w:r>
            </w:hyperlink>
          </w:p>
        </w:tc>
      </w:tr>
      <w:tr>
        <w:trPr>
          <w:trHeight w:val="272"/>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15"/>
          </w:tcPr>
          <w:p>
            <w:pPr>
              <w:spacing w:after="0"/>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Amended and Restated Investors’ Rights Agreement, by and among the Registrant and certain holders of its capital stock, dated as of May 12,</w:t>
              </w:r>
            </w:hyperlink>
          </w:p>
        </w:tc>
      </w:tr>
      <w:tr>
        <w:trPr>
          <w:trHeight w:val="183"/>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0000FF"/>
            </w:tcBorders>
            <w:gridSpan w:val="2"/>
          </w:tcPr>
          <w:p>
            <w:pPr>
              <w:spacing w:after="0" w:line="183"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2020.</w:t>
              </w:r>
            </w:hyperlink>
          </w:p>
        </w:tc>
        <w:tc>
          <w:tcPr>
            <w:tcW w:w="82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36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2320" w:type="dxa"/>
            <w:vAlign w:val="bottom"/>
            <w:tcBorders>
              <w:top w:val="single" w:sz="8" w:color="0000FF"/>
            </w:tcBorders>
          </w:tcPr>
          <w:p>
            <w:pPr>
              <w:spacing w:after="0"/>
              <w:rPr>
                <w:sz w:val="15"/>
                <w:szCs w:val="15"/>
                <w:color w:val="auto"/>
              </w:rPr>
            </w:pPr>
          </w:p>
        </w:tc>
        <w:tc>
          <w:tcPr>
            <w:tcW w:w="138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Form of Amended and Restated Investors’ Rights Agreement, by and among the Registrant and certain holders of its capital stock, to be in</w:t>
              </w:r>
            </w:hyperlink>
          </w:p>
        </w:tc>
      </w:tr>
      <w:tr>
        <w:trPr>
          <w:trHeight w:val="169"/>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80" w:type="dxa"/>
            <w:vAlign w:val="bottom"/>
            <w:tcBorders>
              <w:top w:val="single" w:sz="8" w:color="0000FF"/>
            </w:tcBorders>
            <w:gridSpan w:val="11"/>
          </w:tcPr>
          <w:p>
            <w:pPr>
              <w:spacing w:after="0" w:line="169"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effect upon completion of the offering and private placement.</w:t>
              </w:r>
            </w:hyperlink>
          </w:p>
        </w:tc>
        <w:tc>
          <w:tcPr>
            <w:tcW w:w="3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16"/>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top w:val="single" w:sz="8" w:color="0000FF"/>
            </w:tcBorders>
            <w:gridSpan w:val="6"/>
          </w:tcPr>
          <w:p>
            <w:pPr>
              <w:spacing w:after="0"/>
              <w:rPr>
                <w:rFonts w:ascii="Times New Roman" w:cs="Times New Roman" w:eastAsia="Times New Roman" w:hAnsi="Times New Roman"/>
                <w:sz w:val="17"/>
                <w:szCs w:val="17"/>
                <w:u w:val="single" w:color="auto"/>
                <w:color w:val="0000FF"/>
              </w:rPr>
            </w:pPr>
            <w:hyperlink w:anchor="page337">
              <w:r>
                <w:rPr>
                  <w:rFonts w:ascii="Times New Roman" w:cs="Times New Roman" w:eastAsia="Times New Roman" w:hAnsi="Times New Roman"/>
                  <w:sz w:val="17"/>
                  <w:szCs w:val="17"/>
                  <w:u w:val="single" w:color="auto"/>
                  <w:color w:val="0000FF"/>
                </w:rPr>
                <w:t>Opinion of Wilson Sonsini Goodrich &amp; Rosati, P.C.</w:t>
              </w:r>
            </w:hyperlink>
          </w:p>
        </w:tc>
        <w:tc>
          <w:tcPr>
            <w:tcW w:w="5720" w:type="dxa"/>
            <w:vAlign w:val="bottom"/>
            <w:gridSpan w:val="9"/>
          </w:tcPr>
          <w:p>
            <w:pPr>
              <w:spacing w:after="0"/>
              <w:rPr>
                <w:sz w:val="24"/>
                <w:szCs w:val="24"/>
                <w:color w:val="auto"/>
              </w:rPr>
            </w:pPr>
          </w:p>
        </w:tc>
      </w:tr>
      <w:tr>
        <w:trPr>
          <w:trHeight w:val="311"/>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u w:val="single" w:color="auto"/>
                <w:color w:val="0000FF"/>
              </w:rPr>
            </w:pPr>
            <w:hyperlink r:id="rId116">
              <w:r>
                <w:rPr>
                  <w:rFonts w:ascii="Times New Roman" w:cs="Times New Roman" w:eastAsia="Times New Roman" w:hAnsi="Times New Roman"/>
                  <w:sz w:val="17"/>
                  <w:szCs w:val="17"/>
                  <w:u w:val="single" w:color="auto"/>
                  <w:color w:val="0000FF"/>
                </w:rPr>
                <w:t>Form of Indemnification Agreement between the Registrant and each of its directors and executive officers.</w:t>
              </w:r>
            </w:hyperlink>
          </w:p>
        </w:tc>
      </w:tr>
      <w:tr>
        <w:trPr>
          <w:trHeight w:val="310"/>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u w:val="single" w:color="auto"/>
                <w:color w:val="0000FF"/>
              </w:rPr>
            </w:pPr>
            <w:hyperlink w:anchor="page339">
              <w:r>
                <w:rPr>
                  <w:rFonts w:ascii="Times New Roman" w:cs="Times New Roman" w:eastAsia="Times New Roman" w:hAnsi="Times New Roman"/>
                  <w:sz w:val="17"/>
                  <w:szCs w:val="17"/>
                  <w:u w:val="single" w:color="auto"/>
                  <w:color w:val="0000FF"/>
                </w:rPr>
                <w:t>2020 Equity Incentive Plan and related form agreements.</w:t>
              </w:r>
            </w:hyperlink>
          </w:p>
        </w:tc>
      </w:tr>
      <w:tr>
        <w:trPr>
          <w:trHeight w:val="311"/>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u w:val="single" w:color="auto"/>
                <w:color w:val="0000FF"/>
              </w:rPr>
            </w:pPr>
            <w:hyperlink w:anchor="page406">
              <w:r>
                <w:rPr>
                  <w:rFonts w:ascii="Times New Roman" w:cs="Times New Roman" w:eastAsia="Times New Roman" w:hAnsi="Times New Roman"/>
                  <w:sz w:val="17"/>
                  <w:szCs w:val="17"/>
                  <w:u w:val="single" w:color="auto"/>
                  <w:color w:val="0000FF"/>
                </w:rPr>
                <w:t>2017 Equity Incentive Plan and related form agreements.</w:t>
              </w:r>
            </w:hyperlink>
          </w:p>
        </w:tc>
      </w:tr>
      <w:tr>
        <w:trPr>
          <w:trHeight w:val="310"/>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u w:val="single" w:color="auto"/>
                <w:color w:val="0000FF"/>
              </w:rPr>
            </w:pPr>
            <w:hyperlink w:anchor="page419">
              <w:r>
                <w:rPr>
                  <w:rFonts w:ascii="Times New Roman" w:cs="Times New Roman" w:eastAsia="Times New Roman" w:hAnsi="Times New Roman"/>
                  <w:sz w:val="17"/>
                  <w:szCs w:val="17"/>
                  <w:u w:val="single" w:color="auto"/>
                  <w:color w:val="0000FF"/>
                </w:rPr>
                <w:t>2020 RSU Equity Incentive Plan and related form agreements.</w:t>
              </w:r>
            </w:hyperlink>
          </w:p>
        </w:tc>
      </w:tr>
      <w:tr>
        <w:trPr>
          <w:trHeight w:val="311"/>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u w:val="single" w:color="auto"/>
                <w:color w:val="0000FF"/>
              </w:rPr>
            </w:pPr>
            <w:hyperlink w:anchor="page432">
              <w:r>
                <w:rPr>
                  <w:rFonts w:ascii="Times New Roman" w:cs="Times New Roman" w:eastAsia="Times New Roman" w:hAnsi="Times New Roman"/>
                  <w:sz w:val="17"/>
                  <w:szCs w:val="17"/>
                  <w:u w:val="single" w:color="auto"/>
                  <w:color w:val="0000FF"/>
                </w:rPr>
                <w:t>2020 Employee Stock Purchase Plan.</w:t>
              </w:r>
            </w:hyperlink>
          </w:p>
        </w:tc>
      </w:tr>
      <w:tr>
        <w:trPr>
          <w:trHeight w:val="310"/>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u w:val="single" w:color="auto"/>
                <w:color w:val="0000FF"/>
              </w:rPr>
            </w:pPr>
            <w:hyperlink w:anchor="page458">
              <w:r>
                <w:rPr>
                  <w:rFonts w:ascii="Times New Roman" w:cs="Times New Roman" w:eastAsia="Times New Roman" w:hAnsi="Times New Roman"/>
                  <w:sz w:val="17"/>
                  <w:szCs w:val="17"/>
                  <w:u w:val="single" w:color="auto"/>
                  <w:color w:val="0000FF"/>
                </w:rPr>
                <w:t>Key Executive Change in Control and Severance Plan, and form of Participation Agreement thereunder.</w:t>
              </w:r>
            </w:hyperlink>
          </w:p>
        </w:tc>
      </w:tr>
      <w:tr>
        <w:trPr>
          <w:trHeight w:val="310"/>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u w:val="single" w:color="auto"/>
                <w:color w:val="0000FF"/>
              </w:rPr>
            </w:pPr>
            <w:hyperlink w:anchor="page485">
              <w:r>
                <w:rPr>
                  <w:rFonts w:ascii="Times New Roman" w:cs="Times New Roman" w:eastAsia="Times New Roman" w:hAnsi="Times New Roman"/>
                  <w:sz w:val="17"/>
                  <w:szCs w:val="17"/>
                  <w:u w:val="single" w:color="auto"/>
                  <w:color w:val="0000FF"/>
                </w:rPr>
                <w:t>Confirmatory Offer Letter between the Registrant and Dr. Omid Farokhzad, dated November 30, 2020.</w:t>
              </w:r>
            </w:hyperlink>
          </w:p>
        </w:tc>
      </w:tr>
      <w:tr>
        <w:trPr>
          <w:trHeight w:val="310"/>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u w:val="single" w:color="auto"/>
                <w:color w:val="0000FF"/>
              </w:rPr>
            </w:pPr>
            <w:hyperlink w:anchor="page492">
              <w:r>
                <w:rPr>
                  <w:rFonts w:ascii="Times New Roman" w:cs="Times New Roman" w:eastAsia="Times New Roman" w:hAnsi="Times New Roman"/>
                  <w:sz w:val="17"/>
                  <w:szCs w:val="17"/>
                  <w:u w:val="single" w:color="auto"/>
                  <w:color w:val="0000FF"/>
                </w:rPr>
                <w:t>Confirmatory Offer Letter between the Registrant and Omead Ostadan, dated November 30, 2020.</w:t>
              </w:r>
            </w:hyperlink>
          </w:p>
        </w:tc>
      </w:tr>
      <w:tr>
        <w:trPr>
          <w:trHeight w:val="311"/>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u w:val="single" w:color="auto"/>
                <w:color w:val="0000FF"/>
              </w:rPr>
            </w:pPr>
            <w:hyperlink w:anchor="page499">
              <w:r>
                <w:rPr>
                  <w:rFonts w:ascii="Times New Roman" w:cs="Times New Roman" w:eastAsia="Times New Roman" w:hAnsi="Times New Roman"/>
                  <w:sz w:val="17"/>
                  <w:szCs w:val="17"/>
                  <w:u w:val="single" w:color="auto"/>
                  <w:color w:val="0000FF"/>
                </w:rPr>
                <w:t>Confirmatory Offer Letter between the Registrant and David Horn, dated November 30, 2020.</w:t>
              </w:r>
            </w:hyperlink>
          </w:p>
        </w:tc>
      </w:tr>
      <w:tr>
        <w:trPr>
          <w:trHeight w:val="272"/>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15"/>
          </w:tcPr>
          <w:p>
            <w:pPr>
              <w:spacing w:after="0"/>
              <w:rPr>
                <w:rFonts w:ascii="Times New Roman" w:cs="Times New Roman" w:eastAsia="Times New Roman" w:hAnsi="Times New Roman"/>
                <w:sz w:val="17"/>
                <w:szCs w:val="17"/>
                <w:color w:val="0000FF"/>
              </w:rPr>
            </w:pPr>
            <w:hyperlink w:anchor="page504">
              <w:r>
                <w:rPr>
                  <w:rFonts w:ascii="Times New Roman" w:cs="Times New Roman" w:eastAsia="Times New Roman" w:hAnsi="Times New Roman"/>
                  <w:sz w:val="17"/>
                  <w:szCs w:val="17"/>
                  <w:u w:val="single" w:color="auto"/>
                  <w:color w:val="0000FF"/>
                </w:rPr>
                <w:t>CEO Change in Control and Severance Agreement between the Registrant and Dr. Omid Farokhzad, dated November 30,</w:t>
              </w:r>
              <w:r>
                <w:rPr>
                  <w:rFonts w:ascii="Times New Roman" w:cs="Times New Roman" w:eastAsia="Times New Roman" w:hAnsi="Times New Roman"/>
                  <w:sz w:val="17"/>
                  <w:szCs w:val="17"/>
                  <w:color w:val="0000FF"/>
                </w:rPr>
                <w:t xml:space="preserve"> 20</w:t>
              </w:r>
            </w:hyperlink>
            <w:r>
              <w:rPr>
                <w:rFonts w:ascii="Times New Roman" w:cs="Times New Roman" w:eastAsia="Times New Roman" w:hAnsi="Times New Roman"/>
                <w:sz w:val="17"/>
                <w:szCs w:val="17"/>
                <w:color w:val="0000FF"/>
              </w:rPr>
              <w:t>20.</w:t>
            </w:r>
          </w:p>
        </w:tc>
      </w:tr>
      <w:tr>
        <w:trPr>
          <w:trHeight w:val="329"/>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20" w:type="dxa"/>
            <w:vAlign w:val="bottom"/>
            <w:gridSpan w:val="9"/>
          </w:tcPr>
          <w:p>
            <w:pPr>
              <w:spacing w:after="0"/>
              <w:rPr>
                <w:rFonts w:ascii="Times New Roman" w:cs="Times New Roman" w:eastAsia="Times New Roman" w:hAnsi="Times New Roman"/>
                <w:sz w:val="17"/>
                <w:szCs w:val="17"/>
                <w:color w:val="0000FF"/>
              </w:rPr>
            </w:pPr>
            <w:hyperlink w:anchor="page521">
              <w:r>
                <w:rPr>
                  <w:rFonts w:ascii="Times New Roman" w:cs="Times New Roman" w:eastAsia="Times New Roman" w:hAnsi="Times New Roman"/>
                  <w:sz w:val="17"/>
                  <w:szCs w:val="17"/>
                  <w:u w:val="single" w:color="auto"/>
                  <w:color w:val="0000FF"/>
                </w:rPr>
                <w:t>Executive Incentive Compensation Plan</w:t>
              </w:r>
            </w:hyperlink>
            <w:r>
              <w:rPr>
                <w:rFonts w:ascii="Times New Roman" w:cs="Times New Roman" w:eastAsia="Times New Roman" w:hAnsi="Times New Roman"/>
                <w:sz w:val="17"/>
                <w:szCs w:val="17"/>
                <w:color w:val="000000"/>
              </w:rPr>
              <w:t>.</w:t>
            </w:r>
          </w:p>
        </w:tc>
        <w:tc>
          <w:tcPr>
            <w:tcW w:w="220" w:type="dxa"/>
            <w:vAlign w:val="bottom"/>
            <w:tcBorders>
              <w:top w:val="single" w:sz="8" w:color="0000FF"/>
            </w:tcBorders>
          </w:tcPr>
          <w:p>
            <w:pPr>
              <w:spacing w:after="0"/>
              <w:rPr>
                <w:sz w:val="24"/>
                <w:szCs w:val="24"/>
                <w:color w:val="auto"/>
              </w:rPr>
            </w:pPr>
          </w:p>
        </w:tc>
        <w:tc>
          <w:tcPr>
            <w:tcW w:w="1180" w:type="dxa"/>
            <w:vAlign w:val="bottom"/>
            <w:gridSpan w:val="5"/>
          </w:tcPr>
          <w:p>
            <w:pPr>
              <w:spacing w:after="0"/>
              <w:rPr>
                <w:sz w:val="24"/>
                <w:szCs w:val="24"/>
                <w:color w:val="auto"/>
              </w:rPr>
            </w:pPr>
          </w:p>
        </w:tc>
      </w:tr>
      <w:tr>
        <w:trPr>
          <w:trHeight w:val="310"/>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u w:val="single" w:color="auto"/>
                <w:color w:val="0000FF"/>
              </w:rPr>
            </w:pPr>
            <w:hyperlink w:anchor="page529">
              <w:r>
                <w:rPr>
                  <w:rFonts w:ascii="Times New Roman" w:cs="Times New Roman" w:eastAsia="Times New Roman" w:hAnsi="Times New Roman"/>
                  <w:sz w:val="17"/>
                  <w:szCs w:val="17"/>
                  <w:u w:val="single" w:color="auto"/>
                  <w:color w:val="0000FF"/>
                </w:rPr>
                <w:t>Outside Director Compensation Policy.</w:t>
              </w:r>
            </w:hyperlink>
          </w:p>
        </w:tc>
      </w:tr>
      <w:tr>
        <w:trPr>
          <w:trHeight w:val="272"/>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15"/>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u w:val="single" w:color="auto"/>
                  <w:color w:val="0000FF"/>
                </w:rPr>
                <w:t>Umbrella Development &amp; Supply Agreement between the Registrant and Hamilton Company, dated March 9, 2020</w:t>
              </w:r>
              <w:r>
                <w:rPr>
                  <w:rFonts w:ascii="Times New Roman" w:cs="Times New Roman" w:eastAsia="Times New Roman" w:hAnsi="Times New Roman"/>
                  <w:sz w:val="17"/>
                  <w:szCs w:val="17"/>
                  <w:color w:val="0000FF"/>
                </w:rPr>
                <w:t xml:space="preserve"> (previously filed as Exhibit</w:t>
              </w:r>
            </w:hyperlink>
          </w:p>
        </w:tc>
      </w:tr>
      <w:tr>
        <w:trPr>
          <w:trHeight w:val="182"/>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00" w:type="dxa"/>
            <w:vAlign w:val="bottom"/>
            <w:gridSpan w:val="8"/>
          </w:tcPr>
          <w:p>
            <w:pPr>
              <w:spacing w:after="0" w:line="183"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14</w:t>
              </w:r>
              <w:r>
                <w:rPr>
                  <w:rFonts w:ascii="Times New Roman" w:cs="Times New Roman" w:eastAsia="Times New Roman" w:hAnsi="Times New Roman"/>
                  <w:sz w:val="17"/>
                  <w:szCs w:val="17"/>
                  <w:color w:val="0000FF"/>
                </w:rPr>
                <w:t xml:space="preserve"> to the Registrant’s Registration </w:t>
              </w:r>
              <w:r>
                <w:rPr>
                  <w:rFonts w:ascii="Times New Roman" w:cs="Times New Roman" w:eastAsia="Times New Roman" w:hAnsi="Times New Roman"/>
                  <w:sz w:val="17"/>
                  <w:szCs w:val="17"/>
                  <w:u w:val="single" w:color="auto"/>
                  <w:color w:val="0000FF"/>
                </w:rPr>
                <w:t>Statement</w:t>
              </w:r>
              <w:r>
                <w:rPr>
                  <w:rFonts w:ascii="Times New Roman" w:cs="Times New Roman" w:eastAsia="Times New Roman" w:hAnsi="Times New Roman"/>
                  <w:sz w:val="17"/>
                  <w:szCs w:val="17"/>
                  <w:color w:val="0000FF"/>
                </w:rPr>
                <w:t xml:space="preserve"> on Form S-1 filed with the Commission on November </w:t>
              </w:r>
              <w:r>
                <w:rPr>
                  <w:rFonts w:ascii="Times New Roman" w:cs="Times New Roman" w:eastAsia="Times New Roman" w:hAnsi="Times New Roman"/>
                  <w:sz w:val="17"/>
                  <w:szCs w:val="17"/>
                  <w:u w:val="single" w:color="auto"/>
                  <w:color w:val="0000FF"/>
                </w:rPr>
                <w:t>12, 2020).</w:t>
              </w:r>
            </w:hyperlink>
          </w:p>
        </w:tc>
        <w:tc>
          <w:tcPr>
            <w:tcW w:w="1900" w:type="dxa"/>
            <w:vAlign w:val="bottom"/>
            <w:tcBorders>
              <w:top w:val="single" w:sz="8" w:color="0000FF"/>
            </w:tcBorders>
            <w:gridSpan w:val="5"/>
          </w:tcPr>
          <w:p>
            <w:pPr>
              <w:spacing w:after="0"/>
              <w:rPr>
                <w:sz w:val="15"/>
                <w:szCs w:val="15"/>
                <w:color w:val="auto"/>
              </w:rPr>
            </w:pPr>
          </w:p>
        </w:tc>
        <w:tc>
          <w:tcPr>
            <w:tcW w:w="120" w:type="dxa"/>
            <w:vAlign w:val="bottom"/>
            <w:gridSpan w:val="2"/>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33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9"/>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u w:val="single" w:color="auto"/>
                <w:color w:val="0000FF"/>
              </w:rPr>
            </w:pPr>
            <w:hyperlink r:id="rId118">
              <w:r>
                <w:rPr>
                  <w:rFonts w:ascii="Times New Roman" w:cs="Times New Roman" w:eastAsia="Times New Roman" w:hAnsi="Times New Roman"/>
                  <w:sz w:val="17"/>
                  <w:szCs w:val="17"/>
                  <w:u w:val="single" w:color="auto"/>
                  <w:color w:val="0000FF"/>
                </w:rPr>
                <w:t>Exclusive Patent License Agreement between the Registrant and The Brigham and Women’s Hospital, Inc., dated December 18, 2017</w:t>
              </w:r>
            </w:hyperlink>
          </w:p>
        </w:tc>
      </w:tr>
      <w:tr>
        <w:trPr>
          <w:trHeight w:val="222"/>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5"/>
          </w:tcPr>
          <w:p>
            <w:pPr>
              <w:spacing w:after="0"/>
              <w:rPr>
                <w:rFonts w:ascii="Times New Roman" w:cs="Times New Roman" w:eastAsia="Times New Roman" w:hAnsi="Times New Roman"/>
                <w:sz w:val="17"/>
                <w:szCs w:val="17"/>
                <w:u w:val="single" w:color="auto"/>
                <w:color w:val="0000FF"/>
              </w:rPr>
            </w:pPr>
            <w:hyperlink r:id="rId117">
              <w:r>
                <w:rPr>
                  <w:rFonts w:ascii="Times New Roman" w:cs="Times New Roman" w:eastAsia="Times New Roman" w:hAnsi="Times New Roman"/>
                  <w:sz w:val="17"/>
                  <w:szCs w:val="17"/>
                  <w:u w:val="single" w:color="auto"/>
                  <w:color w:val="0000FF"/>
                </w:rPr>
                <w:t>(previously filed as Exhibit 10.15 to the Registrant’s Registration Statement on Form S-1 filed with the Commission on November 12, 2020)</w:t>
              </w:r>
            </w:hyperlink>
            <w:hyperlink r:id="rId118">
              <w:r>
                <w:rPr>
                  <w:rFonts w:ascii="Times New Roman" w:cs="Times New Roman" w:eastAsia="Times New Roman" w:hAnsi="Times New Roman"/>
                  <w:sz w:val="17"/>
                  <w:szCs w:val="17"/>
                  <w:u w:val="single" w:color="auto"/>
                  <w:color w:val="0000FF"/>
                </w:rPr>
                <w:t>.</w:t>
              </w:r>
            </w:hyperlink>
          </w:p>
        </w:tc>
      </w:tr>
      <w:tr>
        <w:trPr>
          <w:trHeight w:val="258"/>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15"/>
          </w:tcPr>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Class A Common Stock Purchase Agreement by and among the Registrant, Fidelity Management &amp; Research Company LLC, SoftBank, certain</w:t>
              </w:r>
            </w:hyperlink>
          </w:p>
        </w:tc>
      </w:tr>
      <w:tr>
        <w:trPr>
          <w:trHeight w:val="129"/>
        </w:trPr>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60" w:type="dxa"/>
            <w:vAlign w:val="bottom"/>
            <w:tcBorders>
              <w:top w:val="single" w:sz="8" w:color="0000FF"/>
            </w:tcBorders>
            <w:gridSpan w:val="14"/>
          </w:tcPr>
          <w:p>
            <w:pPr>
              <w:spacing w:after="0" w:line="129" w:lineRule="exact"/>
              <w:rPr>
                <w:rFonts w:ascii="Times New Roman" w:cs="Times New Roman" w:eastAsia="Times New Roman" w:hAnsi="Times New Roman"/>
                <w:sz w:val="14"/>
                <w:szCs w:val="14"/>
                <w:u w:val="single" w:color="auto"/>
                <w:color w:val="0000FF"/>
              </w:rPr>
            </w:pPr>
            <w:hyperlink r:id="rId117">
              <w:r>
                <w:rPr>
                  <w:rFonts w:ascii="Times New Roman" w:cs="Times New Roman" w:eastAsia="Times New Roman" w:hAnsi="Times New Roman"/>
                  <w:sz w:val="14"/>
                  <w:szCs w:val="14"/>
                  <w:u w:val="single" w:color="auto"/>
                  <w:color w:val="0000FF"/>
                </w:rPr>
                <w:t>funds and accounts advised by T. Rowe Price Associates, Inc. and aMoon Fund, dated as of November 12, 2020 (previously filed as Exhibit</w:t>
              </w:r>
            </w:hyperlink>
          </w:p>
        </w:tc>
        <w:tc>
          <w:tcPr>
            <w:tcW w:w="60" w:type="dxa"/>
            <w:vAlign w:val="bottom"/>
          </w:tcPr>
          <w:p>
            <w:pPr>
              <w:spacing w:after="0"/>
              <w:rPr>
                <w:sz w:val="11"/>
                <w:szCs w:val="1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5"/>
          </w:tcPr>
          <w:p>
            <w:pPr>
              <w:spacing w:after="0" w:line="176"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16 to the Registrant’s Registration Statement on Form S-1 filed with the Commission on November 12, 2020)</w:t>
              </w:r>
            </w:hyperlink>
            <w:hyperlink r:id="rId119">
              <w:r>
                <w:rPr>
                  <w:rFonts w:ascii="Times New Roman" w:cs="Times New Roman" w:eastAsia="Times New Roman" w:hAnsi="Times New Roman"/>
                  <w:sz w:val="17"/>
                  <w:szCs w:val="17"/>
                  <w:u w:val="single" w:color="auto"/>
                  <w:color w:val="0000FF"/>
                </w:rPr>
                <w:t>.</w:t>
              </w:r>
            </w:hyperlink>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540" w:type="dxa"/>
            <w:vAlign w:val="bottom"/>
            <w:gridSpan w:val="14"/>
          </w:tcPr>
          <w:p>
            <w:pPr>
              <w:spacing w:after="0" w:line="20" w:lineRule="exact"/>
              <w:rPr>
                <w:sz w:val="1"/>
                <w:szCs w:val="1"/>
                <w:color w:val="auto"/>
              </w:rPr>
            </w:pPr>
          </w:p>
        </w:tc>
      </w:tr>
      <w:tr>
        <w:trPr>
          <w:trHeight w:val="302"/>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u w:val="single" w:color="auto"/>
                <w:color w:val="0000FF"/>
              </w:rPr>
            </w:pPr>
            <w:hyperlink w:anchor="page534">
              <w:r>
                <w:rPr>
                  <w:rFonts w:ascii="Times New Roman" w:cs="Times New Roman" w:eastAsia="Times New Roman" w:hAnsi="Times New Roman"/>
                  <w:sz w:val="17"/>
                  <w:szCs w:val="17"/>
                  <w:u w:val="single" w:color="auto"/>
                  <w:color w:val="0000FF"/>
                </w:rPr>
                <w:t>Consent of Deloitte &amp; Touche LLP, independent registered public accounting firm.</w:t>
              </w:r>
            </w:hyperlink>
          </w:p>
        </w:tc>
      </w:tr>
      <w:tr>
        <w:trPr>
          <w:trHeight w:val="310"/>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color w:val="0000FF"/>
              </w:rPr>
            </w:pPr>
            <w:hyperlink w:anchor="page337">
              <w:r>
                <w:rPr>
                  <w:rFonts w:ascii="Times New Roman" w:cs="Times New Roman" w:eastAsia="Times New Roman" w:hAnsi="Times New Roman"/>
                  <w:sz w:val="17"/>
                  <w:szCs w:val="17"/>
                  <w:u w:val="single" w:color="auto"/>
                  <w:color w:val="0000FF"/>
                </w:rPr>
                <w:t>Consent of Wilson Sonsini Goodrich &amp; Rosati, Professional Corporation (included in Exhibit 5.1)</w:t>
              </w:r>
              <w:r>
                <w:rPr>
                  <w:rFonts w:ascii="Times New Roman" w:cs="Times New Roman" w:eastAsia="Times New Roman" w:hAnsi="Times New Roman"/>
                  <w:sz w:val="17"/>
                  <w:szCs w:val="17"/>
                  <w:color w:val="0000FF"/>
                </w:rPr>
                <w:t>.</w:t>
              </w:r>
            </w:hyperlink>
          </w:p>
        </w:tc>
      </w:tr>
      <w:tr>
        <w:trPr>
          <w:trHeight w:val="310"/>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5"/>
          </w:tcPr>
          <w:p>
            <w:pPr>
              <w:spacing w:after="0"/>
              <w:rPr>
                <w:rFonts w:ascii="Times New Roman" w:cs="Times New Roman" w:eastAsia="Times New Roman" w:hAnsi="Times New Roman"/>
                <w:sz w:val="17"/>
                <w:szCs w:val="17"/>
                <w:u w:val="single" w:color="auto"/>
                <w:color w:val="0000FF"/>
              </w:rPr>
            </w:pPr>
            <w:hyperlink r:id="rId120">
              <w:r>
                <w:rPr>
                  <w:rFonts w:ascii="Times New Roman" w:cs="Times New Roman" w:eastAsia="Times New Roman" w:hAnsi="Times New Roman"/>
                  <w:sz w:val="17"/>
                  <w:szCs w:val="17"/>
                  <w:u w:val="single" w:color="auto"/>
                  <w:color w:val="0000FF"/>
                </w:rPr>
                <w:t>Power of Attorney.</w:t>
              </w:r>
            </w:hyperlink>
          </w:p>
        </w:tc>
      </w:tr>
      <w:tr>
        <w:trPr>
          <w:trHeight w:val="23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ind w:left="320" w:hanging="312"/>
        <w:spacing w:after="0"/>
        <w:tabs>
          <w:tab w:leader="none" w:pos="32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1" w:lineRule="exact"/>
        <w:rPr>
          <w:sz w:val="20"/>
          <w:szCs w:val="20"/>
          <w:color w:val="auto"/>
        </w:rPr>
      </w:pPr>
    </w:p>
    <w:p>
      <w:pPr>
        <w:ind w:left="340" w:hanging="332"/>
        <w:spacing w:after="0"/>
        <w:tabs>
          <w:tab w:leader="none" w:pos="34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40"/>
          </w:cols>
          <w:pgMar w:left="320" w:top="117" w:right="339" w:bottom="1440" w:gutter="0" w:footer="0" w:header="0"/>
        </w:sectPr>
      </w:pPr>
    </w:p>
    <w:bookmarkStart w:id="231" w:name="page232"/>
    <w:bookmarkEnd w:id="231"/>
    <w:p>
      <w:pPr>
        <w:ind w:left="332"/>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2" w:hanging="332"/>
        <w:spacing w:after="0" w:line="282" w:lineRule="auto"/>
        <w:tabs>
          <w:tab w:leader="none" w:pos="332"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the exhibit, marked by brackets and asterisk [***], have been omitted because the omitted information (i) is not material and (ii) would likely cause competitive harm to the registrant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1"/>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0892"/>
          </w:cols>
          <w:pgMar w:left="328" w:top="117" w:right="679" w:bottom="1440" w:gutter="0" w:footer="0" w:header="0"/>
        </w:sectPr>
      </w:pPr>
    </w:p>
    <w:bookmarkStart w:id="232" w:name="page233"/>
    <w:bookmarkEnd w:id="232"/>
    <w:p>
      <w:pPr>
        <w:ind w:left="34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Redwood City, State of California, on November 30, 2020.</w:t>
      </w:r>
    </w:p>
    <w:p>
      <w:pPr>
        <w:spacing w:after="0" w:line="15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37" w:lineRule="exact"/>
        <w:rPr>
          <w:sz w:val="20"/>
          <w:szCs w:val="20"/>
          <w:color w:val="auto"/>
        </w:rPr>
      </w:pPr>
    </w:p>
    <w:p>
      <w:pPr>
        <w:ind w:left="588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Omid Farokhzad, M.D.</w:t>
      </w:r>
    </w:p>
    <w:p>
      <w:pPr>
        <w:spacing w:after="0" w:line="6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1"/>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Omid Farokhzad, M.D.</w:t>
            </w:r>
          </w:p>
        </w:tc>
        <w:tc>
          <w:tcPr>
            <w:tcW w:w="100" w:type="dxa"/>
            <w:vAlign w:val="bottom"/>
          </w:tcPr>
          <w:p>
            <w:pPr>
              <w:spacing w:after="0"/>
              <w:rPr>
                <w:sz w:val="17"/>
                <w:szCs w:val="17"/>
                <w:color w:val="auto"/>
              </w:rPr>
            </w:pPr>
          </w:p>
        </w:tc>
        <w:tc>
          <w:tcPr>
            <w:tcW w:w="378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color w:val="auto"/>
              </w:rPr>
              <w:t>Chief Executive Officer and</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November 30, 2020</w:t>
            </w:r>
          </w:p>
        </w:tc>
        <w:tc>
          <w:tcPr>
            <w:tcW w:w="0" w:type="dxa"/>
            <w:vAlign w:val="bottom"/>
          </w:tcPr>
          <w:p>
            <w:pPr>
              <w:spacing w:after="0"/>
              <w:rPr>
                <w:sz w:val="1"/>
                <w:szCs w:val="1"/>
                <w:color w:val="auto"/>
              </w:rPr>
            </w:pPr>
          </w:p>
        </w:tc>
      </w:tr>
      <w:tr>
        <w:trPr>
          <w:trHeight w:val="153"/>
        </w:trPr>
        <w:tc>
          <w:tcPr>
            <w:tcW w:w="3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7"/>
                <w:szCs w:val="17"/>
                <w:color w:val="auto"/>
              </w:rPr>
              <w:t>Chair of the Board of Directors</w:t>
            </w: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Omid Farokhzad, M.D.</w:t>
            </w:r>
          </w:p>
        </w:tc>
        <w:tc>
          <w:tcPr>
            <w:tcW w:w="100" w:type="dxa"/>
            <w:vAlign w:val="bottom"/>
          </w:tcPr>
          <w:p>
            <w:pPr>
              <w:spacing w:after="0"/>
              <w:rPr>
                <w:sz w:val="21"/>
                <w:szCs w:val="21"/>
                <w:color w:val="auto"/>
              </w:rPr>
            </w:pP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3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David R. Horn</w:t>
            </w:r>
          </w:p>
        </w:tc>
        <w:tc>
          <w:tcPr>
            <w:tcW w:w="100" w:type="dxa"/>
            <w:vAlign w:val="bottom"/>
          </w:tcPr>
          <w:p>
            <w:pPr>
              <w:spacing w:after="0"/>
              <w:rPr>
                <w:sz w:val="22"/>
                <w:szCs w:val="22"/>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November 30, 2020</w:t>
            </w:r>
          </w:p>
        </w:tc>
        <w:tc>
          <w:tcPr>
            <w:tcW w:w="0" w:type="dxa"/>
            <w:vAlign w:val="bottom"/>
          </w:tcPr>
          <w:p>
            <w:pPr>
              <w:spacing w:after="0"/>
              <w:rPr>
                <w:sz w:val="1"/>
                <w:szCs w:val="1"/>
                <w:color w:val="auto"/>
              </w:rPr>
            </w:pPr>
          </w:p>
        </w:tc>
      </w:tr>
      <w:tr>
        <w:trPr>
          <w:trHeight w:val="153"/>
        </w:trPr>
        <w:tc>
          <w:tcPr>
            <w:tcW w:w="3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 and Accounting</w:t>
            </w: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R. Horn</w:t>
            </w:r>
          </w:p>
        </w:tc>
        <w:tc>
          <w:tcPr>
            <w:tcW w:w="100" w:type="dxa"/>
            <w:vAlign w:val="bottom"/>
          </w:tcPr>
          <w:p>
            <w:pPr>
              <w:spacing w:after="0"/>
              <w:rPr>
                <w:sz w:val="21"/>
                <w:szCs w:val="21"/>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8"/>
              </w:rPr>
              <w:t>Officer</w:t>
            </w:r>
            <w:r>
              <w:rPr>
                <w:rFonts w:ascii="Times New Roman" w:cs="Times New Roman" w:eastAsia="Times New Roman" w:hAnsi="Times New Roman"/>
                <w:sz w:val="18"/>
                <w:szCs w:val="18"/>
                <w:color w:val="auto"/>
                <w:w w:val="98"/>
              </w:rPr>
              <w:t>)</w:t>
            </w:r>
          </w:p>
        </w:tc>
        <w:tc>
          <w:tcPr>
            <w:tcW w:w="3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3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November 30, 2020</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David Hallal</w:t>
            </w:r>
          </w:p>
        </w:tc>
        <w:tc>
          <w:tcPr>
            <w:tcW w:w="10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November 30, 2020</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Catherine Friedman</w:t>
            </w:r>
          </w:p>
        </w:tc>
        <w:tc>
          <w:tcPr>
            <w:tcW w:w="10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November 30, 2020</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Robert Langer, Sc.D.</w:t>
            </w:r>
          </w:p>
        </w:tc>
        <w:tc>
          <w:tcPr>
            <w:tcW w:w="10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November 30, 2020</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Terrance McGuire</w:t>
            </w:r>
          </w:p>
        </w:tc>
        <w:tc>
          <w:tcPr>
            <w:tcW w:w="10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November 30, 2020</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Omead Ostadan</w:t>
            </w:r>
          </w:p>
        </w:tc>
        <w:tc>
          <w:tcPr>
            <w:tcW w:w="10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November 30, 2020</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David Singer</w:t>
            </w:r>
          </w:p>
        </w:tc>
        <w:tc>
          <w:tcPr>
            <w:tcW w:w="10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5"/>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Omid Farokhzad, M.D.</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Omid Farokhzad, M.D.</w:t>
            </w: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240"/>
          </w:cols>
          <w:pgMar w:left="320" w:top="117" w:right="3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SEER,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Shares of Class A Common Stock, par value $0.00001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Underwriting Agreement</w:t>
      </w:r>
    </w:p>
    <w:p>
      <w:pPr>
        <w:spacing w:after="0" w:line="220"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22"/>
          <w:szCs w:val="22"/>
          <w:color w:val="auto"/>
        </w:rPr>
        <w:t>[  ], 2020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 Morgan Securities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Morgan Stanley &amp; Co.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BofA Securities,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Representatives of the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several Underwriters listed</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Schedule 1 hereto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J.P. Morgan Securities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383 Madison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10179</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Morgan Stanley &amp; Co.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1585 Broadway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10036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BofA Securities,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Bryant Park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10036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Seer, Inc., a Delaware corporation (the “Company”), proposes to issue and sell to the several underwriters listed in Schedule 1 hereto (the “Underwriters”), for whom you are acting as representatives (the “Representatives”), an aggregate of [ ] shares of Class A common stock, par value $0.00001 per share, of the Company (the “Underwritten Shares”) and, at the option of the Underwriters, up to an additional [ ] shares of Class A common stock of the Company (the “Option Shares”). The Underwritten Shares and the Option Shares are herein referred to as the “Shares”. The shares of Class A common stock of the Company to be outstanding after giving effect to the sale of the Shares are referred to herein as the “Stock”.</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hereby confirms its agreement with the several Underwriters concerning the purchase and sale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 as follows:</w:t>
      </w:r>
    </w:p>
    <w:p>
      <w:pPr>
        <w:spacing w:after="0" w:line="196" w:lineRule="exact"/>
        <w:rPr>
          <w:sz w:val="20"/>
          <w:szCs w:val="20"/>
          <w:color w:val="auto"/>
        </w:rPr>
      </w:pPr>
    </w:p>
    <w:p>
      <w:pPr>
        <w:ind w:right="80" w:firstLine="656"/>
        <w:spacing w:after="0" w:line="250" w:lineRule="auto"/>
        <w:tabs>
          <w:tab w:leader="none" w:pos="129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The Company has prepared and filed with the Securities and Exchange Commission (the “Commission”) under the Securities Act of 1933, as amended, and the rules and regulations of the Commission thereunder (collectively, the “Securities Act”), a registration statement (File No. 333-250035), including a prospectus, relating to the Shares. Such registration statement, as amended at the time it became effective, including the information, if any, deemed pursuant to Rule 430A, 430B or 430C under the Securities Act to be</w:t>
      </w:r>
    </w:p>
    <w:p>
      <w:pPr>
        <w:sectPr>
          <w:pgSz w:w="11900" w:h="16838" w:orient="portrait"/>
          <w:cols w:equalWidth="0" w:num="1">
            <w:col w:w="11240"/>
          </w:cols>
          <w:pgMar w:left="320" w:top="117" w:right="339" w:bottom="1440" w:gutter="0" w:footer="0" w:header="0"/>
        </w:sectPr>
      </w:pPr>
    </w:p>
    <w:bookmarkStart w:id="234" w:name="page235"/>
    <w:bookmarkEnd w:id="234"/>
    <w:p>
      <w:pPr>
        <w:ind w:right="20"/>
        <w:spacing w:after="0" w:line="246" w:lineRule="auto"/>
        <w:rPr>
          <w:sz w:val="20"/>
          <w:szCs w:val="20"/>
          <w:color w:val="auto"/>
        </w:rPr>
      </w:pPr>
      <w:r>
        <w:rPr>
          <w:rFonts w:ascii="Times New Roman" w:cs="Times New Roman" w:eastAsia="Times New Roman" w:hAnsi="Times New Roman"/>
          <w:sz w:val="22"/>
          <w:szCs w:val="22"/>
          <w:color w:val="auto"/>
        </w:rPr>
        <w:t>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88" w:lineRule="exact"/>
        <w:rPr>
          <w:sz w:val="20"/>
          <w:szCs w:val="20"/>
          <w:color w:val="auto"/>
        </w:rPr>
      </w:pPr>
    </w:p>
    <w:p>
      <w:pPr>
        <w:jc w:val="both"/>
        <w:ind w:right="80" w:firstLine="648"/>
        <w:spacing w:after="0" w:line="275" w:lineRule="auto"/>
        <w:rPr>
          <w:sz w:val="20"/>
          <w:szCs w:val="20"/>
          <w:color w:val="auto"/>
        </w:rPr>
      </w:pPr>
      <w:r>
        <w:rPr>
          <w:rFonts w:ascii="Times New Roman" w:cs="Times New Roman" w:eastAsia="Times New Roman" w:hAnsi="Times New Roman"/>
          <w:sz w:val="21"/>
          <w:szCs w:val="21"/>
          <w:color w:val="auto"/>
        </w:rPr>
        <w:t>At or prior to the Applicable Time (as defined below), the Company had prepared the following information (collectively with the pricing information set forth on Annex A, the “Pricing Disclosure Package”): a Preliminary Prospectus dated [ ], 2020 and each “free-writing prospectus” (as defined pursuant to Rule 405 under the Securities Act) listed on Annex A 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“Applicable Time” means [  ] [A/P].M., New York City time, on [  ], 2020.</w:t>
      </w:r>
    </w:p>
    <w:p>
      <w:pPr>
        <w:spacing w:after="0" w:line="220" w:lineRule="exact"/>
        <w:rPr>
          <w:sz w:val="20"/>
          <w:szCs w:val="20"/>
          <w:color w:val="auto"/>
        </w:rPr>
      </w:pPr>
    </w:p>
    <w:p>
      <w:pPr>
        <w:ind w:left="1300" w:hanging="644"/>
        <w:spacing w:after="0"/>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of the Shares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56"/>
        <w:spacing w:after="0" w:line="250" w:lineRule="auto"/>
        <w:tabs>
          <w:tab w:leader="none" w:pos="129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issue and sell the Underwritten Shares to the several Underwriters as provided in this underwriting agreement (this “Agreement”), and each Underwriter, on the basis of the representations, warranties and agreements set forth herein and subject to the conditions set forth herein, agrees, severally and not jointly, to purchase at a price per share of $[ ] (the “Purchase Price”) from the Company the respective number of Underwritten Shares set forth opposite such Underwriter’s name in Schedule 1 hereto.</w:t>
      </w:r>
    </w:p>
    <w:p>
      <w:pPr>
        <w:spacing w:after="0" w:line="181"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22"/>
          <w:szCs w:val="22"/>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w:t>
      </w:r>
    </w:p>
    <w:p>
      <w:pPr>
        <w:spacing w:after="0" w:line="181"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22"/>
          <w:szCs w:val="22"/>
          <w:color w:val="auto"/>
        </w:rPr>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Representatives in their sole discretion shall make.</w:t>
      </w:r>
    </w:p>
    <w:p>
      <w:pPr>
        <w:sectPr>
          <w:pgSz w:w="11900" w:h="16838" w:orient="portrait"/>
          <w:cols w:equalWidth="0" w:num="1">
            <w:col w:w="11220"/>
          </w:cols>
          <w:pgMar w:left="320" w:top="1422" w:right="359" w:bottom="1440" w:gutter="0" w:footer="0" w:header="0"/>
        </w:sectPr>
      </w:pPr>
    </w:p>
    <w:bookmarkStart w:id="235" w:name="page236"/>
    <w:bookmarkEnd w:id="235"/>
    <w:p>
      <w:pPr>
        <w:ind w:firstLine="648"/>
        <w:spacing w:after="0" w:line="248" w:lineRule="auto"/>
        <w:rPr>
          <w:sz w:val="20"/>
          <w:szCs w:val="20"/>
          <w:color w:val="auto"/>
        </w:rPr>
      </w:pPr>
      <w:r>
        <w:rPr>
          <w:rFonts w:ascii="Times New Roman" w:cs="Times New Roman" w:eastAsia="Times New Roman" w:hAnsi="Times New Roman"/>
          <w:sz w:val="22"/>
          <w:szCs w:val="22"/>
          <w:color w:val="auto"/>
        </w:rPr>
        <w:t>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two business days prior to the date and time of delivery specified therein.</w:t>
      </w:r>
    </w:p>
    <w:p>
      <w:pPr>
        <w:spacing w:after="0" w:line="182" w:lineRule="exact"/>
        <w:rPr>
          <w:sz w:val="20"/>
          <w:szCs w:val="20"/>
          <w:color w:val="auto"/>
        </w:rPr>
      </w:pPr>
    </w:p>
    <w:p>
      <w:pPr>
        <w:ind w:right="360" w:firstLine="656"/>
        <w:spacing w:after="0" w:line="257" w:lineRule="auto"/>
        <w:tabs>
          <w:tab w:leader="none" w:pos="129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understands that the Underwriters intend to make a public offering of the Shares, and initially to offer the Shares on the terms set forth in the Pricing Disclosure Package. The Company acknowledges and agrees that the Underwriters may offer and sell Shares to or through any affiliate of an Underwriter.</w:t>
      </w:r>
    </w:p>
    <w:p>
      <w:pPr>
        <w:spacing w:after="0" w:line="172" w:lineRule="exact"/>
        <w:rPr>
          <w:rFonts w:ascii="Times New Roman" w:cs="Times New Roman" w:eastAsia="Times New Roman" w:hAnsi="Times New Roman"/>
          <w:sz w:val="22"/>
          <w:szCs w:val="22"/>
          <w:color w:val="auto"/>
        </w:rPr>
      </w:pPr>
    </w:p>
    <w:p>
      <w:pPr>
        <w:ind w:right="20" w:firstLine="656"/>
        <w:spacing w:after="0" w:line="247" w:lineRule="auto"/>
        <w:tabs>
          <w:tab w:leader="none" w:pos="129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for the Shares shall be made by wire transfer in immediately available funds to the account specified by the Company to the Representatives in the case of the Underwritten Shares, at the offices of Davis Polk &amp; Wardwell LLP, 1600 El Camino Real, Menlo Park, California 94025 at 10:00 A.M. New York City time on [ ], 2020,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 and the time and date for such payment for the Option Shares, if other than the Closing Date, is herein referred to as the “Additional Closing Date”.</w:t>
      </w:r>
    </w:p>
    <w:p>
      <w:pPr>
        <w:spacing w:after="0" w:line="18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such Shares duly paid by the Company. Delivery of the Shares shall be made through the facilities of The Depository Trust Company (“DTC”) unless the Representatives shall otherwise instruct.</w:t>
      </w:r>
    </w:p>
    <w:p>
      <w:pPr>
        <w:spacing w:after="0" w:line="181" w:lineRule="exact"/>
        <w:rPr>
          <w:sz w:val="20"/>
          <w:szCs w:val="20"/>
          <w:color w:val="auto"/>
        </w:rPr>
      </w:pPr>
    </w:p>
    <w:p>
      <w:pPr>
        <w:ind w:right="40" w:firstLine="656"/>
        <w:spacing w:after="0" w:line="248" w:lineRule="auto"/>
        <w:tabs>
          <w:tab w:leader="none" w:pos="129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acknowledges and agrees that the Representatives and the other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The Company further acknowledges and agrees that in connection with the offering of the Shares, none of the activities of the Underwriters in connection with the transactions contemplated herein constitutes a recommendation, investment advice, or solicitation of any action by the Underwriters with respect to any entity or natural person. Additionally, neither the Representatives nor any other Underwriter are advising the</w:t>
      </w:r>
    </w:p>
    <w:p>
      <w:pPr>
        <w:sectPr>
          <w:pgSz w:w="11900" w:h="16838" w:orient="portrait"/>
          <w:cols w:equalWidth="0" w:num="1">
            <w:col w:w="11240"/>
          </w:cols>
          <w:pgMar w:left="320" w:top="1422" w:right="339" w:bottom="1440" w:gutter="0" w:footer="0" w:header="0"/>
        </w:sectPr>
      </w:pPr>
    </w:p>
    <w:bookmarkStart w:id="236" w:name="page237"/>
    <w:bookmarkEnd w:id="236"/>
    <w:p>
      <w:pPr>
        <w:spacing w:after="0" w:line="248" w:lineRule="auto"/>
        <w:rPr>
          <w:sz w:val="20"/>
          <w:szCs w:val="20"/>
          <w:color w:val="auto"/>
        </w:rPr>
      </w:pPr>
      <w:r>
        <w:rPr>
          <w:rFonts w:ascii="Times New Roman" w:cs="Times New Roman" w:eastAsia="Times New Roman" w:hAnsi="Times New Roman"/>
          <w:sz w:val="22"/>
          <w:szCs w:val="22"/>
          <w:color w:val="auto"/>
        </w:rPr>
        <w:t>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the other Underwriters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Underwriters and shall not be on behalf of the Company.</w:t>
      </w:r>
    </w:p>
    <w:p>
      <w:pPr>
        <w:spacing w:after="0" w:line="187" w:lineRule="exact"/>
        <w:rPr>
          <w:sz w:val="20"/>
          <w:szCs w:val="20"/>
          <w:color w:val="auto"/>
        </w:rPr>
      </w:pPr>
    </w:p>
    <w:p>
      <w:pPr>
        <w:ind w:left="1300" w:hanging="644"/>
        <w:spacing w:after="0"/>
        <w:tabs>
          <w:tab w:leader="none" w:pos="130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 of the Company</w:t>
      </w:r>
      <w:r>
        <w:rPr>
          <w:rFonts w:ascii="Times New Roman" w:cs="Times New Roman" w:eastAsia="Times New Roman" w:hAnsi="Times New Roman"/>
          <w:sz w:val="21"/>
          <w:szCs w:val="21"/>
          <w:color w:val="auto"/>
        </w:rPr>
        <w:t>. The Company represents and warrants to each Underwriter that:</w:t>
      </w:r>
    </w:p>
    <w:p>
      <w:pPr>
        <w:spacing w:after="0" w:line="227" w:lineRule="exact"/>
        <w:rPr>
          <w:rFonts w:ascii="Times New Roman" w:cs="Times New Roman" w:eastAsia="Times New Roman" w:hAnsi="Times New Roman"/>
          <w:sz w:val="21"/>
          <w:szCs w:val="21"/>
          <w:color w:val="auto"/>
        </w:rPr>
      </w:pPr>
    </w:p>
    <w:p>
      <w:pPr>
        <w:ind w:left="660" w:right="80" w:firstLine="644"/>
        <w:spacing w:after="0" w:line="260" w:lineRule="auto"/>
        <w:tabs>
          <w:tab w:leader="none" w:pos="1953"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Preliminary Prospectus. </w:t>
      </w:r>
      <w:r>
        <w:rPr>
          <w:rFonts w:ascii="Times New Roman" w:cs="Times New Roman" w:eastAsia="Times New Roman" w:hAnsi="Times New Roman"/>
          <w:sz w:val="21"/>
          <w:szCs w:val="21"/>
          <w:color w:val="auto"/>
        </w:rPr>
        <w:t>No order preventing or suspending the use of any Preliminary Prospectus has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been issued by the Commission, 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w:t>
      </w:r>
    </w:p>
    <w:p>
      <w:pPr>
        <w:spacing w:after="0" w:line="170" w:lineRule="exact"/>
        <w:rPr>
          <w:rFonts w:ascii="Times New Roman" w:cs="Times New Roman" w:eastAsia="Times New Roman" w:hAnsi="Times New Roman"/>
          <w:sz w:val="21"/>
          <w:szCs w:val="21"/>
          <w:color w:val="auto"/>
        </w:rPr>
      </w:pPr>
    </w:p>
    <w:p>
      <w:pPr>
        <w:ind w:left="660" w:firstLine="644"/>
        <w:spacing w:after="0" w:line="246" w:lineRule="auto"/>
        <w:tabs>
          <w:tab w:leader="none" w:pos="1951"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Pricing Disclosure Package</w:t>
      </w:r>
      <w:r>
        <w:rPr>
          <w:rFonts w:ascii="Times New Roman" w:cs="Times New Roman" w:eastAsia="Times New Roman" w:hAnsi="Times New Roman"/>
          <w:sz w:val="22"/>
          <w:szCs w:val="22"/>
          <w:color w:val="auto"/>
        </w:rPr>
        <w:t>. The Pricing Disclosure Package as of the Applicable Time did not, and as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187" w:lineRule="exact"/>
        <w:rPr>
          <w:rFonts w:ascii="Times New Roman" w:cs="Times New Roman" w:eastAsia="Times New Roman" w:hAnsi="Times New Roman"/>
          <w:sz w:val="22"/>
          <w:szCs w:val="22"/>
          <w:color w:val="auto"/>
        </w:rPr>
      </w:pPr>
    </w:p>
    <w:p>
      <w:pPr>
        <w:jc w:val="both"/>
        <w:ind w:left="660" w:right="120" w:firstLine="644"/>
        <w:spacing w:after="0" w:line="259" w:lineRule="auto"/>
        <w:tabs>
          <w:tab w:leader="none" w:pos="1953"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Issuer Free Writing Prospectus. </w:t>
      </w:r>
      <w:r>
        <w:rPr>
          <w:rFonts w:ascii="Times New Roman" w:cs="Times New Roman" w:eastAsia="Times New Roman" w:hAnsi="Times New Roman"/>
          <w:sz w:val="22"/>
          <w:szCs w:val="22"/>
          <w:color w:val="auto"/>
        </w:rPr>
        <w:t>Other than the Registration Statement, the Preliminary Prospectus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Prospectus, the Company (including its agents and representatives, other than the Underwriters in their capacity as such) has not prepared, made, used, authorized, approved or referred to and will not prepare, make, use,</w:t>
      </w:r>
    </w:p>
    <w:p>
      <w:pPr>
        <w:sectPr>
          <w:pgSz w:w="11900" w:h="16838" w:orient="portrait"/>
          <w:cols w:equalWidth="0" w:num="1">
            <w:col w:w="11240"/>
          </w:cols>
          <w:pgMar w:left="320" w:top="1422" w:right="339" w:bottom="1440" w:gutter="0" w:footer="0" w:header="0"/>
        </w:sectPr>
      </w:pPr>
    </w:p>
    <w:bookmarkStart w:id="237" w:name="page238"/>
    <w:bookmarkEnd w:id="237"/>
    <w:p>
      <w:pPr>
        <w:spacing w:after="0" w:line="244" w:lineRule="auto"/>
        <w:rPr>
          <w:sz w:val="20"/>
          <w:szCs w:val="20"/>
          <w:color w:val="auto"/>
        </w:rPr>
      </w:pPr>
      <w:r>
        <w:rPr>
          <w:rFonts w:ascii="Times New Roman" w:cs="Times New Roman" w:eastAsia="Times New Roman" w:hAnsi="Times New Roman"/>
          <w:sz w:val="22"/>
          <w:szCs w:val="22"/>
          <w:color w:val="auto"/>
        </w:rPr>
        <w:t xml:space="preserve">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w:t>
      </w:r>
    </w:p>
    <w:p>
      <w:pPr>
        <w:spacing w:after="0" w:line="200" w:lineRule="exact"/>
        <w:rPr>
          <w:sz w:val="20"/>
          <w:szCs w:val="20"/>
          <w:color w:val="auto"/>
        </w:rPr>
      </w:pPr>
    </w:p>
    <w:p>
      <w:pPr>
        <w:ind w:firstLine="644"/>
        <w:spacing w:after="0" w:line="248" w:lineRule="auto"/>
        <w:tabs>
          <w:tab w:leader="none" w:pos="129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Emerging Growth Company</w:t>
      </w:r>
      <w:r>
        <w:rPr>
          <w:rFonts w:ascii="Times New Roman" w:cs="Times New Roman" w:eastAsia="Times New Roman" w:hAnsi="Times New Roman"/>
          <w:sz w:val="22"/>
          <w:szCs w:val="22"/>
          <w:color w:val="auto"/>
        </w:rPr>
        <w:t>. From the time of initial confidential submission of the Registration Statement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Commission (or, if earlier, the first date on which the Company engaged directly or through any person authorized to act on its behalf in any Testing-the-Waters Communication undertaken in reliance on Section 5(d) of the Securities Act) through the date hereof, the Company has been and is an “emerging growth company,” as defined in Section 2(a) of the Securities Act (an “Emerging Growth Company”). “Testing-the-Waters Communication” means any oral or written communication with potential investors undertaken in reliance on either Section 5(d) of, or Rule 163B under, the Securities Act.</w:t>
      </w:r>
    </w:p>
    <w:p>
      <w:pPr>
        <w:spacing w:after="0" w:line="181" w:lineRule="exact"/>
        <w:rPr>
          <w:rFonts w:ascii="Times New Roman" w:cs="Times New Roman" w:eastAsia="Times New Roman" w:hAnsi="Times New Roman"/>
          <w:sz w:val="22"/>
          <w:szCs w:val="22"/>
          <w:color w:val="auto"/>
        </w:rPr>
      </w:pPr>
    </w:p>
    <w:p>
      <w:pPr>
        <w:ind w:right="80" w:firstLine="644"/>
        <w:spacing w:after="0" w:line="248" w:lineRule="auto"/>
        <w:tabs>
          <w:tab w:leader="none" w:pos="1293"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Testing-the-Waters Materials. </w:t>
      </w:r>
      <w:r>
        <w:rPr>
          <w:rFonts w:ascii="Times New Roman" w:cs="Times New Roman" w:eastAsia="Times New Roman" w:hAnsi="Times New Roman"/>
          <w:sz w:val="22"/>
          <w:szCs w:val="22"/>
          <w:color w:val="auto"/>
        </w:rPr>
        <w:t>The Company (i) has not alone engaged in any Testing-the-Waters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Communications other than Testing-the-Waters Communications with the consent of the Representatives (x) with entities that are qualified institutional buyers (“QIBs”) within the meaning of Rule 144A under the Securities Act or institutions that are accredited investors within the meaning of Rule 501(a)(1), (a)(2), (a)(3), (a)(7) or (a)(8) under the Securities Act (“IAIs”) and otherwise in compliance with the requirements of Section 5(d) of the Securities Act or (y) with entities that the Company reasonably believed to be QIBs or IAIs and otherwise in compliance with the requirements of Rule 163B under the Securities Act and (ii) has not authorized anyone</w:t>
      </w:r>
    </w:p>
    <w:p>
      <w:pPr>
        <w:sectPr>
          <w:pgSz w:w="11900" w:h="16838" w:orient="portrait"/>
          <w:cols w:equalWidth="0" w:num="1">
            <w:col w:w="10560"/>
          </w:cols>
          <w:pgMar w:left="980" w:top="1422" w:right="359" w:bottom="1440" w:gutter="0" w:footer="0" w:header="0"/>
        </w:sectPr>
      </w:pPr>
    </w:p>
    <w:bookmarkStart w:id="238" w:name="page239"/>
    <w:bookmarkEnd w:id="238"/>
    <w:p>
      <w:pPr>
        <w:spacing w:after="0" w:line="246" w:lineRule="auto"/>
        <w:rPr>
          <w:sz w:val="20"/>
          <w:szCs w:val="20"/>
          <w:color w:val="auto"/>
        </w:rPr>
      </w:pPr>
      <w:r>
        <w:rPr>
          <w:rFonts w:ascii="Times New Roman" w:cs="Times New Roman" w:eastAsia="Times New Roman" w:hAnsi="Times New Roman"/>
          <w:sz w:val="22"/>
          <w:szCs w:val="22"/>
          <w:color w:val="auto"/>
        </w:rPr>
        <w:t>other than the Representatives to engage in Testing-the-Waters Communications. The Company reconfirms that the Representatives have been authorized to act on its behalf in undertaking Testing-the-Waters Communications by virtue of a writing substantially in the form of Exhibit A hereto.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181" w:lineRule="exact"/>
        <w:rPr>
          <w:sz w:val="20"/>
          <w:szCs w:val="20"/>
          <w:color w:val="auto"/>
        </w:rPr>
      </w:pPr>
    </w:p>
    <w:p>
      <w:pPr>
        <w:ind w:right="100" w:firstLine="644"/>
        <w:spacing w:after="0" w:line="245" w:lineRule="auto"/>
        <w:tabs>
          <w:tab w:leader="none" w:pos="129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Registration Statement and Prospectus. </w:t>
      </w:r>
      <w:r>
        <w:rPr>
          <w:rFonts w:ascii="Times New Roman" w:cs="Times New Roman" w:eastAsia="Times New Roman" w:hAnsi="Times New Roman"/>
          <w:sz w:val="22"/>
          <w:szCs w:val="22"/>
          <w:color w:val="auto"/>
        </w:rPr>
        <w:t>The Registration Statement has been declared effective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Commission. No order suspending the effectiveness of the Registration Statement has been issued by the Commission, and no proceeding for that purpose or pursuant to Section 8A of the Securities Act against the Company or related to the offering of the Shares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applicable requirements of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186" w:lineRule="exact"/>
        <w:rPr>
          <w:rFonts w:ascii="Times New Roman" w:cs="Times New Roman" w:eastAsia="Times New Roman" w:hAnsi="Times New Roman"/>
          <w:sz w:val="22"/>
          <w:szCs w:val="22"/>
          <w:color w:val="auto"/>
        </w:rPr>
      </w:pPr>
    </w:p>
    <w:p>
      <w:pPr>
        <w:ind w:right="100" w:firstLine="644"/>
        <w:spacing w:after="0" w:line="251" w:lineRule="auto"/>
        <w:tabs>
          <w:tab w:leader="none" w:pos="129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Financial Statements. </w:t>
      </w:r>
      <w:r>
        <w:rPr>
          <w:rFonts w:ascii="Times New Roman" w:cs="Times New Roman" w:eastAsia="Times New Roman" w:hAnsi="Times New Roman"/>
          <w:sz w:val="22"/>
          <w:szCs w:val="22"/>
          <w:color w:val="auto"/>
        </w:rPr>
        <w:t>The financial statements (including the related notes thereto) of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included in the Registration Statement, the Pricing Disclosure Package and the Prospectus comply in all material respects with the applicable requirements of the Securities Act and present fairly the financial position of the Company as of the dates indicated and the results of their operations and the changes in their cash flows for the periods specified; such financial statements have been prepared in</w:t>
      </w:r>
    </w:p>
    <w:p>
      <w:pPr>
        <w:sectPr>
          <w:pgSz w:w="11900" w:h="16838" w:orient="portrait"/>
          <w:cols w:equalWidth="0" w:num="1">
            <w:col w:w="10580"/>
          </w:cols>
          <w:pgMar w:left="980" w:top="1422" w:right="339" w:bottom="1440" w:gutter="0" w:footer="0" w:header="0"/>
        </w:sectPr>
      </w:pPr>
    </w:p>
    <w:bookmarkStart w:id="239" w:name="page240"/>
    <w:bookmarkEnd w:id="239"/>
    <w:p>
      <w:pPr>
        <w:ind w:right="160"/>
        <w:spacing w:after="0" w:line="265" w:lineRule="auto"/>
        <w:rPr>
          <w:sz w:val="20"/>
          <w:szCs w:val="20"/>
          <w:color w:val="auto"/>
        </w:rPr>
      </w:pPr>
      <w:r>
        <w:rPr>
          <w:rFonts w:ascii="Times New Roman" w:cs="Times New Roman" w:eastAsia="Times New Roman" w:hAnsi="Times New Roman"/>
          <w:sz w:val="21"/>
          <w:szCs w:val="21"/>
          <w:color w:val="auto"/>
        </w:rPr>
        <w:t>all material respects in conformity with generally accepted accounting principles (“GAAP”) in the United States applied on a consistent basis throughout the periods covered thereby,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of the Company and presents fairly, in all material respects, the information shown thereby.</w:t>
      </w:r>
    </w:p>
    <w:p>
      <w:pPr>
        <w:spacing w:after="0" w:line="161" w:lineRule="exact"/>
        <w:rPr>
          <w:sz w:val="20"/>
          <w:szCs w:val="20"/>
          <w:color w:val="auto"/>
        </w:rPr>
      </w:pPr>
    </w:p>
    <w:p>
      <w:pPr>
        <w:ind w:firstLine="644"/>
        <w:spacing w:after="0" w:line="245" w:lineRule="auto"/>
        <w:tabs>
          <w:tab w:leader="none" w:pos="129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Material Adverse Change. </w:t>
      </w:r>
      <w:r>
        <w:rPr>
          <w:rFonts w:ascii="Times New Roman" w:cs="Times New Roman" w:eastAsia="Times New Roman" w:hAnsi="Times New Roman"/>
          <w:sz w:val="22"/>
          <w:szCs w:val="22"/>
          <w:color w:val="auto"/>
        </w:rPr>
        <w:t>Since the date of the most recent financial statements of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included in the Registration Statement, the Pricing Disclosure Package and the Prospectus, (i) there has not been any change in the capital stock (other than the issuance of shares of Common Stock upon exercise of stock options and warrants described as outstanding in, and the grant of options and awards under existing equity incentive plans described in, the Registration Statement, the Pricing Disclosure Package and the Prospectus),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88" w:lineRule="exact"/>
        <w:rPr>
          <w:rFonts w:ascii="Times New Roman" w:cs="Times New Roman" w:eastAsia="Times New Roman" w:hAnsi="Times New Roman"/>
          <w:sz w:val="22"/>
          <w:szCs w:val="22"/>
          <w:color w:val="auto"/>
        </w:rPr>
      </w:pPr>
    </w:p>
    <w:p>
      <w:pPr>
        <w:ind w:firstLine="644"/>
        <w:spacing w:after="0" w:line="246" w:lineRule="auto"/>
        <w:tabs>
          <w:tab w:leader="none" w:pos="128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Organization and Good Standing. </w:t>
      </w:r>
      <w:r>
        <w:rPr>
          <w:rFonts w:ascii="Times New Roman" w:cs="Times New Roman" w:eastAsia="Times New Roman" w:hAnsi="Times New Roman"/>
          <w:sz w:val="22"/>
          <w:szCs w:val="22"/>
          <w:color w:val="auto"/>
        </w:rPr>
        <w:t>The Company and each of its subsidiaries have been duly organized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stockholders’ equity, results of operations or prospects of the Company and its subsidiaries taken as a whole or on the performance by the Company of its obligations under this Agreement (a “Material Adverse Effect”). The Company does not own or control, directly or indirectly, any corporation, association or other entity other than the subsidiaries listed in Exhibit 21 to the Registration Statement. The subsidiaries</w:t>
      </w:r>
    </w:p>
    <w:p>
      <w:pPr>
        <w:sectPr>
          <w:pgSz w:w="11900" w:h="16838" w:orient="portrait"/>
          <w:cols w:equalWidth="0" w:num="1">
            <w:col w:w="10560"/>
          </w:cols>
          <w:pgMar w:left="980" w:top="1422" w:right="3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22"/>
          <w:szCs w:val="22"/>
          <w:color w:val="auto"/>
        </w:rPr>
        <w:t>listed in Schedule 2 to this Agreement are the only significant subsidiaries of the Company.</w:t>
      </w:r>
    </w:p>
    <w:p>
      <w:pPr>
        <w:spacing w:after="0" w:line="216" w:lineRule="exact"/>
        <w:rPr>
          <w:sz w:val="20"/>
          <w:szCs w:val="20"/>
          <w:color w:val="auto"/>
        </w:rPr>
      </w:pPr>
    </w:p>
    <w:p>
      <w:pPr>
        <w:ind w:right="40" w:firstLine="644"/>
        <w:spacing w:after="0" w:line="245" w:lineRule="auto"/>
        <w:tabs>
          <w:tab w:leader="none" w:pos="128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Capitalization. </w:t>
      </w:r>
      <w:r>
        <w:rPr>
          <w:rFonts w:ascii="Times New Roman" w:cs="Times New Roman" w:eastAsia="Times New Roman" w:hAnsi="Times New Roman"/>
          <w:sz w:val="22"/>
          <w:szCs w:val="22"/>
          <w:color w:val="auto"/>
        </w:rPr>
        <w:t>The Company has an authorized capitalization as set forth in the Registration Statement,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Pricing Disclosure Package and the Prospectus under the heading “Capitalization”; all the outstanding shares of capital stock of the Company have been duly and validly authorized and issued and are fully paid and non-assessable and are not subject to any pre-emptive or similar rights that have not been duly waived or satisfied; except as described in or expressly contemplated by the Registration Statement, the Pricing Disclosure Package and the Prospectus, there are no outstanding rights (including, without limitation, pre-emptive rights that have not been duly waived or satisfied),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spacing w:after="0" w:line="188" w:lineRule="exact"/>
        <w:rPr>
          <w:rFonts w:ascii="Times New Roman" w:cs="Times New Roman" w:eastAsia="Times New Roman" w:hAnsi="Times New Roman"/>
          <w:sz w:val="22"/>
          <w:szCs w:val="22"/>
          <w:color w:val="auto"/>
        </w:rPr>
      </w:pPr>
    </w:p>
    <w:p>
      <w:pPr>
        <w:ind w:firstLine="644"/>
        <w:spacing w:after="0" w:line="245" w:lineRule="auto"/>
        <w:tabs>
          <w:tab w:leader="none" w:pos="129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Stock Options. </w:t>
      </w:r>
      <w:r>
        <w:rPr>
          <w:rFonts w:ascii="Times New Roman" w:cs="Times New Roman" w:eastAsia="Times New Roman" w:hAnsi="Times New Roman"/>
          <w:sz w:val="22"/>
          <w:szCs w:val="22"/>
          <w:color w:val="auto"/>
        </w:rPr>
        <w:t>With respect to the stock options (the “Stock Options”) granted pursuant to the stock-based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plans of the Company and its subsidiaries (the “Company Stock Plans”), (i) each Stock Option intended to qualify as an “incentive stock option” under Section 422 of the Code so qualifies to the extent that such Stock Option (a) satisfies the holding period requirements of Code Section 422(a)(1), and (b) together with all such Stock Options granted to the respective recipient, satisfies the $100,000 per individual per year limit of Code Section 422(d), (ii) each grant of a Stock Option was duly authorized no later than the date on which the grant of such Stock Option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Nasdaq Global Select Market and any other exchange on which Company securities are traded, and (iv) each such grant was properly accounted for in accordance with GAAP in the financial statements (including the related notes) of the Company. The Company has not knowingly granted, and there is no and has been no policy or practice of the Company of granting, Stock Options prior to, or otherwise</w:t>
      </w:r>
    </w:p>
    <w:p>
      <w:pPr>
        <w:sectPr>
          <w:pgSz w:w="11900" w:h="16838" w:orient="portrait"/>
          <w:cols w:equalWidth="0" w:num="1">
            <w:col w:w="10580"/>
          </w:cols>
          <w:pgMar w:left="980" w:top="1422" w:right="339" w:bottom="1440" w:gutter="0" w:footer="0" w:header="0"/>
        </w:sectPr>
      </w:pPr>
    </w:p>
    <w:bookmarkStart w:id="241" w:name="page242"/>
    <w:bookmarkEnd w:id="241"/>
    <w:p>
      <w:pPr>
        <w:ind w:right="80"/>
        <w:spacing w:after="0" w:line="271" w:lineRule="auto"/>
        <w:rPr>
          <w:sz w:val="20"/>
          <w:szCs w:val="20"/>
          <w:color w:val="auto"/>
        </w:rPr>
      </w:pPr>
      <w:r>
        <w:rPr>
          <w:rFonts w:ascii="Times New Roman" w:cs="Times New Roman" w:eastAsia="Times New Roman" w:hAnsi="Times New Roman"/>
          <w:sz w:val="22"/>
          <w:szCs w:val="22"/>
          <w:color w:val="auto"/>
        </w:rPr>
        <w:t>coordinating the grant of Stock Options with, the release or other public announcement of material information regarding the Company or its subsidiaries or their results of operations or prospects.</w:t>
      </w:r>
    </w:p>
    <w:p>
      <w:pPr>
        <w:spacing w:after="0" w:line="154" w:lineRule="exact"/>
        <w:rPr>
          <w:sz w:val="20"/>
          <w:szCs w:val="20"/>
          <w:color w:val="auto"/>
        </w:rPr>
      </w:pPr>
    </w:p>
    <w:p>
      <w:pPr>
        <w:ind w:firstLine="644"/>
        <w:spacing w:after="0" w:line="253" w:lineRule="auto"/>
        <w:tabs>
          <w:tab w:leader="none" w:pos="128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Due Authorization. </w:t>
      </w:r>
      <w:r>
        <w:rPr>
          <w:rFonts w:ascii="Times New Roman" w:cs="Times New Roman" w:eastAsia="Times New Roman" w:hAnsi="Times New Roman"/>
          <w:sz w:val="22"/>
          <w:szCs w:val="22"/>
          <w:color w:val="auto"/>
        </w:rPr>
        <w:t>The Company has full right, power and authority to execute and deliver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75"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Underwriting Agreement. </w:t>
      </w:r>
      <w:r>
        <w:rPr>
          <w:rFonts w:ascii="Times New Roman" w:cs="Times New Roman" w:eastAsia="Times New Roman" w:hAnsi="Times New Roman"/>
          <w:sz w:val="22"/>
          <w:szCs w:val="22"/>
          <w:color w:val="auto"/>
        </w:rPr>
        <w:t>This Agreement has been duly authorized, executed and delivered by the</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191" w:lineRule="exact"/>
        <w:rPr>
          <w:rFonts w:ascii="Times New Roman" w:cs="Times New Roman" w:eastAsia="Times New Roman" w:hAnsi="Times New Roman"/>
          <w:sz w:val="22"/>
          <w:szCs w:val="22"/>
          <w:color w:val="auto"/>
        </w:rPr>
      </w:pPr>
    </w:p>
    <w:p>
      <w:pPr>
        <w:ind w:right="80" w:firstLine="644"/>
        <w:spacing w:after="0" w:line="251" w:lineRule="auto"/>
        <w:tabs>
          <w:tab w:leader="none" w:pos="129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The Shares. </w:t>
      </w:r>
      <w:r>
        <w:rPr>
          <w:rFonts w:ascii="Times New Roman" w:cs="Times New Roman" w:eastAsia="Times New Roman" w:hAnsi="Times New Roman"/>
          <w:sz w:val="22"/>
          <w:szCs w:val="22"/>
          <w:color w:val="auto"/>
        </w:rPr>
        <w:t>The Shares to be issued and sold by the Company hereunder have been duly authorized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and, when issued and delivered and paid for as provided herein, will be duly and validly issued, will be fully paid and nonassessable and will conform to in all material respects the descriptions thereof in the Registration Statement, the Pricing Disclosure Package and the Prospectus; and the issuance of the Shares is not subject to any preemptive or similar rights.</w:t>
      </w:r>
    </w:p>
    <w:p>
      <w:pPr>
        <w:spacing w:after="0" w:line="175" w:lineRule="exact"/>
        <w:rPr>
          <w:rFonts w:ascii="Times New Roman" w:cs="Times New Roman" w:eastAsia="Times New Roman" w:hAnsi="Times New Roman"/>
          <w:sz w:val="22"/>
          <w:szCs w:val="22"/>
          <w:color w:val="auto"/>
        </w:rPr>
      </w:pPr>
    </w:p>
    <w:p>
      <w:pPr>
        <w:ind w:right="500" w:firstLine="644"/>
        <w:spacing w:after="0" w:line="299" w:lineRule="auto"/>
        <w:tabs>
          <w:tab w:leader="none" w:pos="1291"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Descriptions of the Underwriting Agreement. </w:t>
      </w:r>
      <w:r>
        <w:rPr>
          <w:rFonts w:ascii="Times New Roman" w:cs="Times New Roman" w:eastAsia="Times New Roman" w:hAnsi="Times New Roman"/>
          <w:sz w:val="21"/>
          <w:szCs w:val="21"/>
          <w:color w:val="auto"/>
        </w:rPr>
        <w:t>This Agreement conforms in all material respects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description thereof contained in the Registration Statement, the Pricing Disclosure Package and the Prospectus.</w:t>
      </w:r>
    </w:p>
    <w:p>
      <w:pPr>
        <w:spacing w:after="0" w:line="127" w:lineRule="exact"/>
        <w:rPr>
          <w:rFonts w:ascii="Times New Roman" w:cs="Times New Roman" w:eastAsia="Times New Roman" w:hAnsi="Times New Roman"/>
          <w:sz w:val="21"/>
          <w:szCs w:val="21"/>
          <w:color w:val="auto"/>
        </w:rPr>
      </w:pPr>
    </w:p>
    <w:p>
      <w:pPr>
        <w:ind w:firstLine="644"/>
        <w:spacing w:after="0" w:line="260" w:lineRule="auto"/>
        <w:tabs>
          <w:tab w:leader="none" w:pos="1291"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 Violation or Default. </w:t>
      </w:r>
      <w:r>
        <w:rPr>
          <w:rFonts w:ascii="Times New Roman" w:cs="Times New Roman" w:eastAsia="Times New Roman" w:hAnsi="Times New Roman"/>
          <w:sz w:val="21"/>
          <w:szCs w:val="21"/>
          <w:color w:val="auto"/>
        </w:rPr>
        <w:t>Neither the Company nor any of its subsidiaries is (i) in violation of its charter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applicable law or statute or any judgment, order, rule or regulation of any court or arbitrator or governmental or regulatory authority having jurisdiction over the Company and its subsidiaries, except, in the case of clauses (ii) and (iii) above, for any such default or violation that would not, individually or in the aggregate, reasonably be expected to have a Material Adverse Effect.</w:t>
      </w:r>
    </w:p>
    <w:p>
      <w:pPr>
        <w:spacing w:after="0" w:line="170" w:lineRule="exact"/>
        <w:rPr>
          <w:rFonts w:ascii="Times New Roman" w:cs="Times New Roman" w:eastAsia="Times New Roman" w:hAnsi="Times New Roman"/>
          <w:sz w:val="21"/>
          <w:szCs w:val="21"/>
          <w:color w:val="auto"/>
        </w:rPr>
      </w:pPr>
    </w:p>
    <w:p>
      <w:pPr>
        <w:ind w:right="180" w:firstLine="644"/>
        <w:spacing w:after="0" w:line="263" w:lineRule="auto"/>
        <w:tabs>
          <w:tab w:leader="none" w:pos="1291"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 Conflicts. </w:t>
      </w:r>
      <w:r>
        <w:rPr>
          <w:rFonts w:ascii="Times New Roman" w:cs="Times New Roman" w:eastAsia="Times New Roman" w:hAnsi="Times New Roman"/>
          <w:sz w:val="21"/>
          <w:szCs w:val="21"/>
          <w:color w:val="auto"/>
        </w:rPr>
        <w:t>The execution, delivery and performance by the Company of this Agreement, the issuance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sale of the Shares and the consummation of the transactions contemplated by this Agreement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w:t>
      </w:r>
    </w:p>
    <w:p>
      <w:pPr>
        <w:sectPr>
          <w:pgSz w:w="11900" w:h="16838" w:orient="portrait"/>
          <w:cols w:equalWidth="0" w:num="1">
            <w:col w:w="10560"/>
          </w:cols>
          <w:pgMar w:left="980" w:top="1422" w:right="359" w:bottom="1440" w:gutter="0" w:footer="0" w:header="0"/>
        </w:sectPr>
      </w:pPr>
    </w:p>
    <w:bookmarkStart w:id="242" w:name="page243"/>
    <w:bookmarkEnd w:id="242"/>
    <w:p>
      <w:pPr>
        <w:ind w:right="80"/>
        <w:spacing w:after="0" w:line="261" w:lineRule="auto"/>
        <w:rPr>
          <w:sz w:val="20"/>
          <w:szCs w:val="20"/>
          <w:color w:val="auto"/>
        </w:rPr>
      </w:pPr>
      <w:r>
        <w:rPr>
          <w:rFonts w:ascii="Times New Roman" w:cs="Times New Roman" w:eastAsia="Times New Roman" w:hAnsi="Times New Roman"/>
          <w:sz w:val="21"/>
          <w:szCs w:val="21"/>
          <w:color w:val="auto"/>
        </w:rPr>
        <w:t>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applicable law or statute or any judgment, order, rule or regulation of any court or arbitrator or governmental or regulatory authority having jurisdiction over the Company and its subsidiaries, except, in the case of clauses (i) and (iii) above, for any such conflict, breach, violation, default, lien, charge or encumbrance that would not, individually or in the aggregate, reasonably be expected to have a Material Adverse Effect.</w:t>
      </w:r>
    </w:p>
    <w:p>
      <w:pPr>
        <w:spacing w:after="0" w:line="169" w:lineRule="exact"/>
        <w:rPr>
          <w:sz w:val="20"/>
          <w:szCs w:val="20"/>
          <w:color w:val="auto"/>
        </w:rPr>
      </w:pPr>
    </w:p>
    <w:p>
      <w:pPr>
        <w:ind w:right="80" w:firstLine="644"/>
        <w:spacing w:after="0" w:line="248" w:lineRule="auto"/>
        <w:tabs>
          <w:tab w:leader="none" w:pos="129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Consents Required. </w:t>
      </w:r>
      <w:r>
        <w:rPr>
          <w:rFonts w:ascii="Times New Roman" w:cs="Times New Roman" w:eastAsia="Times New Roman" w:hAnsi="Times New Roman"/>
          <w:sz w:val="22"/>
          <w:szCs w:val="22"/>
          <w:color w:val="auto"/>
        </w:rPr>
        <w:t>No consent, approval, authorization, order, registration or qualification of or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court or arbitrator or governmental or regulatory authority is required for the execution, delivery and performance by the Company of this Agreement, the issuance and sale of the Shares and the consummation of the transactions contemplated by this Agreement, except for the registration of the Shares under the Securities Act and such consents, approvals, authorizations, orders and registrations or qualifications as may be required by the Financial Industry Regulatory Authority, Inc. (“FINRA”) and under applicable state securities laws in connection with the purchase and distribution of the Shares by the Underwriters.</w:t>
      </w:r>
    </w:p>
    <w:p>
      <w:pPr>
        <w:spacing w:after="0" w:line="181" w:lineRule="exact"/>
        <w:rPr>
          <w:rFonts w:ascii="Times New Roman" w:cs="Times New Roman" w:eastAsia="Times New Roman" w:hAnsi="Times New Roman"/>
          <w:sz w:val="22"/>
          <w:szCs w:val="22"/>
          <w:color w:val="auto"/>
        </w:rPr>
      </w:pPr>
    </w:p>
    <w:p>
      <w:pPr>
        <w:ind w:firstLine="644"/>
        <w:spacing w:after="0" w:line="246" w:lineRule="auto"/>
        <w:tabs>
          <w:tab w:leader="none" w:pos="129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Legal Proceedings. </w:t>
      </w:r>
      <w:r>
        <w:rPr>
          <w:rFonts w:ascii="Times New Roman" w:cs="Times New Roman" w:eastAsia="Times New Roman" w:hAnsi="Times New Roman"/>
          <w:sz w:val="22"/>
          <w:szCs w:val="22"/>
          <w:color w:val="auto"/>
        </w:rPr>
        <w:t>There are no legal, governmental or regulatory investigations, actions, demands,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claims, suits, arbitrations, inquiries or proceedings (“Actions”) pending to which the Company or any of its subsidiaries is or may be a party or to which any property of the Company or any of its subsidiaries is or may be the subject that, individually or in the aggregate, if determined adversely to the Company or any of its subsidiaries, could reasonably be expected to have a Material Adverse Effect; no such Actions are threatened or, to the knowledge of the Company,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182" w:lineRule="exact"/>
        <w:rPr>
          <w:rFonts w:ascii="Times New Roman" w:cs="Times New Roman" w:eastAsia="Times New Roman" w:hAnsi="Times New Roman"/>
          <w:sz w:val="22"/>
          <w:szCs w:val="22"/>
          <w:color w:val="auto"/>
        </w:rPr>
      </w:pPr>
    </w:p>
    <w:p>
      <w:pPr>
        <w:ind w:right="80" w:firstLine="644"/>
        <w:spacing w:after="0" w:line="253" w:lineRule="auto"/>
        <w:tabs>
          <w:tab w:leader="none" w:pos="128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Independent Accountants</w:t>
      </w:r>
      <w:r>
        <w:rPr>
          <w:rFonts w:ascii="Times New Roman" w:cs="Times New Roman" w:eastAsia="Times New Roman" w:hAnsi="Times New Roman"/>
          <w:sz w:val="22"/>
          <w:szCs w:val="22"/>
          <w:color w:val="auto"/>
        </w:rPr>
        <w:t>. Deloitte &amp; Touche LLP, who have certified certain financial statements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ectPr>
          <w:pgSz w:w="11900" w:h="16838" w:orient="portrait"/>
          <w:cols w:equalWidth="0" w:num="1">
            <w:col w:w="10540"/>
          </w:cols>
          <w:pgMar w:left="980" w:top="1422" w:right="379" w:bottom="1440" w:gutter="0" w:footer="0" w:header="0"/>
        </w:sectPr>
      </w:pPr>
    </w:p>
    <w:bookmarkStart w:id="243" w:name="page244"/>
    <w:bookmarkEnd w:id="243"/>
    <w:p>
      <w:pPr>
        <w:ind w:left="-460" w:right="60" w:firstLine="644"/>
        <w:spacing w:after="0" w:line="249" w:lineRule="auto"/>
        <w:tabs>
          <w:tab w:leader="none" w:pos="83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Title to Real and Personal Property</w:t>
      </w:r>
      <w:r>
        <w:rPr>
          <w:rFonts w:ascii="Times New Roman" w:cs="Times New Roman" w:eastAsia="Times New Roman" w:hAnsi="Times New Roman"/>
          <w:sz w:val="22"/>
          <w:szCs w:val="22"/>
          <w:color w:val="auto"/>
        </w:rPr>
        <w:t>. The Company and its subsidiaries have good and marketable title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fee simple to, or have valid rights to lease or otherwise use, all items of real and personal property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would not reasonably be expected, individually or in the aggregate, to have a Material Adverse Effect.</w:t>
      </w:r>
    </w:p>
    <w:p>
      <w:pPr>
        <w:spacing w:after="0" w:line="184" w:lineRule="exact"/>
        <w:rPr>
          <w:rFonts w:ascii="Times New Roman" w:cs="Times New Roman" w:eastAsia="Times New Roman" w:hAnsi="Times New Roman"/>
          <w:sz w:val="22"/>
          <w:szCs w:val="22"/>
          <w:color w:val="auto"/>
        </w:rPr>
      </w:pPr>
    </w:p>
    <w:p>
      <w:pPr>
        <w:ind w:left="-460" w:firstLine="644"/>
        <w:spacing w:after="0" w:line="256" w:lineRule="auto"/>
        <w:tabs>
          <w:tab w:leader="none" w:pos="83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Intellectual Property</w:t>
      </w:r>
      <w:r>
        <w:rPr>
          <w:rFonts w:ascii="Times New Roman" w:cs="Times New Roman" w:eastAsia="Times New Roman" w:hAnsi="Times New Roman"/>
          <w:sz w:val="21"/>
          <w:szCs w:val="21"/>
          <w:color w:val="auto"/>
        </w:rPr>
        <w:t>. Except as would not reasonably be expected, individually or in the aggregate, to have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1"/>
          <w:szCs w:val="21"/>
          <w:color w:val="auto"/>
        </w:rPr>
        <w:t>Material Adverse Effect, (i) the Company and its subsidiaries own or have valid and enforceable rights to use all patents, trademarks, service marks, trade names, domain names and other source indicators, copyrights and copyrightable works, licenses know-how, trade secrets, or other unpatented or unpatentable proprietary or confidential information, systems, or procedures, and all other similar intellectual property or proprietary rights (including all registrations and applications for the registration of, and all goodwill associated with, the foregoing) (collectively, “Intellectual Property”) used in or necessary for the conduct of their respective businesses now operated by them or as proposed to be operated in the Registration Statement, the Pricing Disclosure Package or the Prospectus, except as disclosed in the Registration Statement, the Pricing Disclosure Package or the Prospectus; (ii) to the knowledge of the Company, the Company’s and its subsidiaries’ conduct of their respective businesses has not infringed, misappropriated or otherwise violated any Intellectual Property of any third party and none of the products, including the Proteograph Product Suite, of the Company and its subsidiaries, if commercially sold or offered for commercial sale, would infringe, misappropriate or otherwise violate any Intellectual Property of any third party, except as disclosed in the Registration Statement, the Pricing Disclosure Package or the Prospectus; (iii) the Company and its subsidiaries have not received any written notice of, any pending or, to the knowledge of the Company, threatened claims alleging infringement, misappropriation or other violations of any Intellectual Property of any third party, or challenging the validity, enforceability, scope or ownership of any Intellectual Property owned by or exclusively licensed to the Company or its subsidiaries other than in the ordinary course of prosecution, except as disclosed in the Registration Statement, the Pricing Disclosure Package or the Prospectus; (iv) to the knowledge of the Company, the Intellectual Property owned by or exclusively licensed to the Company and its subsidiaries is not being infringed, misappropriated or otherwise violated by any third party; (v) none of the Intellectual Property owned by or exclusively licensed to the Company or any of its subsidiaries has been adjudged invalid or unenforceable and, to the knowledge of the Company, all such Intellectual Property is valid and enforceable; and (vi) the Company and its subsidiaries have taken reasonable steps in accordance with normal industry practice to maintain the confidentiality of all Intellectual Property, the value of which to the Company or any of its subsidiaries is contingent upon maintaining the confidentiality thereof, and there has not been any unauthorized disclosure of the same.</w:t>
      </w:r>
    </w:p>
    <w:p>
      <w:pPr>
        <w:sectPr>
          <w:pgSz w:w="11900" w:h="16838" w:orient="portrait"/>
          <w:cols w:equalWidth="0" w:num="1">
            <w:col w:w="10120"/>
          </w:cols>
          <w:pgMar w:left="1440" w:top="1418" w:right="339" w:bottom="1440" w:gutter="0" w:footer="0" w:header="0"/>
        </w:sectPr>
      </w:pPr>
    </w:p>
    <w:bookmarkStart w:id="244" w:name="page245"/>
    <w:bookmarkEnd w:id="244"/>
    <w:p>
      <w:pPr>
        <w:ind w:left="4" w:right="40" w:firstLine="644"/>
        <w:spacing w:after="0" w:line="258" w:lineRule="auto"/>
        <w:tabs>
          <w:tab w:leader="none" w:pos="1289"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Open Source Software</w:t>
      </w:r>
      <w:r>
        <w:rPr>
          <w:rFonts w:ascii="Times New Roman" w:cs="Times New Roman" w:eastAsia="Times New Roman" w:hAnsi="Times New Roman"/>
          <w:sz w:val="21"/>
          <w:szCs w:val="21"/>
          <w:color w:val="auto"/>
        </w:rPr>
        <w:t>. The Company and its subsidiaries use and have used any and all software and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materials distributed under a “free,” “open source,” or similar licensing model (including but not limited to the MIT License, Apache License, GNU General Public License, GNU Lesser General Public License and GNU Affero General Public License) (“Open Source Software”) in material compliance with all license terms applicable to such Open Source Software. Neither the Company nor any of its subsidiaries uses or distributes or has used or distributed any Open Source Software in any manner that requires or has required (i) the Company or any of its subsidiaries to permit reverse engineering of any software code or other technology owned by the Company or any of its subsidiaries that is material to the Company’s or any of its subsidiaries’ business (“Material Company Code”) or (ii) any Material Company Code to be</w:t>
      </w:r>
    </w:p>
    <w:p>
      <w:pPr>
        <w:spacing w:after="0" w:line="3" w:lineRule="exact"/>
        <w:rPr>
          <w:rFonts w:ascii="Times New Roman" w:cs="Times New Roman" w:eastAsia="Times New Roman" w:hAnsi="Times New Roman"/>
          <w:sz w:val="21"/>
          <w:szCs w:val="21"/>
          <w:color w:val="auto"/>
        </w:rPr>
      </w:pPr>
    </w:p>
    <w:p>
      <w:pPr>
        <w:ind w:left="4" w:right="880" w:hanging="4"/>
        <w:spacing w:after="0" w:line="248" w:lineRule="auto"/>
        <w:tabs>
          <w:tab w:leader="none" w:pos="35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or distributed in source code form, (B) licensed for the purpose of making derivative works or (C) redistributed at no charge.</w:t>
      </w:r>
    </w:p>
    <w:p>
      <w:pPr>
        <w:spacing w:after="0" w:line="178" w:lineRule="exact"/>
        <w:rPr>
          <w:rFonts w:ascii="Times New Roman" w:cs="Times New Roman" w:eastAsia="Times New Roman" w:hAnsi="Times New Roman"/>
          <w:sz w:val="22"/>
          <w:szCs w:val="22"/>
          <w:color w:val="auto"/>
        </w:rPr>
      </w:pPr>
    </w:p>
    <w:p>
      <w:pPr>
        <w:ind w:left="4" w:right="20" w:firstLine="644"/>
        <w:spacing w:after="0" w:line="251" w:lineRule="auto"/>
        <w:tabs>
          <w:tab w:leader="none" w:pos="1295"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Undisclosed Relationships</w:t>
      </w:r>
      <w:r>
        <w:rPr>
          <w:rFonts w:ascii="Times New Roman" w:cs="Times New Roman" w:eastAsia="Times New Roman" w:hAnsi="Times New Roman"/>
          <w:sz w:val="22"/>
          <w:szCs w:val="22"/>
          <w:color w:val="auto"/>
        </w:rPr>
        <w:t>. No relationship, direct or indirect, exists between or among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any of its subsidiaries, on the 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175" w:lineRule="exact"/>
        <w:rPr>
          <w:rFonts w:ascii="Times New Roman" w:cs="Times New Roman" w:eastAsia="Times New Roman" w:hAnsi="Times New Roman"/>
          <w:sz w:val="22"/>
          <w:szCs w:val="22"/>
          <w:color w:val="auto"/>
        </w:rPr>
      </w:pPr>
    </w:p>
    <w:p>
      <w:pPr>
        <w:ind w:left="4" w:firstLine="644"/>
        <w:spacing w:after="0" w:line="251" w:lineRule="auto"/>
        <w:tabs>
          <w:tab w:leader="none" w:pos="1295"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Investment Company Act</w:t>
      </w:r>
      <w:r>
        <w:rPr>
          <w:rFonts w:ascii="Times New Roman" w:cs="Times New Roman" w:eastAsia="Times New Roman" w:hAnsi="Times New Roman"/>
          <w:sz w:val="22"/>
          <w:szCs w:val="22"/>
          <w:color w:val="auto"/>
        </w:rPr>
        <w:t>. The Company is not and, after giving effect to the offering and sale of the Shares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application of the 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175" w:lineRule="exact"/>
        <w:rPr>
          <w:rFonts w:ascii="Times New Roman" w:cs="Times New Roman" w:eastAsia="Times New Roman" w:hAnsi="Times New Roman"/>
          <w:sz w:val="22"/>
          <w:szCs w:val="22"/>
          <w:color w:val="auto"/>
        </w:rPr>
      </w:pPr>
    </w:p>
    <w:p>
      <w:pPr>
        <w:ind w:left="4" w:right="40" w:firstLine="644"/>
        <w:spacing w:after="0" w:line="248" w:lineRule="auto"/>
        <w:tabs>
          <w:tab w:leader="none" w:pos="1297"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Taxes. </w:t>
      </w:r>
      <w:r>
        <w:rPr>
          <w:rFonts w:ascii="Times New Roman" w:cs="Times New Roman" w:eastAsia="Times New Roman" w:hAnsi="Times New Roman"/>
          <w:sz w:val="22"/>
          <w:szCs w:val="22"/>
          <w:color w:val="auto"/>
        </w:rPr>
        <w:t>The Company and its subsidiaries have paid all federal, state, local and foreign taxes and filed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tax returns required to be paid or filed through the date hereof; except where such failure to pay or file would not reasonably be expected, individually or in the aggregate, to have a Material Adverse Effect; and except as otherwise disclosed in each of the Registration Statement, the Pricing Disclosure Package and the Prospectus or as would not reasonably be expected, individually or in the aggregate, to have a Material Adverse Effect, there is no tax deficiency that has been, or could reasonably be expected to be, asserted against the Company or any of its subsidiaries or any of their respective properties or assets.</w:t>
      </w:r>
    </w:p>
    <w:p>
      <w:pPr>
        <w:spacing w:after="0" w:line="182" w:lineRule="exact"/>
        <w:rPr>
          <w:sz w:val="20"/>
          <w:szCs w:val="20"/>
          <w:color w:val="auto"/>
        </w:rPr>
      </w:pPr>
    </w:p>
    <w:p>
      <w:pPr>
        <w:ind w:left="4" w:right="120" w:firstLine="644"/>
        <w:spacing w:after="0" w:line="251" w:lineRule="auto"/>
        <w:tabs>
          <w:tab w:leader="none" w:pos="129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Licenses and Permits. </w:t>
      </w:r>
      <w:r>
        <w:rPr>
          <w:rFonts w:ascii="Times New Roman" w:cs="Times New Roman" w:eastAsia="Times New Roman" w:hAnsi="Times New Roman"/>
          <w:sz w:val="22"/>
          <w:szCs w:val="22"/>
          <w:color w:val="auto"/>
        </w:rPr>
        <w:t>The Company and its subsidiaries possess all licenses, sub-licenses, certificates,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w:t>
      </w:r>
    </w:p>
    <w:p>
      <w:pPr>
        <w:sectPr>
          <w:pgSz w:w="11900" w:h="16838" w:orient="portrait"/>
          <w:cols w:equalWidth="0" w:num="1">
            <w:col w:w="10564"/>
          </w:cols>
          <w:pgMar w:left="976" w:top="1418" w:right="359" w:bottom="1440" w:gutter="0" w:footer="0" w:header="0"/>
        </w:sectPr>
      </w:pPr>
    </w:p>
    <w:bookmarkStart w:id="245" w:name="page246"/>
    <w:bookmarkEnd w:id="245"/>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except where the failure to possess or make the same would not, individually or in the aggregate, have a Material Adverse Effect; and except as described in each of the Registration Statement, the Pricing Disclosure Package and the Prospectus,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w:t>
      </w:r>
    </w:p>
    <w:p>
      <w:pPr>
        <w:spacing w:after="0" w:line="177" w:lineRule="exact"/>
        <w:rPr>
          <w:sz w:val="20"/>
          <w:szCs w:val="20"/>
          <w:color w:val="auto"/>
        </w:rPr>
      </w:pPr>
    </w:p>
    <w:p>
      <w:pPr>
        <w:ind w:right="60" w:firstLine="644"/>
        <w:spacing w:after="0" w:line="249" w:lineRule="auto"/>
        <w:tabs>
          <w:tab w:leader="none" w:pos="129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Labor Disputes. </w:t>
      </w:r>
      <w:r>
        <w:rPr>
          <w:rFonts w:ascii="Times New Roman" w:cs="Times New Roman" w:eastAsia="Times New Roman" w:hAnsi="Times New Roman"/>
          <w:sz w:val="22"/>
          <w:szCs w:val="22"/>
          <w:color w:val="auto"/>
        </w:rPr>
        <w:t>No labor disturbance by or dispute with employees of the Company or any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subsidiaries exists or, to the knowledge of the Company, is contemplated or threatened, and the Company is not aware of any existing or imminent labor disturbance by, or dispute with, the employees of any of its or its subsidiaries’ principal suppliers, contractors or customers, except as would not have a Material Adverse Effect. Neither the Company nor any of its subsidiaries has received any notice of cancellation or termination with respect to any collective bargaining agreement to which it is a party.</w:t>
      </w:r>
    </w:p>
    <w:p>
      <w:pPr>
        <w:spacing w:after="0" w:line="180" w:lineRule="exact"/>
        <w:rPr>
          <w:rFonts w:ascii="Times New Roman" w:cs="Times New Roman" w:eastAsia="Times New Roman" w:hAnsi="Times New Roman"/>
          <w:sz w:val="22"/>
          <w:szCs w:val="22"/>
          <w:color w:val="auto"/>
        </w:rPr>
      </w:pPr>
    </w:p>
    <w:p>
      <w:pPr>
        <w:ind w:firstLine="644"/>
        <w:spacing w:after="0" w:line="257" w:lineRule="auto"/>
        <w:tabs>
          <w:tab w:leader="none" w:pos="1294"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Certain Environmental Matters</w:t>
      </w:r>
      <w:r>
        <w:rPr>
          <w:rFonts w:ascii="Times New Roman" w:cs="Times New Roman" w:eastAsia="Times New Roman" w:hAnsi="Times New Roman"/>
          <w:sz w:val="21"/>
          <w:szCs w:val="21"/>
          <w:color w:val="auto"/>
        </w:rPr>
        <w:t>. (i) The Company and its subsidiaries (x) are in compliance with all,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have not 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applicable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(x) there is no proceeding that is pending, or that is known to be contemplated, against the Company or any of its subsidiaries under any Environmental Laws in which a governmental entity is also a party, other than such proceeding regarding which it is reasonably believed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or its subsidiaries anticipates material capital expenditures relating to any Environmental Laws.</w:t>
      </w:r>
    </w:p>
    <w:p>
      <w:pPr>
        <w:sectPr>
          <w:pgSz w:w="11900" w:h="16838" w:orient="portrait"/>
          <w:cols w:equalWidth="0" w:num="1">
            <w:col w:w="10560"/>
          </w:cols>
          <w:pgMar w:left="980" w:top="1422" w:right="359" w:bottom="1440" w:gutter="0" w:footer="0" w:header="0"/>
        </w:sectPr>
      </w:pPr>
    </w:p>
    <w:bookmarkStart w:id="246" w:name="page247"/>
    <w:bookmarkEnd w:id="246"/>
    <w:p>
      <w:pPr>
        <w:ind w:left="4" w:right="80" w:firstLine="644"/>
        <w:spacing w:after="0" w:line="245" w:lineRule="auto"/>
        <w:tabs>
          <w:tab w:leader="none" w:pos="1295"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Hazardous Materials</w:t>
      </w:r>
      <w:r>
        <w:rPr>
          <w:rFonts w:ascii="Times New Roman" w:cs="Times New Roman" w:eastAsia="Times New Roman" w:hAnsi="Times New Roman"/>
          <w:sz w:val="22"/>
          <w:szCs w:val="22"/>
          <w:color w:val="auto"/>
        </w:rPr>
        <w:t>. There has been no storage, generation, transportation, use, handling, treatment,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Release or threat of Release of Hazardous Materials by, relating to or caused by the Company or the Company’s subsidiaries (or, to the knowledge of the Company, any other entity (including any predecessor) for whose acts or omissions the Company or any of the Company’s subsidiaries is or would reasonably be expected to be liable) at, on, under or from any property or facility now or previously owned, operated or leased by the Company or the Company’s subsidiaries, or at, on, under or from any other property or facility, in material violation of any Environmental Laws or in a manner or amount or to a location that could reasonably be expected to result in any material liability under any Environmental Law. “Hazardous Materials” means any material, chemical, substance, waste, pollutant, contaminant, compound, mixture, or constituent thereof, in any form or amount, including petroleum (including crude oil or any fraction thereof) and petroleum products, natural gas liquids, asbestos and asbestos-containing materials, naturally occurring radioactive materials, brine, and drilling mud, regulated or which can give rise to liability under any Environmental Law. “Release” means any spilling, leaking, seepage, pumping, pouring, emitting, emptying, discharging, injecting, escaping, leaching, dumping, disposing, depositing, dispersing, or migrating in, into or through the environment, or in, into, from or through any building or structure.</w:t>
      </w:r>
    </w:p>
    <w:p>
      <w:pPr>
        <w:spacing w:after="0" w:line="191" w:lineRule="exact"/>
        <w:rPr>
          <w:rFonts w:ascii="Times New Roman" w:cs="Times New Roman" w:eastAsia="Times New Roman" w:hAnsi="Times New Roman"/>
          <w:sz w:val="22"/>
          <w:szCs w:val="22"/>
          <w:color w:val="auto"/>
        </w:rPr>
      </w:pPr>
    </w:p>
    <w:p>
      <w:pPr>
        <w:ind w:left="4" w:right="20" w:firstLine="644"/>
        <w:spacing w:after="0" w:line="258" w:lineRule="auto"/>
        <w:tabs>
          <w:tab w:leader="none" w:pos="1298"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Compliance with ERISA</w:t>
      </w:r>
      <w:r>
        <w:rPr>
          <w:rFonts w:ascii="Times New Roman" w:cs="Times New Roman" w:eastAsia="Times New Roman" w:hAnsi="Times New Roman"/>
          <w:sz w:val="21"/>
          <w:szCs w:val="21"/>
          <w:color w:val="auto"/>
        </w:rPr>
        <w:t>. (i) Each employee benefit plan, within the meaning of Section 3(3)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would have any liability (each, a “Plan”) has been maintained in compliance in all material respects with its terms and the requirements of any applicable statutes, orders, rules and regulations, including but not limited to ERISA and the Code;</w:t>
      </w:r>
    </w:p>
    <w:p>
      <w:pPr>
        <w:spacing w:after="0" w:line="6" w:lineRule="exact"/>
        <w:rPr>
          <w:rFonts w:ascii="Times New Roman" w:cs="Times New Roman" w:eastAsia="Times New Roman" w:hAnsi="Times New Roman"/>
          <w:sz w:val="21"/>
          <w:szCs w:val="21"/>
          <w:color w:val="auto"/>
        </w:rPr>
      </w:pPr>
    </w:p>
    <w:p>
      <w:pPr>
        <w:ind w:left="4" w:hanging="4"/>
        <w:spacing w:after="0" w:line="243" w:lineRule="auto"/>
        <w:tabs>
          <w:tab w:leader="none" w:pos="322"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to the knowledge of the</w:t>
      </w:r>
    </w:p>
    <w:p>
      <w:pPr>
        <w:sectPr>
          <w:pgSz w:w="11900" w:h="16838" w:orient="portrait"/>
          <w:cols w:equalWidth="0" w:num="1">
            <w:col w:w="10544"/>
          </w:cols>
          <w:pgMar w:left="976" w:top="1418" w:right="379" w:bottom="1440" w:gutter="0" w:footer="0" w:header="0"/>
        </w:sectPr>
      </w:pPr>
    </w:p>
    <w:bookmarkStart w:id="247" w:name="page248"/>
    <w:bookmarkEnd w:id="247"/>
    <w:p>
      <w:pPr>
        <w:ind w:left="4"/>
        <w:spacing w:after="0"/>
        <w:rPr>
          <w:sz w:val="20"/>
          <w:szCs w:val="20"/>
          <w:color w:val="auto"/>
        </w:rPr>
      </w:pPr>
      <w:r>
        <w:rPr>
          <w:rFonts w:ascii="Times New Roman" w:cs="Times New Roman" w:eastAsia="Times New Roman" w:hAnsi="Times New Roman"/>
          <w:sz w:val="21"/>
          <w:szCs w:val="21"/>
          <w:color w:val="auto"/>
        </w:rPr>
        <w:t>Company, nothing has occurred, whether by action or by failure to act, which would cause the loss of such qualification;</w:t>
      </w:r>
    </w:p>
    <w:p>
      <w:pPr>
        <w:spacing w:after="0" w:line="39" w:lineRule="exact"/>
        <w:rPr>
          <w:sz w:val="20"/>
          <w:szCs w:val="20"/>
          <w:color w:val="auto"/>
        </w:rPr>
      </w:pPr>
    </w:p>
    <w:p>
      <w:pPr>
        <w:ind w:left="4" w:hanging="4"/>
        <w:spacing w:after="0" w:line="243" w:lineRule="auto"/>
        <w:tabs>
          <w:tab w:leader="none" w:pos="49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spacing w:after="0" w:line="192" w:lineRule="exact"/>
        <w:rPr>
          <w:rFonts w:ascii="Times New Roman" w:cs="Times New Roman" w:eastAsia="Times New Roman" w:hAnsi="Times New Roman"/>
          <w:sz w:val="22"/>
          <w:szCs w:val="22"/>
          <w:color w:val="auto"/>
        </w:rPr>
      </w:pPr>
    </w:p>
    <w:p>
      <w:pPr>
        <w:ind w:left="4" w:right="220" w:firstLine="644"/>
        <w:spacing w:after="0" w:line="248" w:lineRule="auto"/>
        <w:tabs>
          <w:tab w:leader="none" w:pos="1287"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Disclosure Controls</w:t>
      </w:r>
      <w:r>
        <w:rPr>
          <w:rFonts w:ascii="Times New Roman" w:cs="Times New Roman" w:eastAsia="Times New Roman" w:hAnsi="Times New Roman"/>
          <w:sz w:val="22"/>
          <w:szCs w:val="22"/>
          <w:color w:val="auto"/>
        </w:rPr>
        <w:t>. The Company and its subsidiaries maintain an effective system of “disclosure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181" w:lineRule="exact"/>
        <w:rPr>
          <w:rFonts w:ascii="Times New Roman" w:cs="Times New Roman" w:eastAsia="Times New Roman" w:hAnsi="Times New Roman"/>
          <w:sz w:val="22"/>
          <w:szCs w:val="22"/>
          <w:color w:val="auto"/>
        </w:rPr>
      </w:pPr>
    </w:p>
    <w:p>
      <w:pPr>
        <w:ind w:left="4" w:right="80" w:firstLine="644"/>
        <w:spacing w:after="0" w:line="245" w:lineRule="auto"/>
        <w:tabs>
          <w:tab w:leader="none" w:pos="1295"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Accounting Controls. </w:t>
      </w:r>
      <w:r>
        <w:rPr>
          <w:rFonts w:ascii="Times New Roman" w:cs="Times New Roman" w:eastAsia="Times New Roman" w:hAnsi="Times New Roman"/>
          <w:sz w:val="22"/>
          <w:szCs w:val="22"/>
          <w:color w:val="auto"/>
        </w:rPr>
        <w:t>The Company and its subsidiaries maintain systems of “internal control over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financial reporting” (as defined in Rule 13a-15(f) of the Exchange Act) that have been designed to comply with the requirements of the Exchange Act applicable to the Company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w:t>
      </w:r>
    </w:p>
    <w:p>
      <w:pPr>
        <w:sectPr>
          <w:pgSz w:w="11900" w:h="16838" w:orient="portrait"/>
          <w:cols w:equalWidth="0" w:num="1">
            <w:col w:w="10564"/>
          </w:cols>
          <w:pgMar w:left="976" w:top="1422" w:right="359" w:bottom="1440" w:gutter="0" w:footer="0" w:header="0"/>
        </w:sectPr>
      </w:pPr>
    </w:p>
    <w:bookmarkStart w:id="248" w:name="page249"/>
    <w:bookmarkEnd w:id="248"/>
    <w:p>
      <w:pPr>
        <w:ind w:right="300"/>
        <w:spacing w:after="0" w:line="250" w:lineRule="auto"/>
        <w:rPr>
          <w:sz w:val="20"/>
          <w:szCs w:val="20"/>
          <w:color w:val="auto"/>
        </w:rPr>
      </w:pPr>
      <w:r>
        <w:rPr>
          <w:rFonts w:ascii="Times New Roman" w:cs="Times New Roman" w:eastAsia="Times New Roman" w:hAnsi="Times New Roman"/>
          <w:sz w:val="22"/>
          <w:szCs w:val="22"/>
          <w:color w:val="auto"/>
        </w:rPr>
        <w:t>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77" w:lineRule="exact"/>
        <w:rPr>
          <w:sz w:val="20"/>
          <w:szCs w:val="20"/>
          <w:color w:val="auto"/>
        </w:rPr>
      </w:pPr>
    </w:p>
    <w:p>
      <w:pPr>
        <w:ind w:right="160" w:firstLine="644"/>
        <w:spacing w:after="0" w:line="247" w:lineRule="auto"/>
        <w:tabs>
          <w:tab w:leader="none" w:pos="129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Insurance. </w:t>
      </w:r>
      <w:r>
        <w:rPr>
          <w:rFonts w:ascii="Times New Roman" w:cs="Times New Roman" w:eastAsia="Times New Roman" w:hAnsi="Times New Roman"/>
          <w:sz w:val="22"/>
          <w:szCs w:val="22"/>
          <w:color w:val="auto"/>
        </w:rPr>
        <w:t>The Company and its subsidiaries have insurance covering their respective properties,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operations, personnel and businesses, including business interruption insurance, which insurance is in amounts and insures against such losses and risks as the Company reasonably believes as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85" w:lineRule="exact"/>
        <w:rPr>
          <w:rFonts w:ascii="Times New Roman" w:cs="Times New Roman" w:eastAsia="Times New Roman" w:hAnsi="Times New Roman"/>
          <w:sz w:val="22"/>
          <w:szCs w:val="22"/>
          <w:color w:val="auto"/>
        </w:rPr>
      </w:pPr>
    </w:p>
    <w:p>
      <w:pPr>
        <w:ind w:firstLine="644"/>
        <w:spacing w:after="0" w:line="245" w:lineRule="auto"/>
        <w:tabs>
          <w:tab w:leader="none" w:pos="129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Cybersecurity; Data Protection. </w:t>
      </w:r>
      <w:r>
        <w:rPr>
          <w:rFonts w:ascii="Times New Roman" w:cs="Times New Roman" w:eastAsia="Times New Roman" w:hAnsi="Times New Roman"/>
          <w:sz w:val="22"/>
          <w:szCs w:val="22"/>
          <w:color w:val="auto"/>
        </w:rPr>
        <w:t>The Company and its subsidiaries’ information technology assets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equipment, computers, systems, networks, hardware, software, websites, applications, and databases (including the data and information of their respective users, employees, suppliers, vendors and any third party data maintained, processed or stored by the Company and its subsidiaries) (collectively, “IT Systems”)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controls, policies, procedures, and safeguards, including commercially reasonable disaster recovery and security plans, procedures and facilities for their respective businesses, including, without limitation, for their IT Systems and data held or used by or for the Company or any of its subsidiaries,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and there have been no breaches, violations, outages or unauthorized uses of or access to such IT Systems and data, including Personal Data. The Company and its subsidiaries are presently, and since their inception have been, in material compliance with all applicable laws or statutes and all judgments, orders, rules and regulations of any court or arbitrator or governmental or regulatory authority, internal and external policies, industry standards and contractual obligations relating to the privacy and security of IT Systems and Personal Data and to the protection of such IT Systems and Personal Data from unauthorized use, access, misappropriation or modification (collectively, “Privacy Obligations”). To ensure compliance with the</w:t>
      </w:r>
    </w:p>
    <w:p>
      <w:pPr>
        <w:sectPr>
          <w:pgSz w:w="11900" w:h="16838" w:orient="portrait"/>
          <w:cols w:equalWidth="0" w:num="1">
            <w:col w:w="10580"/>
          </w:cols>
          <w:pgMar w:left="980" w:top="1422" w:right="339" w:bottom="1440" w:gutter="0" w:footer="0" w:header="0"/>
        </w:sectPr>
      </w:pPr>
    </w:p>
    <w:bookmarkStart w:id="249" w:name="page250"/>
    <w:bookmarkEnd w:id="249"/>
    <w:p>
      <w:pPr>
        <w:ind w:left="4" w:right="20"/>
        <w:spacing w:after="0" w:line="245" w:lineRule="auto"/>
        <w:rPr>
          <w:sz w:val="20"/>
          <w:szCs w:val="20"/>
          <w:color w:val="auto"/>
        </w:rPr>
      </w:pPr>
      <w:r>
        <w:rPr>
          <w:rFonts w:ascii="Times New Roman" w:cs="Times New Roman" w:eastAsia="Times New Roman" w:hAnsi="Times New Roman"/>
          <w:sz w:val="22"/>
          <w:szCs w:val="22"/>
          <w:color w:val="auto"/>
        </w:rPr>
        <w:t>Privacy Obligations,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“Policies”). To the Company’s knowledge, it has at all times made all disclosures to users, employees or other applicable persons required by Privacy Obligations, and no such disclosures made or contained in any external written Policies have been materially inaccurate or in violation of any Privacy Obligations. The Company and its subsidiaries (i) have not received written notice of or complaint regarding or indicating non-compliance with, or any actual or potential liability under or relating to, or actual or potential violation of, any of the Privacy Obligations, and there has not been any event or condition that would reasonably be expected to result in any such notice; (ii) are not currently conducting or paying for, in whole or in part, any investigation, remediation, or other corrective action pursuant to any Privacy Obligations; and (iii) are not party to any governmental order, decree, or agreement that imposes any obligation or liability under any Privacy Obligations. The Company and its subsidiaries have taken all necessary actions to prepare to comply with all other applicable laws and regulations with respect to Personal Data that have been announced as of the date hereof as becoming effective within 12 months after the date hereof, and for which any noncompliance with same would be reasonably likely to create a material liability, as soon they take effect.</w:t>
      </w:r>
    </w:p>
    <w:p>
      <w:pPr>
        <w:spacing w:after="0" w:line="186" w:lineRule="exact"/>
        <w:rPr>
          <w:sz w:val="20"/>
          <w:szCs w:val="20"/>
          <w:color w:val="auto"/>
        </w:rPr>
      </w:pPr>
    </w:p>
    <w:p>
      <w:pPr>
        <w:ind w:left="4" w:firstLine="644"/>
        <w:spacing w:after="0" w:line="257" w:lineRule="auto"/>
        <w:tabs>
          <w:tab w:leader="none" w:pos="1294"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 Unlawful Payments. </w:t>
      </w:r>
      <w:r>
        <w:rPr>
          <w:rFonts w:ascii="Times New Roman" w:cs="Times New Roman" w:eastAsia="Times New Roman" w:hAnsi="Times New Roman"/>
          <w:sz w:val="21"/>
          <w:szCs w:val="21"/>
          <w:color w:val="auto"/>
        </w:rPr>
        <w:t>Neither the Company nor any of its subsidiaries or affiliates nor any director,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officer or employee of the Company or any of its subsidiaries nor, to the knowledge of the Company, any agent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w:t>
      </w:r>
    </w:p>
    <w:p>
      <w:pPr>
        <w:spacing w:after="0" w:line="5" w:lineRule="exact"/>
        <w:rPr>
          <w:rFonts w:ascii="Times New Roman" w:cs="Times New Roman" w:eastAsia="Times New Roman" w:hAnsi="Times New Roman"/>
          <w:sz w:val="21"/>
          <w:szCs w:val="21"/>
          <w:color w:val="auto"/>
        </w:rPr>
      </w:pPr>
    </w:p>
    <w:p>
      <w:pPr>
        <w:ind w:left="4" w:right="160" w:hanging="4"/>
        <w:spacing w:after="0" w:line="244" w:lineRule="auto"/>
        <w:tabs>
          <w:tab w:leader="none" w:pos="37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 Neither the Company nor any of its subsidiaries will use, directly or indirectly, the proceeds of the offering in furtherance of an offer, payment, promise to pay, or authorization of the</w:t>
      </w:r>
    </w:p>
    <w:p>
      <w:pPr>
        <w:sectPr>
          <w:pgSz w:w="11900" w:h="16838" w:orient="portrait"/>
          <w:cols w:equalWidth="0" w:num="1">
            <w:col w:w="10564"/>
          </w:cols>
          <w:pgMar w:left="976" w:top="1422" w:right="359" w:bottom="1440" w:gutter="0" w:footer="0" w:header="0"/>
        </w:sectPr>
      </w:pPr>
    </w:p>
    <w:bookmarkStart w:id="250" w:name="page251"/>
    <w:bookmarkEnd w:id="250"/>
    <w:p>
      <w:pPr>
        <w:ind w:right="280"/>
        <w:spacing w:after="0" w:line="271" w:lineRule="auto"/>
        <w:rPr>
          <w:sz w:val="20"/>
          <w:szCs w:val="20"/>
          <w:color w:val="auto"/>
        </w:rPr>
      </w:pPr>
      <w:r>
        <w:rPr>
          <w:rFonts w:ascii="Times New Roman" w:cs="Times New Roman" w:eastAsia="Times New Roman" w:hAnsi="Times New Roman"/>
          <w:sz w:val="22"/>
          <w:szCs w:val="22"/>
          <w:color w:val="auto"/>
        </w:rPr>
        <w:t>payment or giving of money, or anything else of value, to any person in violation of any applicable anti-bribery or anti-corruption laws.</w:t>
      </w:r>
    </w:p>
    <w:p>
      <w:pPr>
        <w:spacing w:after="0" w:line="154" w:lineRule="exact"/>
        <w:rPr>
          <w:sz w:val="20"/>
          <w:szCs w:val="20"/>
          <w:color w:val="auto"/>
        </w:rPr>
      </w:pPr>
    </w:p>
    <w:p>
      <w:pPr>
        <w:ind w:right="160" w:firstLine="644"/>
        <w:spacing w:after="0" w:line="261" w:lineRule="auto"/>
        <w:tabs>
          <w:tab w:leader="none" w:pos="1291"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Compliance with Anti-Money Laundering Laws</w:t>
      </w:r>
      <w:r>
        <w:rPr>
          <w:rFonts w:ascii="Times New Roman" w:cs="Times New Roman" w:eastAsia="Times New Roman" w:hAnsi="Times New Roman"/>
          <w:sz w:val="21"/>
          <w:szCs w:val="21"/>
          <w:color w:val="auto"/>
        </w:rPr>
        <w:t>. The operations of the Company and its subsidiaries are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67" w:lineRule="exact"/>
        <w:rPr>
          <w:rFonts w:ascii="Times New Roman" w:cs="Times New Roman" w:eastAsia="Times New Roman" w:hAnsi="Times New Roman"/>
          <w:sz w:val="21"/>
          <w:szCs w:val="21"/>
          <w:color w:val="auto"/>
        </w:rPr>
      </w:pPr>
    </w:p>
    <w:p>
      <w:pPr>
        <w:ind w:firstLine="644"/>
        <w:spacing w:after="0" w:line="245" w:lineRule="auto"/>
        <w:tabs>
          <w:tab w:leader="none" w:pos="129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Conflicts with Sanctions Laws. </w:t>
      </w:r>
      <w:r>
        <w:rPr>
          <w:rFonts w:ascii="Times New Roman" w:cs="Times New Roman" w:eastAsia="Times New Roman" w:hAnsi="Times New Roman"/>
          <w:sz w:val="22"/>
          <w:szCs w:val="22"/>
          <w:color w:val="auto"/>
        </w:rPr>
        <w:t>Neither the Company nor any of its subsidiaries, directors, officers,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employees, nor, to the knowledge of the Company, any agent, affiliate or other person associated with or acting on behalf of the Company or any of its subsidiaries is or is owned or controlled by one or more persons that are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nor is the Company or any of its subsidiaries, directors, officers, or employees, or, to the knowledge of the Company, any agent, affiliate or other person associated with or acting on behalf of the Company or any of its subsidiaries located, organized or resident, or owned or controlled by one or more persons that are located, organized or resident in a country or territory that is the subject or target of Sanctions, including, without limitation, Crimea, Cuba, Iran, North Korea and Syria (each, a “Sanctioned Country”);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ectPr>
          <w:pgSz w:w="11900" w:h="16838" w:orient="portrait"/>
          <w:cols w:equalWidth="0" w:num="1">
            <w:col w:w="10580"/>
          </w:cols>
          <w:pgMar w:left="980" w:top="1422" w:right="339" w:bottom="1440" w:gutter="0" w:footer="0" w:header="0"/>
        </w:sectPr>
      </w:pPr>
    </w:p>
    <w:bookmarkStart w:id="251" w:name="page252"/>
    <w:bookmarkEnd w:id="251"/>
    <w:p>
      <w:pPr>
        <w:ind w:left="-460" w:right="240" w:firstLine="644"/>
        <w:spacing w:after="0" w:line="251" w:lineRule="auto"/>
        <w:tabs>
          <w:tab w:leader="none" w:pos="83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Restrictions on Subsidiaries</w:t>
      </w:r>
      <w:r>
        <w:rPr>
          <w:rFonts w:ascii="Times New Roman" w:cs="Times New Roman" w:eastAsia="Times New Roman" w:hAnsi="Times New Roman"/>
          <w:sz w:val="22"/>
          <w:szCs w:val="22"/>
          <w:color w:val="auto"/>
        </w:rPr>
        <w:t>. No subsidiary of the Company is currently prohibited, directly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175" w:lineRule="exact"/>
        <w:rPr>
          <w:rFonts w:ascii="Times New Roman" w:cs="Times New Roman" w:eastAsia="Times New Roman" w:hAnsi="Times New Roman"/>
          <w:sz w:val="22"/>
          <w:szCs w:val="22"/>
          <w:color w:val="auto"/>
        </w:rPr>
      </w:pPr>
    </w:p>
    <w:p>
      <w:pPr>
        <w:ind w:left="-460" w:right="140" w:firstLine="644"/>
        <w:spacing w:after="0" w:line="253" w:lineRule="auto"/>
        <w:tabs>
          <w:tab w:leader="none" w:pos="83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Broker’s Fees. </w:t>
      </w:r>
      <w:r>
        <w:rPr>
          <w:rFonts w:ascii="Times New Roman" w:cs="Times New Roman" w:eastAsia="Times New Roman" w:hAnsi="Times New Roman"/>
          <w:sz w:val="22"/>
          <w:szCs w:val="22"/>
          <w:color w:val="auto"/>
        </w:rPr>
        <w:t>Neither the Company nor any of its subsidiaries is a party to any contract, agreement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understanding with any person (other than this Agreement) that would give rise to a valid claim against any of them or any Underwriter for a brokerage commission, finder’s fee or like payment in connection with the offering and sale of the Shares.</w:t>
      </w:r>
    </w:p>
    <w:p>
      <w:pPr>
        <w:spacing w:after="0" w:line="175" w:lineRule="exact"/>
        <w:rPr>
          <w:rFonts w:ascii="Times New Roman" w:cs="Times New Roman" w:eastAsia="Times New Roman" w:hAnsi="Times New Roman"/>
          <w:sz w:val="22"/>
          <w:szCs w:val="22"/>
          <w:color w:val="auto"/>
        </w:rPr>
      </w:pPr>
    </w:p>
    <w:p>
      <w:pPr>
        <w:ind w:left="-460" w:right="580" w:firstLine="644"/>
        <w:spacing w:after="0" w:line="259" w:lineRule="auto"/>
        <w:tabs>
          <w:tab w:leader="none" w:pos="83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Registration Rights</w:t>
      </w:r>
      <w:r>
        <w:rPr>
          <w:rFonts w:ascii="Times New Roman" w:cs="Times New Roman" w:eastAsia="Times New Roman" w:hAnsi="Times New Roman"/>
          <w:sz w:val="22"/>
          <w:szCs w:val="22"/>
          <w:color w:val="auto"/>
        </w:rPr>
        <w:t>. No person has the right to require the Company or any of its subsidiaries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register any securities for sale under the Securities Act by reason of the filing of the Registration Statement with the Commission or the issuance and sale of the Shares, except for such rights as have been duly waived.</w:t>
      </w:r>
    </w:p>
    <w:p>
      <w:pPr>
        <w:spacing w:after="0" w:line="166" w:lineRule="exact"/>
        <w:rPr>
          <w:rFonts w:ascii="Times New Roman" w:cs="Times New Roman" w:eastAsia="Times New Roman" w:hAnsi="Times New Roman"/>
          <w:sz w:val="22"/>
          <w:szCs w:val="22"/>
          <w:color w:val="auto"/>
        </w:rPr>
      </w:pPr>
    </w:p>
    <w:p>
      <w:pPr>
        <w:ind w:left="-460" w:right="740" w:firstLine="644"/>
        <w:spacing w:after="0" w:line="259" w:lineRule="auto"/>
        <w:tabs>
          <w:tab w:leader="none" w:pos="83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Stabilization. </w:t>
      </w:r>
      <w:r>
        <w:rPr>
          <w:rFonts w:ascii="Times New Roman" w:cs="Times New Roman" w:eastAsia="Times New Roman" w:hAnsi="Times New Roman"/>
          <w:sz w:val="22"/>
          <w:szCs w:val="22"/>
          <w:color w:val="auto"/>
        </w:rPr>
        <w:t>Neither the Company nor any of its subsidiaries or affiliates has taken, directly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indirectly, any action designed to or that could reasonably be expected to cause or result in any stabilization or manipulation of the price of the Shares.</w:t>
      </w:r>
    </w:p>
    <w:p>
      <w:pPr>
        <w:spacing w:after="0" w:line="166" w:lineRule="exact"/>
        <w:rPr>
          <w:rFonts w:ascii="Times New Roman" w:cs="Times New Roman" w:eastAsia="Times New Roman" w:hAnsi="Times New Roman"/>
          <w:sz w:val="22"/>
          <w:szCs w:val="22"/>
          <w:color w:val="auto"/>
        </w:rPr>
      </w:pPr>
    </w:p>
    <w:p>
      <w:pPr>
        <w:ind w:left="-460" w:right="460" w:firstLine="644"/>
        <w:spacing w:after="0" w:line="253" w:lineRule="auto"/>
        <w:tabs>
          <w:tab w:leader="none" w:pos="83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Margin Rules</w:t>
      </w:r>
      <w:r>
        <w:rPr>
          <w:rFonts w:ascii="Times New Roman" w:cs="Times New Roman" w:eastAsia="Times New Roman" w:hAnsi="Times New Roman"/>
          <w:sz w:val="22"/>
          <w:szCs w:val="22"/>
          <w:color w:val="auto"/>
        </w:rPr>
        <w:t>. Neither the issuance, sale and delivery of the Shares nor the application of the proceeds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thereof by the Company as described in each of the Registration Statement, the Pricing Disclosure Package and the Prospectus will violate Regulation T, U or X of the Board of Governors of the Federal Reserve System or any other regulation of such Board of Governors.</w:t>
      </w:r>
    </w:p>
    <w:p>
      <w:pPr>
        <w:spacing w:after="0" w:line="175" w:lineRule="exact"/>
        <w:rPr>
          <w:rFonts w:ascii="Times New Roman" w:cs="Times New Roman" w:eastAsia="Times New Roman" w:hAnsi="Times New Roman"/>
          <w:sz w:val="22"/>
          <w:szCs w:val="22"/>
          <w:color w:val="auto"/>
        </w:rPr>
      </w:pPr>
    </w:p>
    <w:p>
      <w:pPr>
        <w:ind w:left="-460" w:firstLine="644"/>
        <w:spacing w:after="0" w:line="253" w:lineRule="auto"/>
        <w:tabs>
          <w:tab w:leader="none" w:pos="827"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Forward-Looking Statements. </w:t>
      </w:r>
      <w:r>
        <w:rPr>
          <w:rFonts w:ascii="Times New Roman" w:cs="Times New Roman" w:eastAsia="Times New Roman" w:hAnsi="Times New Roman"/>
          <w:sz w:val="22"/>
          <w:szCs w:val="22"/>
          <w:color w:val="auto"/>
        </w:rPr>
        <w:t>No forward-looking statement (within the meaning of Section 27A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Act and Section 21E of the Exchange Act) included in any of the Registration Statement, the Pricing Disclosure Package or the Prospectus has been made or reaffirmed without a reasonable basis or has been disclosed other than in good faith.</w:t>
      </w:r>
    </w:p>
    <w:p>
      <w:pPr>
        <w:spacing w:after="0" w:line="175" w:lineRule="exact"/>
        <w:rPr>
          <w:rFonts w:ascii="Times New Roman" w:cs="Times New Roman" w:eastAsia="Times New Roman" w:hAnsi="Times New Roman"/>
          <w:sz w:val="22"/>
          <w:szCs w:val="22"/>
          <w:color w:val="auto"/>
        </w:rPr>
      </w:pPr>
    </w:p>
    <w:p>
      <w:pPr>
        <w:ind w:left="-460" w:right="80" w:firstLine="644"/>
        <w:spacing w:after="0" w:line="253" w:lineRule="auto"/>
        <w:tabs>
          <w:tab w:leader="none" w:pos="824"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Statistical and Market Data. </w:t>
      </w:r>
      <w:r>
        <w:rPr>
          <w:rFonts w:ascii="Times New Roman" w:cs="Times New Roman" w:eastAsia="Times New Roman" w:hAnsi="Times New Roman"/>
          <w:sz w:val="22"/>
          <w:szCs w:val="22"/>
          <w:color w:val="auto"/>
        </w:rPr>
        <w:t>Nothing has come to the attention of the Company that has caused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to believe that the statistical and market-related data included in each of the Registration Statement, the Pricing Disclosure Package and the Prospectus is not based on or derived from sources that are reliable and accurate in all material respects.</w:t>
      </w:r>
    </w:p>
    <w:p>
      <w:pPr>
        <w:spacing w:after="0" w:line="175" w:lineRule="exact"/>
        <w:rPr>
          <w:rFonts w:ascii="Times New Roman" w:cs="Times New Roman" w:eastAsia="Times New Roman" w:hAnsi="Times New Roman"/>
          <w:sz w:val="22"/>
          <w:szCs w:val="22"/>
          <w:color w:val="auto"/>
        </w:rPr>
      </w:pPr>
    </w:p>
    <w:p>
      <w:pPr>
        <w:ind w:left="-460" w:right="220" w:firstLine="644"/>
        <w:spacing w:after="0" w:line="259" w:lineRule="auto"/>
        <w:tabs>
          <w:tab w:leader="none" w:pos="83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Sarbanes-Oxley Act</w:t>
      </w:r>
      <w:r>
        <w:rPr>
          <w:rFonts w:ascii="Times New Roman" w:cs="Times New Roman" w:eastAsia="Times New Roman" w:hAnsi="Times New Roman"/>
          <w:sz w:val="22"/>
          <w:szCs w:val="22"/>
          <w:color w:val="auto"/>
        </w:rPr>
        <w:t>. There is and has been no failure on the part of the Company or, to the knowledge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any of the Company’s directors or officers, in their capacities as such, to comply in all material respects with any provision of the Sarbanes-Oxley Act of 2002, as amended and the rules and regulations</w:t>
      </w:r>
    </w:p>
    <w:p>
      <w:pPr>
        <w:sectPr>
          <w:pgSz w:w="11900" w:h="16838" w:orient="portrait"/>
          <w:cols w:equalWidth="0" w:num="1">
            <w:col w:w="10120"/>
          </w:cols>
          <w:pgMar w:left="1440" w:top="1418" w:right="339" w:bottom="1440" w:gutter="0" w:footer="0" w:header="0"/>
        </w:sectPr>
      </w:pPr>
    </w:p>
    <w:bookmarkStart w:id="252" w:name="page253"/>
    <w:bookmarkEnd w:id="252"/>
    <w:p>
      <w:pPr>
        <w:ind w:left="4"/>
        <w:spacing w:after="0" w:line="271" w:lineRule="auto"/>
        <w:rPr>
          <w:sz w:val="20"/>
          <w:szCs w:val="20"/>
          <w:color w:val="auto"/>
        </w:rPr>
      </w:pPr>
      <w:r>
        <w:rPr>
          <w:rFonts w:ascii="Times New Roman" w:cs="Times New Roman" w:eastAsia="Times New Roman" w:hAnsi="Times New Roman"/>
          <w:sz w:val="22"/>
          <w:szCs w:val="22"/>
          <w:color w:val="auto"/>
        </w:rPr>
        <w:t>promulgated in connection therewith (the “Sarbanes-Oxley Act”), including Section 402 related to loans and Sections 302 and 906 related to certifications.</w:t>
      </w:r>
    </w:p>
    <w:p>
      <w:pPr>
        <w:spacing w:after="0" w:line="154" w:lineRule="exact"/>
        <w:rPr>
          <w:sz w:val="20"/>
          <w:szCs w:val="20"/>
          <w:color w:val="auto"/>
        </w:rPr>
      </w:pPr>
    </w:p>
    <w:p>
      <w:pPr>
        <w:ind w:left="4" w:right="200" w:firstLine="644"/>
        <w:spacing w:after="0" w:line="263" w:lineRule="auto"/>
        <w:tabs>
          <w:tab w:leader="none" w:pos="1295"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Status under the Securities Act</w:t>
      </w:r>
      <w:r>
        <w:rPr>
          <w:rFonts w:ascii="Times New Roman" w:cs="Times New Roman" w:eastAsia="Times New Roman" w:hAnsi="Times New Roman"/>
          <w:sz w:val="21"/>
          <w:szCs w:val="21"/>
          <w:color w:val="auto"/>
        </w:rPr>
        <w:t>. At the time of filing the Registration Statement and any post-effective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amendment thereto, at the earliest time thereafter that the Company or any offering participant made a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offer (within the meaning of Rule 164(h)(2) under the Securities Act) of the Shares and at the date hereof, the Company was not and is not an “ineligible issuer,”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spacing w:after="0" w:line="167" w:lineRule="exact"/>
        <w:rPr>
          <w:rFonts w:ascii="Times New Roman" w:cs="Times New Roman" w:eastAsia="Times New Roman" w:hAnsi="Times New Roman"/>
          <w:sz w:val="21"/>
          <w:szCs w:val="21"/>
          <w:color w:val="auto"/>
        </w:rPr>
      </w:pPr>
    </w:p>
    <w:p>
      <w:pPr>
        <w:jc w:val="both"/>
        <w:ind w:left="4" w:right="140" w:firstLine="644"/>
        <w:spacing w:after="0" w:line="259" w:lineRule="auto"/>
        <w:tabs>
          <w:tab w:leader="none" w:pos="1295"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Ratings</w:t>
      </w:r>
      <w:r>
        <w:rPr>
          <w:rFonts w:ascii="Times New Roman" w:cs="Times New Roman" w:eastAsia="Times New Roman" w:hAnsi="Times New Roman"/>
          <w:sz w:val="22"/>
          <w:szCs w:val="22"/>
          <w:color w:val="auto"/>
        </w:rPr>
        <w:t>. There are (and prior to the Closing Date, will be) no debt securities, convertible securities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preferred stock issued or guaranteed by the Company or any of its subsidiaries that are rated by a “nationally recognized statistical rating organization”, as such term is defined in Section 3(a)(62) under the Exchange Act.</w:t>
      </w:r>
    </w:p>
    <w:p>
      <w:pPr>
        <w:spacing w:after="0" w:line="166" w:lineRule="exact"/>
        <w:rPr>
          <w:rFonts w:ascii="Times New Roman" w:cs="Times New Roman" w:eastAsia="Times New Roman" w:hAnsi="Times New Roman"/>
          <w:sz w:val="22"/>
          <w:szCs w:val="22"/>
          <w:color w:val="auto"/>
        </w:rPr>
      </w:pPr>
    </w:p>
    <w:p>
      <w:pPr>
        <w:ind w:left="4" w:right="40" w:firstLine="644"/>
        <w:spacing w:after="0" w:line="259" w:lineRule="auto"/>
        <w:tabs>
          <w:tab w:leader="none" w:pos="1297"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Regulatory Matters</w:t>
      </w:r>
      <w:r>
        <w:rPr>
          <w:rFonts w:ascii="Times New Roman" w:cs="Times New Roman" w:eastAsia="Times New Roman" w:hAnsi="Times New Roman"/>
          <w:sz w:val="22"/>
          <w:szCs w:val="22"/>
          <w:color w:val="auto"/>
        </w:rPr>
        <w:t>. The Company has operated and currently is in compliance with all applicable rules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regulations of the U.S. Food and Drug Administration (“FDA”), including the Federal Food, Drug, and Cosmetic Act (21 U.S.C. § 301 et seq.) and the regulations promulgated thereunder (the “FDCA”).</w:t>
      </w:r>
    </w:p>
    <w:p>
      <w:pPr>
        <w:spacing w:after="0" w:line="166" w:lineRule="exact"/>
        <w:rPr>
          <w:rFonts w:ascii="Times New Roman" w:cs="Times New Roman" w:eastAsia="Times New Roman" w:hAnsi="Times New Roman"/>
          <w:sz w:val="22"/>
          <w:szCs w:val="22"/>
          <w:color w:val="auto"/>
        </w:rPr>
      </w:pPr>
    </w:p>
    <w:p>
      <w:pPr>
        <w:ind w:left="4" w:firstLine="644"/>
        <w:spacing w:after="0" w:line="251" w:lineRule="auto"/>
        <w:tabs>
          <w:tab w:leader="none" w:pos="1295"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Description of Health Care Laws</w:t>
      </w:r>
      <w:r>
        <w:rPr>
          <w:rFonts w:ascii="Times New Roman" w:cs="Times New Roman" w:eastAsia="Times New Roman" w:hAnsi="Times New Roman"/>
          <w:sz w:val="22"/>
          <w:szCs w:val="22"/>
          <w:color w:val="auto"/>
        </w:rPr>
        <w:t>. The statements included in the Registration Statement, the Pricing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Disclosure Package and the Prospectus under the caption: “Government Regulation” are true and correct in all material respects; and there are no FDA rules or regulations, which as of this date are material to the businesses of the Company or the Company’s subsidiaries which are not described in the Registration Statement, the Pricing Disclosure Package or the Prospectus.</w:t>
      </w:r>
    </w:p>
    <w:p>
      <w:pPr>
        <w:spacing w:after="0" w:line="175" w:lineRule="exact"/>
        <w:rPr>
          <w:rFonts w:ascii="Times New Roman" w:cs="Times New Roman" w:eastAsia="Times New Roman" w:hAnsi="Times New Roman"/>
          <w:sz w:val="22"/>
          <w:szCs w:val="22"/>
          <w:color w:val="auto"/>
        </w:rPr>
      </w:pPr>
    </w:p>
    <w:p>
      <w:pPr>
        <w:ind w:left="4" w:right="100" w:firstLine="644"/>
        <w:spacing w:after="0" w:line="251" w:lineRule="auto"/>
        <w:tabs>
          <w:tab w:leader="none" w:pos="1295"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Product Manufacturing. </w:t>
      </w:r>
      <w:r>
        <w:rPr>
          <w:rFonts w:ascii="Times New Roman" w:cs="Times New Roman" w:eastAsia="Times New Roman" w:hAnsi="Times New Roman"/>
          <w:sz w:val="22"/>
          <w:szCs w:val="22"/>
          <w:color w:val="auto"/>
        </w:rPr>
        <w:t>The Company’s products are marketed as “research use only” and are not subject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provisions of the FDCA applicable to product manufacturing, including, without limitation, the FDA’s Quality System Regulation at 21 CFR Part 820. The Company has not had any manufacturing site (whether Company-owned or, to the knowledge of the Company, that of a third-party manufacturer for the Company’s products) subject to a governmental authority (including FDA) shutdown or import or export prohibition.</w:t>
      </w:r>
    </w:p>
    <w:p>
      <w:pPr>
        <w:spacing w:after="0" w:line="179" w:lineRule="exact"/>
        <w:rPr>
          <w:rFonts w:ascii="Times New Roman" w:cs="Times New Roman" w:eastAsia="Times New Roman" w:hAnsi="Times New Roman"/>
          <w:sz w:val="22"/>
          <w:szCs w:val="22"/>
          <w:color w:val="auto"/>
        </w:rPr>
      </w:pPr>
    </w:p>
    <w:p>
      <w:pPr>
        <w:ind w:left="704" w:hanging="704"/>
        <w:spacing w:after="0"/>
        <w:tabs>
          <w:tab w:leader="none" w:pos="70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Agreements of the Company</w:t>
      </w:r>
      <w:r>
        <w:rPr>
          <w:rFonts w:ascii="Times New Roman" w:cs="Times New Roman" w:eastAsia="Times New Roman" w:hAnsi="Times New Roman"/>
          <w:sz w:val="22"/>
          <w:szCs w:val="22"/>
          <w:color w:val="auto"/>
        </w:rPr>
        <w:t>. The Company covenants and agrees with each Underwriter that:</w:t>
      </w:r>
    </w:p>
    <w:p>
      <w:pPr>
        <w:spacing w:after="0" w:line="215" w:lineRule="exact"/>
        <w:rPr>
          <w:rFonts w:ascii="Times New Roman" w:cs="Times New Roman" w:eastAsia="Times New Roman" w:hAnsi="Times New Roman"/>
          <w:sz w:val="22"/>
          <w:szCs w:val="22"/>
          <w:color w:val="auto"/>
        </w:rPr>
      </w:pPr>
    </w:p>
    <w:p>
      <w:pPr>
        <w:ind w:left="4" w:right="20" w:firstLine="644"/>
        <w:spacing w:after="0" w:line="253" w:lineRule="auto"/>
        <w:tabs>
          <w:tab w:leader="none" w:pos="1297"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Required Filings. </w:t>
      </w:r>
      <w:r>
        <w:rPr>
          <w:rFonts w:ascii="Times New Roman" w:cs="Times New Roman" w:eastAsia="Times New Roman" w:hAnsi="Times New Roman"/>
          <w:sz w:val="22"/>
          <w:szCs w:val="22"/>
          <w:color w:val="auto"/>
        </w:rPr>
        <w:t>The Company will file the final Prospectus with the Commission within the time periods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specified by Rule 424(b) and Rule 430A, 430B or 430C under the Securities Act, will file any Issuer Free Writing Prospectus to the extent required by Rule 433 under the Securities Act; and the Company will furnish copies of the Prospectus and each Issuer Free Writing Prospectus (to the extent not previously</w:t>
      </w:r>
    </w:p>
    <w:p>
      <w:pPr>
        <w:sectPr>
          <w:pgSz w:w="11900" w:h="16838" w:orient="portrait"/>
          <w:cols w:equalWidth="0" w:num="1">
            <w:col w:w="10544"/>
          </w:cols>
          <w:pgMar w:left="976" w:top="1422" w:right="379" w:bottom="1440" w:gutter="0" w:footer="0" w:header="0"/>
        </w:sectPr>
      </w:pPr>
    </w:p>
    <w:bookmarkStart w:id="253" w:name="page254"/>
    <w:bookmarkEnd w:id="253"/>
    <w:p>
      <w:pPr>
        <w:ind w:right="520"/>
        <w:spacing w:after="0" w:line="271" w:lineRule="auto"/>
        <w:rPr>
          <w:sz w:val="20"/>
          <w:szCs w:val="20"/>
          <w:color w:val="auto"/>
        </w:rPr>
      </w:pPr>
      <w:r>
        <w:rPr>
          <w:rFonts w:ascii="Times New Roman" w:cs="Times New Roman" w:eastAsia="Times New Roman" w:hAnsi="Times New Roman"/>
          <w:sz w:val="22"/>
          <w:szCs w:val="22"/>
          <w:color w:val="auto"/>
        </w:rPr>
        <w:t>delivered) to the Underwriters in New York City prior to 10:00 A.M., New York City time, on the business day next succeeding the date of this Agreement in such quantities as the Representatives may reasonably request.</w:t>
      </w:r>
    </w:p>
    <w:p>
      <w:pPr>
        <w:spacing w:after="0" w:line="154" w:lineRule="exact"/>
        <w:rPr>
          <w:sz w:val="20"/>
          <w:szCs w:val="20"/>
          <w:color w:val="auto"/>
        </w:rPr>
      </w:pPr>
    </w:p>
    <w:p>
      <w:pPr>
        <w:ind w:right="60" w:firstLine="644"/>
        <w:spacing w:after="0" w:line="260" w:lineRule="auto"/>
        <w:tabs>
          <w:tab w:leader="none" w:pos="1291"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Delivery of Copies. </w:t>
      </w:r>
      <w:r>
        <w:rPr>
          <w:rFonts w:ascii="Times New Roman" w:cs="Times New Roman" w:eastAsia="Times New Roman" w:hAnsi="Times New Roman"/>
          <w:sz w:val="21"/>
          <w:szCs w:val="21"/>
          <w:color w:val="auto"/>
        </w:rPr>
        <w:t>The Company will deliver, without charge, (i) to the Representatives, three signed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copies of the Registration 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170" w:lineRule="exact"/>
        <w:rPr>
          <w:rFonts w:ascii="Times New Roman" w:cs="Times New Roman" w:eastAsia="Times New Roman" w:hAnsi="Times New Roman"/>
          <w:sz w:val="21"/>
          <w:szCs w:val="21"/>
          <w:color w:val="auto"/>
        </w:rPr>
      </w:pPr>
    </w:p>
    <w:p>
      <w:pPr>
        <w:ind w:right="40" w:firstLine="644"/>
        <w:spacing w:after="0" w:line="263" w:lineRule="auto"/>
        <w:tabs>
          <w:tab w:leader="none" w:pos="1293"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Amendments or Supplements, Issuer Free Writing Prospectuses. </w:t>
      </w:r>
      <w:r>
        <w:rPr>
          <w:rFonts w:ascii="Times New Roman" w:cs="Times New Roman" w:eastAsia="Times New Roman" w:hAnsi="Times New Roman"/>
          <w:sz w:val="21"/>
          <w:szCs w:val="21"/>
          <w:color w:val="auto"/>
        </w:rPr>
        <w:t>Before making, preparing, using,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authorizing, approving, referring to or 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167" w:lineRule="exact"/>
        <w:rPr>
          <w:rFonts w:ascii="Times New Roman" w:cs="Times New Roman" w:eastAsia="Times New Roman" w:hAnsi="Times New Roman"/>
          <w:sz w:val="21"/>
          <w:szCs w:val="21"/>
          <w:color w:val="auto"/>
        </w:rPr>
      </w:pPr>
    </w:p>
    <w:p>
      <w:pPr>
        <w:ind w:firstLine="644"/>
        <w:spacing w:after="0" w:line="245" w:lineRule="auto"/>
        <w:tabs>
          <w:tab w:leader="none" w:pos="129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 to the Representatives. </w:t>
      </w:r>
      <w:r>
        <w:rPr>
          <w:rFonts w:ascii="Times New Roman" w:cs="Times New Roman" w:eastAsia="Times New Roman" w:hAnsi="Times New Roman"/>
          <w:sz w:val="22"/>
          <w:szCs w:val="22"/>
          <w:color w:val="auto"/>
        </w:rPr>
        <w:t>The Company will advise the Representatives promptly, and confirm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advice in writing, (i) when the Registration Statement has become effective; (ii) when any amendment to the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w:t>
      </w:r>
    </w:p>
    <w:p>
      <w:pPr>
        <w:sectPr>
          <w:pgSz w:w="11900" w:h="16838" w:orient="portrait"/>
          <w:cols w:equalWidth="0" w:num="1">
            <w:col w:w="10540"/>
          </w:cols>
          <w:pgMar w:left="980" w:top="1422" w:right="379" w:bottom="1440" w:gutter="0" w:footer="0" w:header="0"/>
        </w:sectPr>
      </w:pPr>
    </w:p>
    <w:bookmarkStart w:id="254" w:name="page255"/>
    <w:bookmarkEnd w:id="254"/>
    <w:p>
      <w:pPr>
        <w:ind w:right="80"/>
        <w:spacing w:after="0" w:line="246" w:lineRule="auto"/>
        <w:rPr>
          <w:sz w:val="20"/>
          <w:szCs w:val="20"/>
          <w:color w:val="auto"/>
        </w:rPr>
      </w:pPr>
      <w:r>
        <w:rPr>
          <w:rFonts w:ascii="Times New Roman" w:cs="Times New Roman" w:eastAsia="Times New Roman" w:hAnsi="Times New Roman"/>
          <w:sz w:val="22"/>
          <w:szCs w:val="22"/>
          <w:color w:val="auto"/>
        </w:rPr>
        <w:t>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obtain as soon as possible the withdrawal thereof.</w:t>
      </w:r>
    </w:p>
    <w:p>
      <w:pPr>
        <w:spacing w:after="0" w:line="181" w:lineRule="exact"/>
        <w:rPr>
          <w:sz w:val="20"/>
          <w:szCs w:val="20"/>
          <w:color w:val="auto"/>
        </w:rPr>
      </w:pPr>
    </w:p>
    <w:p>
      <w:pPr>
        <w:ind w:firstLine="644"/>
        <w:spacing w:after="0" w:line="245" w:lineRule="auto"/>
        <w:tabs>
          <w:tab w:leader="none" w:pos="1293"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Ongoing Compliance. </w:t>
      </w:r>
      <w:r>
        <w:rPr>
          <w:rFonts w:ascii="Times New Roman" w:cs="Times New Roman" w:eastAsia="Times New Roman" w:hAnsi="Times New Roman"/>
          <w:sz w:val="22"/>
          <w:szCs w:val="22"/>
          <w:color w:val="auto"/>
        </w:rPr>
        <w:t>(1) If during the Prospectus Delivery Period (i) any event or development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ectPr>
          <w:pgSz w:w="11900" w:h="16838" w:orient="portrait"/>
          <w:cols w:equalWidth="0" w:num="1">
            <w:col w:w="10580"/>
          </w:cols>
          <w:pgMar w:left="980" w:top="1422" w:right="339" w:bottom="1440" w:gutter="0" w:footer="0" w:header="0"/>
        </w:sectPr>
      </w:pPr>
    </w:p>
    <w:bookmarkStart w:id="255" w:name="page256"/>
    <w:bookmarkEnd w:id="255"/>
    <w:p>
      <w:pPr>
        <w:ind w:firstLine="644"/>
        <w:spacing w:after="0" w:line="249" w:lineRule="auto"/>
        <w:tabs>
          <w:tab w:leader="none" w:pos="1296"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Blue Sky Compliance. </w:t>
      </w:r>
      <w:r>
        <w:rPr>
          <w:rFonts w:ascii="Times New Roman" w:cs="Times New Roman" w:eastAsia="Times New Roman" w:hAnsi="Times New Roman"/>
          <w:sz w:val="22"/>
          <w:szCs w:val="22"/>
          <w:color w:val="auto"/>
        </w:rPr>
        <w:t>The Company will qualify the Shares for offer and sale under the securities or Blue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Sky laws of such jurisdictions as the Representatives shall reasonably request and will continue such qualifications in effect so long as required for distribution of the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80" w:lineRule="exact"/>
        <w:rPr>
          <w:rFonts w:ascii="Times New Roman" w:cs="Times New Roman" w:eastAsia="Times New Roman" w:hAnsi="Times New Roman"/>
          <w:sz w:val="22"/>
          <w:szCs w:val="22"/>
          <w:color w:val="auto"/>
        </w:rPr>
      </w:pPr>
    </w:p>
    <w:p>
      <w:pPr>
        <w:ind w:right="60" w:firstLine="644"/>
        <w:spacing w:after="0" w:line="248" w:lineRule="auto"/>
        <w:tabs>
          <w:tab w:leader="none" w:pos="129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Earning Statement. </w:t>
      </w:r>
      <w:r>
        <w:rPr>
          <w:rFonts w:ascii="Times New Roman" w:cs="Times New Roman" w:eastAsia="Times New Roman" w:hAnsi="Times New Roman"/>
          <w:sz w:val="22"/>
          <w:szCs w:val="22"/>
          <w:color w:val="auto"/>
        </w:rPr>
        <w:t>The Company will make generally available to its security holders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Representatives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 Company will be deemed to have furnished such statements to its security holders and the Representatives to the extent they are filed on the Commission’s Electronic Data Gathering, Analysis, and Retrieval system.</w:t>
      </w:r>
    </w:p>
    <w:p>
      <w:pPr>
        <w:spacing w:after="0" w:line="181" w:lineRule="exact"/>
        <w:rPr>
          <w:rFonts w:ascii="Times New Roman" w:cs="Times New Roman" w:eastAsia="Times New Roman" w:hAnsi="Times New Roman"/>
          <w:sz w:val="22"/>
          <w:szCs w:val="22"/>
          <w:color w:val="auto"/>
        </w:rPr>
      </w:pPr>
    </w:p>
    <w:p>
      <w:pPr>
        <w:ind w:right="120" w:firstLine="644"/>
        <w:spacing w:after="0" w:line="260" w:lineRule="auto"/>
        <w:tabs>
          <w:tab w:leader="none" w:pos="1291"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Clear Market. </w:t>
      </w:r>
      <w:r>
        <w:rPr>
          <w:rFonts w:ascii="Times New Roman" w:cs="Times New Roman" w:eastAsia="Times New Roman" w:hAnsi="Times New Roman"/>
          <w:sz w:val="21"/>
          <w:szCs w:val="21"/>
          <w:color w:val="auto"/>
        </w:rPr>
        <w:t>For a period of 180 days after the date of the Prospectus, the Company will not (i) offer,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pledge, sell, contract to 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Stock or any securities convertible into or exercisable or exchangeable for Stock, or (ii) enter into any swap or other agreement that transfers, in whole or in part, any of the economic consequences of ownership of the Stock or any such other securities, or publicly disclose the intention to undertake any of the transactions described in clause (i) or (ii), whether any such transaction described in clause (i) or (ii) above is to be settled by delivery of Stock or such other securities, in cash or otherwise, without the prior written consent of the Representatives, other than the Shares to be sold hereunder.</w:t>
      </w:r>
    </w:p>
    <w:p>
      <w:pPr>
        <w:spacing w:after="0" w:line="174" w:lineRule="exact"/>
        <w:rPr>
          <w:sz w:val="20"/>
          <w:szCs w:val="20"/>
          <w:color w:val="auto"/>
        </w:rPr>
      </w:pPr>
    </w:p>
    <w:p>
      <w:pPr>
        <w:ind w:firstLine="1296"/>
        <w:spacing w:after="0" w:line="246" w:lineRule="auto"/>
        <w:rPr>
          <w:sz w:val="20"/>
          <w:szCs w:val="20"/>
          <w:color w:val="auto"/>
        </w:rPr>
      </w:pPr>
      <w:r>
        <w:rPr>
          <w:rFonts w:ascii="Times New Roman" w:cs="Times New Roman" w:eastAsia="Times New Roman" w:hAnsi="Times New Roman"/>
          <w:sz w:val="22"/>
          <w:szCs w:val="22"/>
          <w:color w:val="auto"/>
        </w:rPr>
        <w:t>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RSUs (including net settlement), in each case outstanding on the date of this Agreement and described in the Prospectus; (ii) grants of stock options, stock awards, restricted stock, RSUs,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an equity compensation plan in effect as of the Closing Date and described in the Prospectus, provided that such recipients enter into a lock-up agreement with the Underwriters; (iii) the issuance of up to 10% of the outstanding shares of Stock, or securities convertible into, exercisable for, or which are</w:t>
      </w:r>
    </w:p>
    <w:p>
      <w:pPr>
        <w:sectPr>
          <w:pgSz w:w="11900" w:h="16838" w:orient="portrait"/>
          <w:cols w:equalWidth="0" w:num="1">
            <w:col w:w="10540"/>
          </w:cols>
          <w:pgMar w:left="980" w:top="1418" w:right="379" w:bottom="1440" w:gutter="0" w:footer="0" w:header="0"/>
        </w:sectPr>
      </w:pPr>
    </w:p>
    <w:bookmarkStart w:id="256" w:name="page257"/>
    <w:bookmarkEnd w:id="256"/>
    <w:p>
      <w:pPr>
        <w:ind w:right="60"/>
        <w:spacing w:after="0" w:line="248" w:lineRule="auto"/>
        <w:rPr>
          <w:sz w:val="20"/>
          <w:szCs w:val="20"/>
          <w:color w:val="auto"/>
        </w:rPr>
      </w:pPr>
      <w:r>
        <w:rPr>
          <w:rFonts w:ascii="Times New Roman" w:cs="Times New Roman" w:eastAsia="Times New Roman" w:hAnsi="Times New Roman"/>
          <w:sz w:val="22"/>
          <w:szCs w:val="22"/>
          <w:color w:val="auto"/>
        </w:rPr>
        <w:t>otherwise exchangeable for, Stock, immediately following the Closing Date, in acquisitions or other similar strategic transactions, provided that such recipients enter into a lock-up agreement with the Underwriters; (iv)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 or (v) the concurrent private placement by the Company of approximately $135,000,000 of Class A common stock as described in the Registration Statement.</w:t>
      </w:r>
    </w:p>
    <w:p>
      <w:pPr>
        <w:spacing w:after="0" w:line="187"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With the exception of the concurrent secondary sale by Dynamics Group, LLC described in the Registration Statement, if the Representatives, in their sole discretion, agree to release or waive the restrictions set forth in a lock-up letter described in Section 6(l) hereof for an officer or director of the Company and provide the Company with notice of the impending release or waiver substantially in the form of Exhibit B hereto at least three business days before the effective date of the release or waiver, the Company agrees to announce the impending release or waiver by press release substantially in the form of Exhibit C hereto through a major news service at least two business days before the effective date of the release or waiver.</w:t>
      </w:r>
    </w:p>
    <w:p>
      <w:pPr>
        <w:spacing w:after="0" w:line="178" w:lineRule="exact"/>
        <w:rPr>
          <w:sz w:val="20"/>
          <w:szCs w:val="20"/>
          <w:color w:val="auto"/>
        </w:rPr>
      </w:pPr>
    </w:p>
    <w:p>
      <w:pPr>
        <w:ind w:firstLine="644"/>
        <w:spacing w:after="0" w:line="299" w:lineRule="auto"/>
        <w:tabs>
          <w:tab w:leader="none" w:pos="1284"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Use of Proceeds. </w:t>
      </w:r>
      <w:r>
        <w:rPr>
          <w:rFonts w:ascii="Times New Roman" w:cs="Times New Roman" w:eastAsia="Times New Roman" w:hAnsi="Times New Roman"/>
          <w:sz w:val="21"/>
          <w:szCs w:val="21"/>
          <w:color w:val="auto"/>
        </w:rPr>
        <w:t>The Company will apply the net proceeds from the sale of the Shares as described in each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the Registration Statement, the Pricing Disclosure Package and the Prospectus under the heading “Use of proceeds”.</w:t>
      </w:r>
    </w:p>
    <w:p>
      <w:pPr>
        <w:spacing w:after="0" w:line="127" w:lineRule="exact"/>
        <w:rPr>
          <w:rFonts w:ascii="Times New Roman" w:cs="Times New Roman" w:eastAsia="Times New Roman" w:hAnsi="Times New Roman"/>
          <w:sz w:val="21"/>
          <w:szCs w:val="21"/>
          <w:color w:val="auto"/>
        </w:rPr>
      </w:pPr>
    </w:p>
    <w:p>
      <w:pPr>
        <w:jc w:val="both"/>
        <w:ind w:right="80" w:firstLine="644"/>
        <w:spacing w:after="0" w:line="259" w:lineRule="auto"/>
        <w:tabs>
          <w:tab w:leader="none" w:pos="1284"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Stabilization. </w:t>
      </w:r>
      <w:r>
        <w:rPr>
          <w:rFonts w:ascii="Times New Roman" w:cs="Times New Roman" w:eastAsia="Times New Roman" w:hAnsi="Times New Roman"/>
          <w:sz w:val="22"/>
          <w:szCs w:val="22"/>
          <w:color w:val="auto"/>
        </w:rPr>
        <w:t>Neither the Company nor its subsidiaries or affiliates will take, directly or indirectly,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action designed to or that could reasonably be expected to cause or result in any stabilization or manipulation of the price of the Stock.</w:t>
      </w:r>
    </w:p>
    <w:p>
      <w:pPr>
        <w:spacing w:after="0" w:line="166" w:lineRule="exact"/>
        <w:rPr>
          <w:rFonts w:ascii="Times New Roman" w:cs="Times New Roman" w:eastAsia="Times New Roman" w:hAnsi="Times New Roman"/>
          <w:sz w:val="22"/>
          <w:szCs w:val="22"/>
          <w:color w:val="auto"/>
        </w:rPr>
      </w:pPr>
    </w:p>
    <w:p>
      <w:pPr>
        <w:ind w:right="200" w:firstLine="644"/>
        <w:spacing w:after="0" w:line="275" w:lineRule="auto"/>
        <w:tabs>
          <w:tab w:leader="none" w:pos="129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Exchange Listing. </w:t>
      </w:r>
      <w:r>
        <w:rPr>
          <w:rFonts w:ascii="Times New Roman" w:cs="Times New Roman" w:eastAsia="Times New Roman" w:hAnsi="Times New Roman"/>
          <w:sz w:val="22"/>
          <w:szCs w:val="22"/>
          <w:color w:val="auto"/>
        </w:rPr>
        <w:t>The Company will use its reasonable best efforts to list for quotation the Shares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Nasdaq Global Select Market (the “Nasdaq Market”).</w:t>
      </w:r>
    </w:p>
    <w:p>
      <w:pPr>
        <w:spacing w:after="0" w:line="149" w:lineRule="exact"/>
        <w:rPr>
          <w:rFonts w:ascii="Times New Roman" w:cs="Times New Roman" w:eastAsia="Times New Roman" w:hAnsi="Times New Roman"/>
          <w:sz w:val="22"/>
          <w:szCs w:val="22"/>
          <w:color w:val="auto"/>
        </w:rPr>
      </w:pPr>
    </w:p>
    <w:p>
      <w:pPr>
        <w:ind w:right="40" w:firstLine="644"/>
        <w:spacing w:after="0" w:line="249" w:lineRule="auto"/>
        <w:tabs>
          <w:tab w:leader="none" w:pos="1284"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Reports. </w:t>
      </w:r>
      <w:r>
        <w:rPr>
          <w:rFonts w:ascii="Times New Roman" w:cs="Times New Roman" w:eastAsia="Times New Roman" w:hAnsi="Times New Roman"/>
          <w:sz w:val="22"/>
          <w:szCs w:val="22"/>
          <w:color w:val="auto"/>
        </w:rPr>
        <w:t>For a period of three years from the date of this Agreement, the Company will furnish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Representatives, as soon as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 Company will be deemed to have furnished such reports and financial statements to the Representatives to the extent they are filed on the Commission’s Electronic Data Gathering, Analysis, and Retrieval system.</w:t>
      </w:r>
    </w:p>
    <w:p>
      <w:pPr>
        <w:spacing w:after="0" w:line="180" w:lineRule="exact"/>
        <w:rPr>
          <w:rFonts w:ascii="Times New Roman" w:cs="Times New Roman" w:eastAsia="Times New Roman" w:hAnsi="Times New Roman"/>
          <w:sz w:val="22"/>
          <w:szCs w:val="22"/>
          <w:color w:val="auto"/>
        </w:rPr>
      </w:pPr>
    </w:p>
    <w:p>
      <w:pPr>
        <w:jc w:val="both"/>
        <w:ind w:right="280" w:firstLine="644"/>
        <w:spacing w:after="0" w:line="259" w:lineRule="auto"/>
        <w:tabs>
          <w:tab w:leader="none" w:pos="1284"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Record Retention</w:t>
      </w:r>
      <w:r>
        <w:rPr>
          <w:rFonts w:ascii="Times New Roman" w:cs="Times New Roman" w:eastAsia="Times New Roman" w:hAnsi="Times New Roman"/>
          <w:sz w:val="22"/>
          <w:szCs w:val="22"/>
          <w:color w:val="auto"/>
        </w:rPr>
        <w:t>. The Company will, pursuant to reasonable procedures developed in good faith, retain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copies of each Issuer Free Writing Prospectus that is not filed with the Commission in accordance with Rule 433 under the Securities Act.</w:t>
      </w:r>
    </w:p>
    <w:p>
      <w:pPr>
        <w:spacing w:after="0" w:line="166" w:lineRule="exact"/>
        <w:rPr>
          <w:rFonts w:ascii="Times New Roman" w:cs="Times New Roman" w:eastAsia="Times New Roman" w:hAnsi="Times New Roman"/>
          <w:sz w:val="22"/>
          <w:szCs w:val="22"/>
          <w:color w:val="auto"/>
        </w:rPr>
      </w:pPr>
    </w:p>
    <w:p>
      <w:pPr>
        <w:ind w:right="180" w:firstLine="644"/>
        <w:spacing w:after="0" w:line="275" w:lineRule="auto"/>
        <w:tabs>
          <w:tab w:leader="none" w:pos="1345"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Filings. </w:t>
      </w:r>
      <w:r>
        <w:rPr>
          <w:rFonts w:ascii="Times New Roman" w:cs="Times New Roman" w:eastAsia="Times New Roman" w:hAnsi="Times New Roman"/>
          <w:sz w:val="22"/>
          <w:szCs w:val="22"/>
          <w:color w:val="auto"/>
        </w:rPr>
        <w:t>The Company will file with the Commission such reports as may be required by Rule 463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Securities Act.</w:t>
      </w:r>
    </w:p>
    <w:p>
      <w:pPr>
        <w:sectPr>
          <w:pgSz w:w="11900" w:h="16838" w:orient="portrait"/>
          <w:cols w:equalWidth="0" w:num="1">
            <w:col w:w="10560"/>
          </w:cols>
          <w:pgMar w:left="980" w:top="1422" w:right="359" w:bottom="1440" w:gutter="0" w:footer="0" w:header="0"/>
        </w:sectPr>
      </w:pPr>
    </w:p>
    <w:bookmarkStart w:id="257" w:name="page258"/>
    <w:bookmarkEnd w:id="257"/>
    <w:p>
      <w:pPr>
        <w:ind w:left="4" w:right="260" w:firstLine="644"/>
        <w:spacing w:after="0" w:line="253" w:lineRule="auto"/>
        <w:tabs>
          <w:tab w:leader="none" w:pos="1295"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Emerging Growth Company</w:t>
      </w:r>
      <w:r>
        <w:rPr>
          <w:rFonts w:ascii="Times New Roman" w:cs="Times New Roman" w:eastAsia="Times New Roman" w:hAnsi="Times New Roman"/>
          <w:sz w:val="22"/>
          <w:szCs w:val="22"/>
          <w:color w:val="auto"/>
        </w:rPr>
        <w:t>. The Company will promptly notify the Representatives if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ceases to be an Emerging Growth Company at any time prior to the later of (i) completion of the distribution of Shares within the meaning of the Securities Act and (ii) completion of the 180-day restricted period referred to in Section 4(h) hereof.</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Agreements of the Underwriters</w:t>
      </w:r>
      <w:r>
        <w:rPr>
          <w:rFonts w:ascii="Times New Roman" w:cs="Times New Roman" w:eastAsia="Times New Roman" w:hAnsi="Times New Roman"/>
          <w:sz w:val="22"/>
          <w:szCs w:val="22"/>
          <w:color w:val="auto"/>
        </w:rPr>
        <w:t>. Each Underwriter hereby represents and agrees that:</w:t>
      </w:r>
    </w:p>
    <w:p>
      <w:pPr>
        <w:spacing w:after="0" w:line="219" w:lineRule="exact"/>
        <w:rPr>
          <w:rFonts w:ascii="Times New Roman" w:cs="Times New Roman" w:eastAsia="Times New Roman" w:hAnsi="Times New Roman"/>
          <w:sz w:val="22"/>
          <w:szCs w:val="22"/>
          <w:color w:val="auto"/>
        </w:rPr>
      </w:pPr>
    </w:p>
    <w:p>
      <w:pPr>
        <w:ind w:left="4" w:firstLine="644"/>
        <w:spacing w:after="0" w:line="260" w:lineRule="auto"/>
        <w:tabs>
          <w:tab w:leader="none" w:pos="1297"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170" w:lineRule="exact"/>
        <w:rPr>
          <w:rFonts w:ascii="Times New Roman" w:cs="Times New Roman" w:eastAsia="Times New Roman" w:hAnsi="Times New Roman"/>
          <w:sz w:val="21"/>
          <w:szCs w:val="21"/>
          <w:color w:val="auto"/>
        </w:rPr>
      </w:pPr>
    </w:p>
    <w:p>
      <w:pPr>
        <w:ind w:left="4" w:right="20" w:firstLine="644"/>
        <w:spacing w:after="0" w:line="248" w:lineRule="auto"/>
        <w:tabs>
          <w:tab w:leader="none" w:pos="1295"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Underwriters may use a term sheet substantially in the form of Annex C hereto without the consent of the Company;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Underwriter using such term sheet shall notify the Company, and provide a copy of such term sheet to the Company, prior to, or substantially concurrently with, the first use of such term sheet.</w:t>
      </w:r>
    </w:p>
    <w:p>
      <w:pPr>
        <w:spacing w:after="0" w:line="186" w:lineRule="exact"/>
        <w:rPr>
          <w:rFonts w:ascii="Times New Roman" w:cs="Times New Roman" w:eastAsia="Times New Roman" w:hAnsi="Times New Roman"/>
          <w:sz w:val="22"/>
          <w:szCs w:val="22"/>
          <w:color w:val="auto"/>
        </w:rPr>
      </w:pPr>
    </w:p>
    <w:p>
      <w:pPr>
        <w:ind w:left="4" w:right="540" w:firstLine="644"/>
        <w:spacing w:after="0" w:line="257" w:lineRule="auto"/>
        <w:tabs>
          <w:tab w:leader="none" w:pos="1297"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72" w:lineRule="exact"/>
        <w:rPr>
          <w:rFonts w:ascii="Times New Roman" w:cs="Times New Roman" w:eastAsia="Times New Roman" w:hAnsi="Times New Roman"/>
          <w:sz w:val="22"/>
          <w:szCs w:val="22"/>
          <w:color w:val="auto"/>
        </w:rPr>
      </w:pPr>
    </w:p>
    <w:p>
      <w:pPr>
        <w:jc w:val="both"/>
        <w:ind w:left="-656" w:right="20" w:firstLine="656"/>
        <w:spacing w:after="0" w:line="275" w:lineRule="auto"/>
        <w:tabs>
          <w:tab w:leader="none" w:pos="640"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of Underwriters’ Obligations.</w:t>
      </w:r>
      <w:r>
        <w:rPr>
          <w:rFonts w:ascii="Times New Roman" w:cs="Times New Roman" w:eastAsia="Times New Roman" w:hAnsi="Times New Roman"/>
          <w:sz w:val="21"/>
          <w:szCs w:val="21"/>
          <w:color w:val="auto"/>
        </w:rPr>
        <w:t xml:space="preserve"> The obligation of each Underwriter to purchase the Underwritten Shares on the Closing Date or the Option Shares on the Additional Closing Date, as the case may be, as provided herein is subject to the performance by the Company of its covenants and other obligations hereunder and to the following additional conditions:</w:t>
      </w:r>
    </w:p>
    <w:p>
      <w:pPr>
        <w:spacing w:after="0" w:line="151" w:lineRule="exact"/>
        <w:rPr>
          <w:rFonts w:ascii="Times New Roman" w:cs="Times New Roman" w:eastAsia="Times New Roman" w:hAnsi="Times New Roman"/>
          <w:sz w:val="21"/>
          <w:szCs w:val="21"/>
          <w:color w:val="auto"/>
        </w:rPr>
      </w:pPr>
    </w:p>
    <w:p>
      <w:pPr>
        <w:ind w:left="4" w:right="120" w:firstLine="644"/>
        <w:spacing w:after="0" w:line="259" w:lineRule="auto"/>
        <w:tabs>
          <w:tab w:leader="none" w:pos="1297"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Registration Compliance; No Stop Order. </w:t>
      </w:r>
      <w:r>
        <w:rPr>
          <w:rFonts w:ascii="Times New Roman" w:cs="Times New Roman" w:eastAsia="Times New Roman" w:hAnsi="Times New Roman"/>
          <w:sz w:val="22"/>
          <w:szCs w:val="22"/>
          <w:color w:val="auto"/>
        </w:rPr>
        <w:t>No order suspending the effectiveness of the Registration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Statement shall be in effect, and no proceeding for such purpose or pursuant to Section 8A under the Securities Act shall be pending before or threatened by the Commission; the Prospectus and each Issuer Free Writing Prospectus</w:t>
      </w:r>
    </w:p>
    <w:p>
      <w:pPr>
        <w:sectPr>
          <w:pgSz w:w="11900" w:h="16838" w:orient="portrait"/>
          <w:cols w:equalWidth="0" w:num="1">
            <w:col w:w="10544"/>
          </w:cols>
          <w:pgMar w:left="976" w:top="1418" w:right="379" w:bottom="1440" w:gutter="0" w:footer="0" w:header="0"/>
        </w:sectPr>
      </w:pPr>
    </w:p>
    <w:bookmarkStart w:id="258" w:name="page259"/>
    <w:bookmarkEnd w:id="258"/>
    <w:p>
      <w:pPr>
        <w:ind w:right="100"/>
        <w:spacing w:after="0" w:line="252" w:lineRule="auto"/>
        <w:rPr>
          <w:sz w:val="20"/>
          <w:szCs w:val="20"/>
          <w:color w:val="auto"/>
        </w:rPr>
      </w:pPr>
      <w:r>
        <w:rPr>
          <w:rFonts w:ascii="Times New Roman" w:cs="Times New Roman" w:eastAsia="Times New Roman" w:hAnsi="Times New Roman"/>
          <w:sz w:val="22"/>
          <w:szCs w:val="22"/>
          <w:color w:val="auto"/>
        </w:rPr>
        <w:t>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175" w:lineRule="exact"/>
        <w:rPr>
          <w:sz w:val="20"/>
          <w:szCs w:val="20"/>
          <w:color w:val="auto"/>
        </w:rPr>
      </w:pPr>
    </w:p>
    <w:p>
      <w:pPr>
        <w:ind w:firstLine="644"/>
        <w:spacing w:after="0" w:line="253" w:lineRule="auto"/>
        <w:tabs>
          <w:tab w:leader="none" w:pos="129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Representations and Warranties. </w:t>
      </w:r>
      <w:r>
        <w:rPr>
          <w:rFonts w:ascii="Times New Roman" w:cs="Times New Roman" w:eastAsia="Times New Roman" w:hAnsi="Times New Roman"/>
          <w:sz w:val="22"/>
          <w:szCs w:val="22"/>
          <w:color w:val="auto"/>
        </w:rPr>
        <w:t>The representations and warranties of the Company contained herein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true and 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175" w:lineRule="exact"/>
        <w:rPr>
          <w:rFonts w:ascii="Times New Roman" w:cs="Times New Roman" w:eastAsia="Times New Roman" w:hAnsi="Times New Roman"/>
          <w:sz w:val="22"/>
          <w:szCs w:val="22"/>
          <w:color w:val="auto"/>
        </w:rPr>
      </w:pPr>
    </w:p>
    <w:p>
      <w:pPr>
        <w:ind w:right="20" w:firstLine="644"/>
        <w:spacing w:after="0" w:line="249" w:lineRule="auto"/>
        <w:tabs>
          <w:tab w:leader="none" w:pos="1293"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Material Adverse Change. </w:t>
      </w:r>
      <w:r>
        <w:rPr>
          <w:rFonts w:ascii="Times New Roman" w:cs="Times New Roman" w:eastAsia="Times New Roman" w:hAnsi="Times New Roman"/>
          <w:sz w:val="22"/>
          <w:szCs w:val="22"/>
          <w:color w:val="auto"/>
        </w:rPr>
        <w:t>No event or condition of a type described in Section 3(h) hereof shall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occurred or shall 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80" w:lineRule="exact"/>
        <w:rPr>
          <w:rFonts w:ascii="Times New Roman" w:cs="Times New Roman" w:eastAsia="Times New Roman" w:hAnsi="Times New Roman"/>
          <w:sz w:val="22"/>
          <w:szCs w:val="22"/>
          <w:color w:val="auto"/>
        </w:rPr>
      </w:pPr>
    </w:p>
    <w:p>
      <w:pPr>
        <w:ind w:right="120" w:firstLine="644"/>
        <w:spacing w:after="0" w:line="247" w:lineRule="auto"/>
        <w:tabs>
          <w:tab w:leader="none" w:pos="129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The Representatives shall have received on and as of the Closing Date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Additional Closing Date, as the case may be, a certificate of the chief financial officer or chief accounting officer of the Company and one additional senior executive officer of the Company who is satisfactory to the Representatives (i) confirming that such officers have carefully reviewed the Registration Statement, the Pricing Disclosure Package and the Prospectus and, to the knowledge of such officers,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(b) and (c) above.</w:t>
      </w:r>
    </w:p>
    <w:p>
      <w:pPr>
        <w:spacing w:after="0" w:line="181" w:lineRule="exact"/>
        <w:rPr>
          <w:rFonts w:ascii="Times New Roman" w:cs="Times New Roman" w:eastAsia="Times New Roman" w:hAnsi="Times New Roman"/>
          <w:sz w:val="22"/>
          <w:szCs w:val="22"/>
          <w:color w:val="auto"/>
        </w:rPr>
      </w:pPr>
    </w:p>
    <w:p>
      <w:pPr>
        <w:ind w:right="60" w:firstLine="644"/>
        <w:spacing w:after="0" w:line="248" w:lineRule="auto"/>
        <w:tabs>
          <w:tab w:leader="none" w:pos="1293"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Comfort Letters. </w:t>
      </w:r>
      <w:r>
        <w:rPr>
          <w:rFonts w:ascii="Times New Roman" w:cs="Times New Roman" w:eastAsia="Times New Roman" w:hAnsi="Times New Roman"/>
          <w:sz w:val="22"/>
          <w:szCs w:val="22"/>
          <w:color w:val="auto"/>
        </w:rPr>
        <w:t>On the date of this Agreement and on the Closing Date or the Additional Closing Date,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case may be, Deloitte &amp; Touche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provided, that the letter delivered on the Closing Date or the Additional</w:t>
      </w:r>
    </w:p>
    <w:p>
      <w:pPr>
        <w:sectPr>
          <w:pgSz w:w="11900" w:h="16838" w:orient="portrait"/>
          <w:cols w:equalWidth="0" w:num="1">
            <w:col w:w="10580"/>
          </w:cols>
          <w:pgMar w:left="980" w:top="1422" w:right="339" w:bottom="1440" w:gutter="0" w:footer="0" w:header="0"/>
        </w:sectPr>
      </w:pPr>
    </w:p>
    <w:bookmarkStart w:id="259" w:name="page260"/>
    <w:bookmarkEnd w:id="259"/>
    <w:p>
      <w:pPr>
        <w:ind w:right="60"/>
        <w:spacing w:after="0" w:line="271" w:lineRule="auto"/>
        <w:rPr>
          <w:sz w:val="20"/>
          <w:szCs w:val="20"/>
          <w:color w:val="auto"/>
        </w:rPr>
      </w:pPr>
      <w:r>
        <w:rPr>
          <w:rFonts w:ascii="Times New Roman" w:cs="Times New Roman" w:eastAsia="Times New Roman" w:hAnsi="Times New Roman"/>
          <w:sz w:val="22"/>
          <w:szCs w:val="22"/>
          <w:color w:val="auto"/>
        </w:rPr>
        <w:t>Closing Date, as the case may be, shall use a “cut-off” date no more than two business days prior to such Closing Date or such Additional Closing Date, as the case may be.</w:t>
      </w:r>
    </w:p>
    <w:p>
      <w:pPr>
        <w:spacing w:after="0" w:line="154" w:lineRule="exact"/>
        <w:rPr>
          <w:sz w:val="20"/>
          <w:szCs w:val="20"/>
          <w:color w:val="auto"/>
        </w:rPr>
      </w:pPr>
    </w:p>
    <w:p>
      <w:pPr>
        <w:ind w:right="200" w:firstLine="644"/>
        <w:spacing w:after="0" w:line="269" w:lineRule="auto"/>
        <w:tabs>
          <w:tab w:leader="none" w:pos="1296"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Opinion and 10b-5 Statement of Counsel </w:t>
      </w:r>
      <w:r>
        <w:rPr>
          <w:rFonts w:ascii="Times New Roman" w:cs="Times New Roman" w:eastAsia="Times New Roman" w:hAnsi="Times New Roman"/>
          <w:sz w:val="21"/>
          <w:szCs w:val="21"/>
          <w:color w:val="auto"/>
        </w:rPr>
        <w:t>for the Company. Wilson Sonsini Goodrich &amp; Rosati,</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Professional Corporation, counsel for the Company, shall have furnished to the Representatives, at the request of the Company, their written opinion and 10b-5 statement, dated the Closing Date or the Additional Closing Date, as the case may be, and addressed to the Underwriters, in form and substance reasonably satisfactory to the Representatives.</w:t>
      </w:r>
    </w:p>
    <w:p>
      <w:pPr>
        <w:spacing w:after="0" w:line="159" w:lineRule="exact"/>
        <w:rPr>
          <w:rFonts w:ascii="Times New Roman" w:cs="Times New Roman" w:eastAsia="Times New Roman" w:hAnsi="Times New Roman"/>
          <w:sz w:val="21"/>
          <w:szCs w:val="21"/>
          <w:color w:val="auto"/>
        </w:rPr>
      </w:pPr>
    </w:p>
    <w:p>
      <w:pPr>
        <w:ind w:right="20" w:firstLine="644"/>
        <w:spacing w:after="0" w:line="253" w:lineRule="auto"/>
        <w:tabs>
          <w:tab w:leader="none" w:pos="129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Opinion of Intellectual Property Counsel for the Company. </w:t>
      </w:r>
      <w:r>
        <w:rPr>
          <w:rFonts w:ascii="Times New Roman" w:cs="Times New Roman" w:eastAsia="Times New Roman" w:hAnsi="Times New Roman"/>
          <w:sz w:val="22"/>
          <w:szCs w:val="22"/>
          <w:color w:val="auto"/>
        </w:rPr>
        <w:t>Wilson Sonsini Goodrich &amp; Rosati,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Professional Corporation, intellectual property counsel for the Company, shall have furnished to the Representatives, at the request of the Company, their written opinion, dated the Closing Date or the Additional Closing Date, as the case may be, and addressed to the Underwriters, in form and substance reasonably satisfactory to the Representatives.</w:t>
      </w:r>
    </w:p>
    <w:p>
      <w:pPr>
        <w:spacing w:after="0" w:line="175" w:lineRule="exact"/>
        <w:rPr>
          <w:rFonts w:ascii="Times New Roman" w:cs="Times New Roman" w:eastAsia="Times New Roman" w:hAnsi="Times New Roman"/>
          <w:sz w:val="22"/>
          <w:szCs w:val="22"/>
          <w:color w:val="auto"/>
        </w:rPr>
      </w:pPr>
    </w:p>
    <w:p>
      <w:pPr>
        <w:ind w:right="40" w:firstLine="644"/>
        <w:spacing w:after="0" w:line="251" w:lineRule="auto"/>
        <w:tabs>
          <w:tab w:leader="none" w:pos="129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Opinion and 10b-5 Statement of Counsel for the Underwriters. </w:t>
      </w:r>
      <w:r>
        <w:rPr>
          <w:rFonts w:ascii="Times New Roman" w:cs="Times New Roman" w:eastAsia="Times New Roman" w:hAnsi="Times New Roman"/>
          <w:sz w:val="22"/>
          <w:szCs w:val="22"/>
          <w:color w:val="auto"/>
        </w:rPr>
        <w:t>The Representatives shall have received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as of the Closing Date or the Additional Closing Date, as the case may be, an opinion and 10b-5 statement, addressed to the Underwriters, of Davis Polk &amp; Wardwell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75" w:lineRule="exact"/>
        <w:rPr>
          <w:rFonts w:ascii="Times New Roman" w:cs="Times New Roman" w:eastAsia="Times New Roman" w:hAnsi="Times New Roman"/>
          <w:sz w:val="22"/>
          <w:szCs w:val="22"/>
          <w:color w:val="auto"/>
        </w:rPr>
      </w:pPr>
    </w:p>
    <w:p>
      <w:pPr>
        <w:ind w:firstLine="644"/>
        <w:spacing w:after="0" w:line="266" w:lineRule="auto"/>
        <w:tabs>
          <w:tab w:leader="none" w:pos="1284"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 Legal Impediment to Issuance and Sale. </w:t>
      </w:r>
      <w:r>
        <w:rPr>
          <w:rFonts w:ascii="Times New Roman" w:cs="Times New Roman" w:eastAsia="Times New Roman" w:hAnsi="Times New Roman"/>
          <w:sz w:val="21"/>
          <w:szCs w:val="21"/>
          <w:color w:val="auto"/>
        </w:rPr>
        <w:t>No action shall have been taken and no statute, rule, regulation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order shall have been enacted, adopted or 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w:t>
      </w:r>
    </w:p>
    <w:p>
      <w:pPr>
        <w:spacing w:after="0" w:line="160" w:lineRule="exact"/>
        <w:rPr>
          <w:rFonts w:ascii="Times New Roman" w:cs="Times New Roman" w:eastAsia="Times New Roman" w:hAnsi="Times New Roman"/>
          <w:sz w:val="21"/>
          <w:szCs w:val="21"/>
          <w:color w:val="auto"/>
        </w:rPr>
      </w:pPr>
    </w:p>
    <w:p>
      <w:pPr>
        <w:ind w:firstLine="644"/>
        <w:spacing w:after="0" w:line="251" w:lineRule="auto"/>
        <w:tabs>
          <w:tab w:leader="none" w:pos="128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Good Standing</w:t>
      </w:r>
      <w:r>
        <w:rPr>
          <w:rFonts w:ascii="Times New Roman" w:cs="Times New Roman" w:eastAsia="Times New Roman" w:hAnsi="Times New Roman"/>
          <w:sz w:val="22"/>
          <w:szCs w:val="22"/>
          <w:color w:val="auto"/>
        </w:rPr>
        <w:t>. The Representatives shall have received on and as of the Closing Date or the Additional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Closing Date, as the case may be, satisfactory evidence of the good standing of the Company and its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175" w:lineRule="exact"/>
        <w:rPr>
          <w:rFonts w:ascii="Times New Roman" w:cs="Times New Roman" w:eastAsia="Times New Roman" w:hAnsi="Times New Roman"/>
          <w:sz w:val="22"/>
          <w:szCs w:val="22"/>
          <w:color w:val="auto"/>
        </w:rPr>
      </w:pPr>
    </w:p>
    <w:p>
      <w:pPr>
        <w:ind w:right="240" w:firstLine="644"/>
        <w:spacing w:after="0" w:line="259" w:lineRule="auto"/>
        <w:tabs>
          <w:tab w:leader="none" w:pos="129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Exchange Listing. </w:t>
      </w:r>
      <w:r>
        <w:rPr>
          <w:rFonts w:ascii="Times New Roman" w:cs="Times New Roman" w:eastAsia="Times New Roman" w:hAnsi="Times New Roman"/>
          <w:sz w:val="22"/>
          <w:szCs w:val="22"/>
          <w:color w:val="auto"/>
        </w:rPr>
        <w:t>The Shares to be delivered on the Closing Date or the Additional Closing Date,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case may be, shall have been approved for listing on the Nasdaq Global Select Market, subject to official notice of issuance.</w:t>
      </w:r>
    </w:p>
    <w:p>
      <w:pPr>
        <w:spacing w:after="0" w:line="166" w:lineRule="exact"/>
        <w:rPr>
          <w:rFonts w:ascii="Times New Roman" w:cs="Times New Roman" w:eastAsia="Times New Roman" w:hAnsi="Times New Roman"/>
          <w:sz w:val="22"/>
          <w:szCs w:val="22"/>
          <w:color w:val="auto"/>
        </w:rPr>
      </w:pPr>
    </w:p>
    <w:p>
      <w:pPr>
        <w:ind w:right="660" w:firstLine="644"/>
        <w:spacing w:after="0" w:line="275" w:lineRule="auto"/>
        <w:tabs>
          <w:tab w:leader="none" w:pos="128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Lock-up Agreements</w:t>
      </w:r>
      <w:r>
        <w:rPr>
          <w:rFonts w:ascii="Times New Roman" w:cs="Times New Roman" w:eastAsia="Times New Roman" w:hAnsi="Times New Roman"/>
          <w:sz w:val="22"/>
          <w:szCs w:val="22"/>
          <w:color w:val="auto"/>
        </w:rPr>
        <w:t>. The “lock-up” agreements, each substantially in the form of Exhibit D hereto,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between you and certain shareholders, officers and directors of</w:t>
      </w:r>
    </w:p>
    <w:p>
      <w:pPr>
        <w:sectPr>
          <w:pgSz w:w="11900" w:h="16838" w:orient="portrait"/>
          <w:cols w:equalWidth="0" w:num="1">
            <w:col w:w="10540"/>
          </w:cols>
          <w:pgMar w:left="980" w:top="1422" w:right="379" w:bottom="1440" w:gutter="0" w:footer="0" w:header="0"/>
        </w:sectPr>
      </w:pPr>
    </w:p>
    <w:bookmarkStart w:id="260" w:name="page261"/>
    <w:bookmarkEnd w:id="260"/>
    <w:p>
      <w:pPr>
        <w:jc w:val="both"/>
        <w:ind w:left="660" w:right="20"/>
        <w:spacing w:after="0" w:line="257" w:lineRule="auto"/>
        <w:rPr>
          <w:sz w:val="20"/>
          <w:szCs w:val="20"/>
          <w:color w:val="auto"/>
        </w:rPr>
      </w:pPr>
      <w:r>
        <w:rPr>
          <w:rFonts w:ascii="Times New Roman" w:cs="Times New Roman" w:eastAsia="Times New Roman" w:hAnsi="Times New Roman"/>
          <w:sz w:val="22"/>
          <w:szCs w:val="22"/>
          <w:color w:val="auto"/>
        </w:rPr>
        <w:t>the Company relating to sales and certain other dispositions of shares of Stock or certain other securities, delivered to you on or before the date hereof, shall be full force and effect on the Closing Date or the Additional Closing Date, as the case may be.</w:t>
      </w:r>
    </w:p>
    <w:p>
      <w:pPr>
        <w:spacing w:after="0" w:line="169" w:lineRule="exact"/>
        <w:rPr>
          <w:sz w:val="20"/>
          <w:szCs w:val="20"/>
          <w:color w:val="auto"/>
        </w:rPr>
      </w:pPr>
    </w:p>
    <w:p>
      <w:pPr>
        <w:ind w:left="660" w:right="20" w:firstLine="644"/>
        <w:spacing w:after="0" w:line="259" w:lineRule="auto"/>
        <w:tabs>
          <w:tab w:leader="none" w:pos="194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Additional Documents. </w:t>
      </w:r>
      <w:r>
        <w:rPr>
          <w:rFonts w:ascii="Times New Roman" w:cs="Times New Roman" w:eastAsia="Times New Roman" w:hAnsi="Times New Roman"/>
          <w:sz w:val="22"/>
          <w:szCs w:val="22"/>
          <w:color w:val="auto"/>
        </w:rPr>
        <w:t>On or prior to the Closing Date or the Additional Closing Date, as the case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shall have furnished to the Representatives such further certificates and documents as the Representatives may reasonably request.</w:t>
      </w:r>
    </w:p>
    <w:p>
      <w:pPr>
        <w:spacing w:after="0" w:line="170"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3" w:lineRule="exact"/>
        <w:rPr>
          <w:sz w:val="20"/>
          <w:szCs w:val="20"/>
          <w:color w:val="auto"/>
        </w:rPr>
      </w:pPr>
    </w:p>
    <w:p>
      <w:pPr>
        <w:ind w:left="1300" w:hanging="644"/>
        <w:spacing w:after="0"/>
        <w:tabs>
          <w:tab w:leader="none" w:pos="13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Contribution</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firstLine="656"/>
        <w:spacing w:after="0" w:line="245" w:lineRule="auto"/>
        <w:tabs>
          <w:tab w:leader="none" w:pos="1293"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of the Underwriters. </w:t>
      </w:r>
      <w:r>
        <w:rPr>
          <w:rFonts w:ascii="Times New Roman" w:cs="Times New Roman" w:eastAsia="Times New Roman" w:hAnsi="Times New Roman"/>
          <w:sz w:val="22"/>
          <w:szCs w:val="22"/>
          <w:color w:val="auto"/>
        </w:rPr>
        <w:t>The Company agrees to indemnify and hold harmless each Underwriter,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affiliates,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w:t>
      </w:r>
    </w:p>
    <w:p>
      <w:pPr>
        <w:spacing w:after="0" w:line="184" w:lineRule="exact"/>
        <w:rPr>
          <w:rFonts w:ascii="Times New Roman" w:cs="Times New Roman" w:eastAsia="Times New Roman" w:hAnsi="Times New Roman"/>
          <w:sz w:val="22"/>
          <w:szCs w:val="22"/>
          <w:color w:val="auto"/>
        </w:rPr>
      </w:pPr>
    </w:p>
    <w:p>
      <w:pPr>
        <w:ind w:right="100" w:firstLine="656"/>
        <w:spacing w:after="0" w:line="251" w:lineRule="auto"/>
        <w:tabs>
          <w:tab w:leader="none" w:pos="1291"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of the Company. </w:t>
      </w:r>
      <w:r>
        <w:rPr>
          <w:rFonts w:ascii="Times New Roman" w:cs="Times New Roman" w:eastAsia="Times New Roman" w:hAnsi="Times New Roman"/>
          <w:sz w:val="22"/>
          <w:szCs w:val="22"/>
          <w:color w:val="auto"/>
        </w:rPr>
        <w:t>Each Underwriter agrees, severally and not jointly, to indemnify and hold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w:t>
      </w:r>
    </w:p>
    <w:p>
      <w:pPr>
        <w:sectPr>
          <w:pgSz w:w="11900" w:h="16838" w:orient="portrait"/>
          <w:cols w:equalWidth="0" w:num="1">
            <w:col w:w="11200"/>
          </w:cols>
          <w:pgMar w:left="320" w:top="1422" w:right="379" w:bottom="1440" w:gutter="0" w:footer="0" w:header="0"/>
        </w:sectPr>
      </w:pPr>
    </w:p>
    <w:bookmarkStart w:id="261" w:name="page262"/>
    <w:bookmarkEnd w:id="261"/>
    <w:p>
      <w:pPr>
        <w:ind w:right="340"/>
        <w:spacing w:after="0" w:line="246" w:lineRule="auto"/>
        <w:rPr>
          <w:sz w:val="20"/>
          <w:szCs w:val="20"/>
          <w:color w:val="auto"/>
        </w:rPr>
      </w:pPr>
      <w:r>
        <w:rPr>
          <w:rFonts w:ascii="Times New Roman" w:cs="Times New Roman" w:eastAsia="Times New Roman" w:hAnsi="Times New Roman"/>
          <w:sz w:val="22"/>
          <w:szCs w:val="22"/>
          <w:color w:val="auto"/>
        </w:rPr>
        <w:t>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figures appearing in the third paragraph under the caption “Underwriting” and the information contained in the sixteenth and seventeenth paragraphs under the caption “Underwriting” relating to price stabilization, short positions and penalty bids.</w:t>
      </w:r>
    </w:p>
    <w:p>
      <w:pPr>
        <w:spacing w:after="0" w:line="187" w:lineRule="exact"/>
        <w:rPr>
          <w:sz w:val="20"/>
          <w:szCs w:val="20"/>
          <w:color w:val="auto"/>
        </w:rPr>
      </w:pPr>
    </w:p>
    <w:p>
      <w:pPr>
        <w:ind w:firstLine="656"/>
        <w:spacing w:after="0" w:line="244" w:lineRule="auto"/>
        <w:tabs>
          <w:tab w:leader="none" w:pos="129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 and Procedures. </w:t>
      </w:r>
      <w:r>
        <w:rPr>
          <w:rFonts w:ascii="Times New Roman" w:cs="Times New Roman" w:eastAsia="Times New Roman" w:hAnsi="Times New Roman"/>
          <w:sz w:val="22"/>
          <w:szCs w:val="22"/>
          <w:color w:val="auto"/>
        </w:rPr>
        <w:t>If any suit, action, proceeding (including any governmental or regulatory investigation),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claim or demand shall be 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reasonably incurred and documented fees and expenses in such proceeding and shall pay the reasonably incurred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reasonably incurred and documented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w:t>
      </w:r>
    </w:p>
    <w:p>
      <w:pPr>
        <w:sectPr>
          <w:pgSz w:w="11900" w:h="16838" w:orient="portrait"/>
          <w:cols w:equalWidth="0" w:num="1">
            <w:col w:w="11240"/>
          </w:cols>
          <w:pgMar w:left="320" w:top="1422" w:right="339" w:bottom="1440" w:gutter="0" w:footer="0" w:header="0"/>
        </w:sectPr>
      </w:pPr>
    </w:p>
    <w:bookmarkStart w:id="262" w:name="page263"/>
    <w:bookmarkEnd w:id="262"/>
    <w:p>
      <w:pPr>
        <w:ind w:right="40"/>
        <w:spacing w:after="0" w:line="257" w:lineRule="auto"/>
        <w:rPr>
          <w:sz w:val="20"/>
          <w:szCs w:val="20"/>
          <w:color w:val="auto"/>
        </w:rPr>
      </w:pPr>
      <w:r>
        <w:rPr>
          <w:rFonts w:ascii="Times New Roman" w:cs="Times New Roman" w:eastAsia="Times New Roman" w:hAnsi="Times New Roman"/>
          <w:sz w:val="21"/>
          <w:szCs w:val="21"/>
          <w:color w:val="auto"/>
        </w:rPr>
        <w:t>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81" w:lineRule="exact"/>
        <w:rPr>
          <w:sz w:val="20"/>
          <w:szCs w:val="20"/>
          <w:color w:val="auto"/>
        </w:rPr>
      </w:pPr>
    </w:p>
    <w:p>
      <w:pPr>
        <w:ind w:firstLine="656"/>
        <w:spacing w:after="0" w:line="257" w:lineRule="auto"/>
        <w:tabs>
          <w:tab w:leader="none" w:pos="1291"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Contribution. </w:t>
      </w:r>
      <w:r>
        <w:rPr>
          <w:rFonts w:ascii="Times New Roman" w:cs="Times New Roman" w:eastAsia="Times New Roman" w:hAnsi="Times New Roman"/>
          <w:sz w:val="21"/>
          <w:szCs w:val="21"/>
          <w:color w:val="auto"/>
        </w:rPr>
        <w:t>If the indemnification provided for in paragraphs (a) or (b) above is unavailable to an Indemnified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ectPr>
          <w:pgSz w:w="11900" w:h="16838" w:orient="portrait"/>
          <w:cols w:equalWidth="0" w:num="1">
            <w:col w:w="11220"/>
          </w:cols>
          <w:pgMar w:left="320" w:top="1422" w:right="359" w:bottom="1440" w:gutter="0" w:footer="0" w:header="0"/>
        </w:sectPr>
      </w:pPr>
    </w:p>
    <w:bookmarkStart w:id="263" w:name="page264"/>
    <w:bookmarkEnd w:id="263"/>
    <w:p>
      <w:pPr>
        <w:ind w:left="-656" w:firstLine="656"/>
        <w:spacing w:after="0" w:line="245" w:lineRule="auto"/>
        <w:tabs>
          <w:tab w:leader="none" w:pos="637"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Limitation on Liability. </w:t>
      </w:r>
      <w:r>
        <w:rPr>
          <w:rFonts w:ascii="Times New Roman" w:cs="Times New Roman" w:eastAsia="Times New Roman" w:hAnsi="Times New Roman"/>
          <w:sz w:val="22"/>
          <w:szCs w:val="22"/>
          <w:color w:val="auto"/>
        </w:rPr>
        <w:t>The Company and the Underwriters agree that it would not be just and equitable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contribution pursuant to paragraph (d) above were determined by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reasonably incurred and documented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w:t>
      </w:r>
    </w:p>
    <w:p>
      <w:pPr>
        <w:spacing w:after="0" w:line="193" w:lineRule="exact"/>
        <w:rPr>
          <w:rFonts w:ascii="Times New Roman" w:cs="Times New Roman" w:eastAsia="Times New Roman" w:hAnsi="Times New Roman"/>
          <w:sz w:val="22"/>
          <w:szCs w:val="22"/>
          <w:color w:val="auto"/>
        </w:rPr>
      </w:pPr>
    </w:p>
    <w:p>
      <w:pPr>
        <w:ind w:left="-656" w:right="440" w:firstLine="656"/>
        <w:spacing w:after="0" w:line="275" w:lineRule="auto"/>
        <w:tabs>
          <w:tab w:leader="none" w:pos="64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Non-Exclusive Remedies. </w:t>
      </w:r>
      <w:r>
        <w:rPr>
          <w:rFonts w:ascii="Times New Roman" w:cs="Times New Roman" w:eastAsia="Times New Roman" w:hAnsi="Times New Roman"/>
          <w:sz w:val="22"/>
          <w:szCs w:val="22"/>
          <w:color w:val="auto"/>
        </w:rPr>
        <w:t>The remedies provided for in this Section 7 are not exclusive and shall not limit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rights or remedies which may otherwise be available to any Indemnified Person at law or in equity.</w:t>
      </w:r>
    </w:p>
    <w:p>
      <w:pPr>
        <w:spacing w:after="0" w:line="153" w:lineRule="exact"/>
        <w:rPr>
          <w:sz w:val="20"/>
          <w:szCs w:val="20"/>
          <w:color w:val="auto"/>
        </w:rPr>
      </w:pPr>
    </w:p>
    <w:p>
      <w:pPr>
        <w:ind w:left="644" w:hanging="644"/>
        <w:spacing w:after="0"/>
        <w:tabs>
          <w:tab w:leader="none" w:pos="64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Agreement</w:t>
      </w:r>
      <w:r>
        <w:rPr>
          <w:rFonts w:ascii="Times New Roman" w:cs="Times New Roman" w:eastAsia="Times New Roman" w:hAnsi="Times New Roman"/>
          <w:sz w:val="22"/>
          <w:szCs w:val="22"/>
          <w:color w:val="auto"/>
        </w:rPr>
        <w:t>. This Agreement shall become effective as of the date first written above.</w:t>
      </w:r>
    </w:p>
    <w:p>
      <w:pPr>
        <w:spacing w:after="0" w:line="219" w:lineRule="exact"/>
        <w:rPr>
          <w:rFonts w:ascii="Times New Roman" w:cs="Times New Roman" w:eastAsia="Times New Roman" w:hAnsi="Times New Roman"/>
          <w:sz w:val="22"/>
          <w:szCs w:val="22"/>
          <w:color w:val="auto"/>
        </w:rPr>
      </w:pPr>
    </w:p>
    <w:p>
      <w:pPr>
        <w:ind w:left="-656" w:right="20" w:firstLine="656"/>
        <w:spacing w:after="0" w:line="259" w:lineRule="auto"/>
        <w:tabs>
          <w:tab w:leader="none" w:pos="640"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This Agreement may be terminated in the absolute discretion of the Representatives, by notice to the Company,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75" w:lineRule="exact"/>
        <w:rPr>
          <w:rFonts w:ascii="Times New Roman" w:cs="Times New Roman" w:eastAsia="Times New Roman" w:hAnsi="Times New Roman"/>
          <w:sz w:val="21"/>
          <w:szCs w:val="21"/>
          <w:color w:val="auto"/>
        </w:rPr>
      </w:pPr>
    </w:p>
    <w:p>
      <w:pPr>
        <w:ind w:left="644" w:hanging="644"/>
        <w:spacing w:after="0"/>
        <w:tabs>
          <w:tab w:leader="none" w:pos="64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Underwriter</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56" w:right="200" w:firstLine="656"/>
        <w:spacing w:after="0" w:line="257" w:lineRule="auto"/>
        <w:tabs>
          <w:tab w:leader="none" w:pos="637"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w:t>
      </w:r>
    </w:p>
    <w:p>
      <w:pPr>
        <w:sectPr>
          <w:pgSz w:w="11900" w:h="16838" w:orient="portrait"/>
          <w:cols w:equalWidth="0" w:num="1">
            <w:col w:w="10584"/>
          </w:cols>
          <w:pgMar w:left="976" w:top="1418" w:right="339" w:bottom="1440" w:gutter="0" w:footer="0" w:header="0"/>
        </w:sectPr>
      </w:pPr>
    </w:p>
    <w:bookmarkStart w:id="264" w:name="page265"/>
    <w:bookmarkEnd w:id="264"/>
    <w:p>
      <w:pPr>
        <w:spacing w:after="0" w:line="258" w:lineRule="auto"/>
        <w:rPr>
          <w:sz w:val="20"/>
          <w:szCs w:val="20"/>
          <w:color w:val="auto"/>
        </w:rPr>
      </w:pPr>
      <w:r>
        <w:rPr>
          <w:rFonts w:ascii="Times New Roman" w:cs="Times New Roman" w:eastAsia="Times New Roman" w:hAnsi="Times New Roman"/>
          <w:sz w:val="21"/>
          <w:szCs w:val="21"/>
          <w:color w:val="auto"/>
        </w:rPr>
        <w:t>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w:t>
      </w:r>
    </w:p>
    <w:p>
      <w:pPr>
        <w:spacing w:after="0" w:line="182" w:lineRule="exact"/>
        <w:rPr>
          <w:sz w:val="20"/>
          <w:szCs w:val="20"/>
          <w:color w:val="auto"/>
        </w:rPr>
      </w:pPr>
    </w:p>
    <w:p>
      <w:pPr>
        <w:ind w:right="80" w:firstLine="656"/>
        <w:spacing w:after="0" w:line="261" w:lineRule="auto"/>
        <w:tabs>
          <w:tab w:leader="none" w:pos="1291"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73" w:lineRule="exact"/>
        <w:rPr>
          <w:rFonts w:ascii="Times New Roman" w:cs="Times New Roman" w:eastAsia="Times New Roman" w:hAnsi="Times New Roman"/>
          <w:sz w:val="21"/>
          <w:szCs w:val="21"/>
          <w:color w:val="auto"/>
        </w:rPr>
      </w:pPr>
    </w:p>
    <w:p>
      <w:pPr>
        <w:ind w:right="60" w:firstLine="656"/>
        <w:spacing w:after="0" w:line="246" w:lineRule="auto"/>
        <w:tabs>
          <w:tab w:leader="none" w:pos="1293"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90" w:lineRule="exact"/>
        <w:rPr>
          <w:rFonts w:ascii="Times New Roman" w:cs="Times New Roman" w:eastAsia="Times New Roman" w:hAnsi="Times New Roman"/>
          <w:sz w:val="22"/>
          <w:szCs w:val="22"/>
          <w:color w:val="auto"/>
        </w:rPr>
      </w:pPr>
    </w:p>
    <w:p>
      <w:pPr>
        <w:ind w:right="20" w:firstLine="656"/>
        <w:spacing w:after="0" w:line="271" w:lineRule="auto"/>
        <w:tabs>
          <w:tab w:leader="none" w:pos="129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herein shall relieve a defaulting Underwriter of any liability it may have to the Company or any non-defaulting Underwriter for damages caused by its default.</w:t>
      </w:r>
    </w:p>
    <w:p>
      <w:pPr>
        <w:sectPr>
          <w:pgSz w:w="11900" w:h="16838" w:orient="portrait"/>
          <w:cols w:equalWidth="0" w:num="1">
            <w:col w:w="11220"/>
          </w:cols>
          <w:pgMar w:left="320" w:top="1422" w:right="359" w:bottom="1440" w:gutter="0" w:footer="0" w:header="0"/>
        </w:sectPr>
      </w:pPr>
    </w:p>
    <w:bookmarkStart w:id="265" w:name="page266"/>
    <w:bookmarkEnd w:id="265"/>
    <w:p>
      <w:pPr>
        <w:ind w:left="1292" w:hanging="644"/>
        <w:spacing w:after="0"/>
        <w:tabs>
          <w:tab w:leader="none" w:pos="129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Expenses</w:t>
      </w:r>
      <w:r>
        <w:rPr>
          <w:rFonts w:ascii="Times New Roman" w:cs="Times New Roman" w:eastAsia="Times New Roman" w:hAnsi="Times New Roman"/>
          <w:sz w:val="22"/>
          <w:szCs w:val="22"/>
          <w:i w:val="1"/>
          <w:iCs w:val="1"/>
          <w:color w:val="auto"/>
        </w:rPr>
        <w:t>.</w:t>
      </w:r>
    </w:p>
    <w:p>
      <w:pPr>
        <w:spacing w:after="0" w:line="224" w:lineRule="exact"/>
        <w:rPr>
          <w:sz w:val="20"/>
          <w:szCs w:val="20"/>
          <w:color w:val="auto"/>
        </w:rPr>
      </w:pPr>
    </w:p>
    <w:p>
      <w:pPr>
        <w:ind w:left="-8" w:right="20" w:firstLine="656"/>
        <w:spacing w:after="0" w:line="256" w:lineRule="auto"/>
        <w:tabs>
          <w:tab w:leader="none" w:pos="1285" w:val="left"/>
        </w:tabs>
        <w:numPr>
          <w:ilvl w:val="1"/>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provided that the aggregate amount payable by the Company pursuant to clauses (iv) and</w:t>
      </w:r>
    </w:p>
    <w:p>
      <w:pPr>
        <w:spacing w:after="0" w:line="11" w:lineRule="exact"/>
        <w:rPr>
          <w:rFonts w:ascii="Times New Roman" w:cs="Times New Roman" w:eastAsia="Times New Roman" w:hAnsi="Times New Roman"/>
          <w:sz w:val="21"/>
          <w:szCs w:val="21"/>
          <w:color w:val="auto"/>
        </w:rPr>
      </w:pPr>
    </w:p>
    <w:p>
      <w:pPr>
        <w:ind w:left="-8" w:right="80" w:firstLine="8"/>
        <w:spacing w:after="0" w:line="257" w:lineRule="auto"/>
        <w:tabs>
          <w:tab w:leader="none" w:pos="418"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exceed $35,000 (excluding filing fees); (viii) all expenses incurred by the Company in connection with any “road show” presentation to potential investors (including 50% of chartered aircraft expenses); and (ix) all expenses and application fees related to the listing of the Shares on the Nasdaq Market. It is understood and agreed that except as provided in Section 7, Section 10(c) and this Section 11, the Underwriters shall pay all of their costs and expenses incurred in connection with this Agreement and the offering contemplated hereby, including fees and disbursements of their counsel, stock transfer taxes payable on their resale of any of the Shares, travel (including 50% of chartered aircraft expenses) and meal and lodging costs and other expenses of the Representatives incurred in connection with any “road show” presentation to potential investors.</w:t>
      </w:r>
    </w:p>
    <w:p>
      <w:pPr>
        <w:spacing w:after="0" w:line="177" w:lineRule="exact"/>
        <w:rPr>
          <w:rFonts w:ascii="Times New Roman" w:cs="Times New Roman" w:eastAsia="Times New Roman" w:hAnsi="Times New Roman"/>
          <w:sz w:val="21"/>
          <w:szCs w:val="21"/>
          <w:color w:val="auto"/>
        </w:rPr>
      </w:pPr>
    </w:p>
    <w:p>
      <w:pPr>
        <w:ind w:left="-8" w:firstLine="656"/>
        <w:spacing w:after="0" w:line="258" w:lineRule="auto"/>
        <w:tabs>
          <w:tab w:leader="none" w:pos="1283"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 this Agreement is terminated pursuant to Section 9, (ii) the Company for any reason fails to tender the Shares for delivery to the Underwriters or (iii) the Underwriters decline to purchase the Shares for any reason permitted under this Agreement, the Company agrees to reimburse the Underwriters for all reasonably incurred and documented out-of-pocket costs and expenses (including the fees and expenses of their counsel) reasonably incurred by the Underwriters in connection with this Agreement and the offering contemplated hereby; provided, however, that for purposes of this Section 11(b), the Company shall in no event be liable to any of the Underwriters for any other amounts (for the avoidance of doubt, not including any amounts under Section 7 hereof), including, without limitation, damages on account of loss of anticipated profits from the sales of the Shares. Notwithstanding anything herein to the contrary, in the event of termination pursuant to Sections 9(i) , (iii) or (iv), the Company shall not be responsible, or obligated to reimburse the Underwriters, for any costs or expenses incurred by the Underwriters in connection with any road show. For the avoidance of doubt, it is understood that the Company shall not pay or reimburse any costs, fees or expenses incurred by any Underwriter that defaults on its obligations to purchase the Shares.</w:t>
      </w:r>
    </w:p>
    <w:p>
      <w:pPr>
        <w:sectPr>
          <w:pgSz w:w="11900" w:h="16838" w:orient="portrait"/>
          <w:cols w:equalWidth="0" w:num="1">
            <w:col w:w="11192"/>
          </w:cols>
          <w:pgMar w:left="328" w:top="1418" w:right="379" w:bottom="1440" w:gutter="0" w:footer="0" w:header="0"/>
        </w:sectPr>
      </w:pPr>
    </w:p>
    <w:bookmarkStart w:id="266" w:name="page267"/>
    <w:bookmarkEnd w:id="266"/>
    <w:p>
      <w:pPr>
        <w:ind w:left="-656" w:firstLine="656"/>
        <w:spacing w:after="0" w:line="261" w:lineRule="auto"/>
        <w:tabs>
          <w:tab w:leader="none" w:pos="640"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Persons Entitled to Benefit of Agreement</w:t>
      </w:r>
      <w:r>
        <w:rPr>
          <w:rFonts w:ascii="Times New Roman" w:cs="Times New Roman" w:eastAsia="Times New Roman" w:hAnsi="Times New Roman"/>
          <w:sz w:val="21"/>
          <w:szCs w:val="21"/>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 In all dealings hereunder, the Representatives shall act on behalf of each of the Underwriters, and the parties hereto shall be entitled to act and rely upon any statement, request, notice or agreement on behalf of any Underwriter made or given by any Representative.</w:t>
      </w:r>
    </w:p>
    <w:p>
      <w:pPr>
        <w:spacing w:after="0" w:line="173" w:lineRule="exact"/>
        <w:rPr>
          <w:rFonts w:ascii="Times New Roman" w:cs="Times New Roman" w:eastAsia="Times New Roman" w:hAnsi="Times New Roman"/>
          <w:sz w:val="21"/>
          <w:szCs w:val="21"/>
          <w:color w:val="auto"/>
        </w:rPr>
      </w:pPr>
    </w:p>
    <w:p>
      <w:pPr>
        <w:ind w:left="-656" w:right="200" w:firstLine="656"/>
        <w:spacing w:after="0" w:line="248" w:lineRule="auto"/>
        <w:tabs>
          <w:tab w:leader="none" w:pos="640"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 or the directors, officers, controlling persons or affiliates referred to in Section 7 hereof.</w:t>
      </w:r>
    </w:p>
    <w:p>
      <w:pPr>
        <w:spacing w:after="0" w:line="186" w:lineRule="exact"/>
        <w:rPr>
          <w:rFonts w:ascii="Times New Roman" w:cs="Times New Roman" w:eastAsia="Times New Roman" w:hAnsi="Times New Roman"/>
          <w:sz w:val="22"/>
          <w:szCs w:val="22"/>
          <w:color w:val="auto"/>
        </w:rPr>
      </w:pPr>
    </w:p>
    <w:p>
      <w:pPr>
        <w:ind w:left="-656" w:right="20" w:firstLine="656"/>
        <w:spacing w:after="0" w:line="250" w:lineRule="auto"/>
        <w:tabs>
          <w:tab w:leader="none" w:pos="640"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w:t>
      </w:r>
    </w:p>
    <w:p>
      <w:pPr>
        <w:spacing w:after="0" w:line="180" w:lineRule="exact"/>
        <w:rPr>
          <w:rFonts w:ascii="Times New Roman" w:cs="Times New Roman" w:eastAsia="Times New Roman" w:hAnsi="Times New Roman"/>
          <w:sz w:val="22"/>
          <w:szCs w:val="22"/>
          <w:color w:val="auto"/>
        </w:rPr>
      </w:pPr>
    </w:p>
    <w:p>
      <w:pPr>
        <w:ind w:left="-656" w:right="180" w:firstLine="656"/>
        <w:spacing w:after="0" w:line="252" w:lineRule="auto"/>
        <w:tabs>
          <w:tab w:leader="none" w:pos="640"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USA Patriot Act</w:t>
      </w:r>
      <w:r>
        <w:rPr>
          <w:rFonts w:ascii="Times New Roman" w:cs="Times New Roman" w:eastAsia="Times New Roman" w:hAnsi="Times New Roman"/>
          <w:sz w:val="22"/>
          <w:szCs w:val="22"/>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56" w:firstLine="656"/>
        <w:spacing w:after="0" w:line="247" w:lineRule="auto"/>
        <w:tabs>
          <w:tab w:leader="none" w:pos="637"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All notices and other communications hereunder shall be in writing and shall be deemed to have been duly given if mailed or transmitted and confirmed by any standard form of telecommunication. Notices to the Underwriters shall be given to the Representatives c/o J.P. Morgan Securities LLC, 383 Madison Avenue, New York, New York 10179 (fax: (212) 622-8358); Attention Equity Syndicate Desk; c/o Morgan Stanley &amp; Co. LLC, 1585 Broadway, New York, New York 10036, Attention: Equity Syndicate Desk, with a copy to the Legal Department; c/o BofA Securities, Inc. at One Bryant Park, New York, New York 10036, attention of Syndicate Department (facsimile: (646) 855-3073), with a copy to ECM Legal (facsimile: (212) 230-8730). Notices to the Company shall be given to it at 3800 Bridge Parkway, Suite 102, Redwood City, California 94065, Attention: General Counsel, with a copy</w:t>
      </w:r>
    </w:p>
    <w:p>
      <w:pPr>
        <w:sectPr>
          <w:pgSz w:w="11900" w:h="16838" w:orient="portrait"/>
          <w:cols w:equalWidth="0" w:num="1">
            <w:col w:w="10544"/>
          </w:cols>
          <w:pgMar w:left="976" w:top="1422" w:right="37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22"/>
          <w:szCs w:val="22"/>
          <w:color w:val="auto"/>
        </w:rPr>
        <w:t>to Wilson Sonsini Goodrich &amp; Rosati, P.C., 650 Page Mill Road, Palo Alto, California, 94304, Attention: Tony Jeffries.</w:t>
      </w:r>
    </w:p>
    <w:p>
      <w:pPr>
        <w:spacing w:after="0" w:line="216" w:lineRule="exact"/>
        <w:rPr>
          <w:sz w:val="20"/>
          <w:szCs w:val="20"/>
          <w:color w:val="auto"/>
        </w:rPr>
      </w:pPr>
    </w:p>
    <w:p>
      <w:pPr>
        <w:ind w:right="120" w:firstLine="656"/>
        <w:spacing w:after="0" w:line="275" w:lineRule="auto"/>
        <w:tabs>
          <w:tab w:leader="none" w:pos="1291"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Governing Law. </w:t>
      </w:r>
      <w:r>
        <w:rPr>
          <w:rFonts w:ascii="Times New Roman" w:cs="Times New Roman" w:eastAsia="Times New Roman" w:hAnsi="Times New Roman"/>
          <w:sz w:val="22"/>
          <w:szCs w:val="22"/>
          <w:color w:val="auto"/>
        </w:rPr>
        <w:t>This Agreement and any claim, controversy or dispute arising under or related to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governed by and construed in accordance with the laws of the State of New York.</w:t>
      </w:r>
    </w:p>
    <w:p>
      <w:pPr>
        <w:spacing w:after="0" w:line="149" w:lineRule="exact"/>
        <w:rPr>
          <w:rFonts w:ascii="Times New Roman" w:cs="Times New Roman" w:eastAsia="Times New Roman" w:hAnsi="Times New Roman"/>
          <w:sz w:val="22"/>
          <w:szCs w:val="22"/>
          <w:color w:val="auto"/>
        </w:rPr>
      </w:pPr>
    </w:p>
    <w:p>
      <w:pPr>
        <w:ind w:firstLine="656"/>
        <w:spacing w:after="0" w:line="249" w:lineRule="auto"/>
        <w:tabs>
          <w:tab w:leader="none" w:pos="1286"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Submission to Jurisdiction</w:t>
      </w:r>
      <w:r>
        <w:rPr>
          <w:rFonts w:ascii="Times New Roman" w:cs="Times New Roman" w:eastAsia="Times New Roman" w:hAnsi="Times New Roman"/>
          <w:sz w:val="22"/>
          <w:szCs w:val="22"/>
          <w:color w:val="auto"/>
        </w:rPr>
        <w:t>. The Company hereby submits to the exclusive jurisdiction of the U.S. federal and New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180" w:lineRule="exact"/>
        <w:rPr>
          <w:rFonts w:ascii="Times New Roman" w:cs="Times New Roman" w:eastAsia="Times New Roman" w:hAnsi="Times New Roman"/>
          <w:sz w:val="20"/>
          <w:szCs w:val="20"/>
          <w:color w:val="auto"/>
        </w:rPr>
      </w:pPr>
    </w:p>
    <w:p>
      <w:pPr>
        <w:ind w:right="260" w:firstLine="656"/>
        <w:spacing w:after="0" w:line="275" w:lineRule="auto"/>
        <w:tabs>
          <w:tab w:leader="none" w:pos="128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 xml:space="preserve">Waiver of Jury Trial. </w:t>
      </w:r>
      <w:r>
        <w:rPr>
          <w:rFonts w:ascii="Times New Roman" w:cs="Times New Roman" w:eastAsia="Times New Roman" w:hAnsi="Times New Roman"/>
          <w:sz w:val="22"/>
          <w:szCs w:val="22"/>
          <w:color w:val="auto"/>
        </w:rPr>
        <w:t>Each of the parties hereto hereby waives any right to trial by jury in any suit or proceeding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arising out of or relating to this Agreement.</w:t>
      </w:r>
    </w:p>
    <w:p>
      <w:pPr>
        <w:spacing w:after="0" w:line="14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Recognition of the U.S. Special Resolution Regimes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0"/>
          <w:szCs w:val="20"/>
          <w:color w:val="auto"/>
        </w:rPr>
      </w:pPr>
    </w:p>
    <w:p>
      <w:pPr>
        <w:ind w:left="660" w:firstLine="644"/>
        <w:spacing w:after="0" w:line="250" w:lineRule="auto"/>
        <w:tabs>
          <w:tab w:leader="none" w:pos="1566"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rFonts w:ascii="Times New Roman" w:cs="Times New Roman" w:eastAsia="Times New Roman" w:hAnsi="Times New Roman"/>
          <w:sz w:val="22"/>
          <w:szCs w:val="22"/>
          <w:color w:val="auto"/>
        </w:rPr>
      </w:pPr>
    </w:p>
    <w:p>
      <w:pPr>
        <w:ind w:left="660" w:firstLine="644"/>
        <w:spacing w:after="0" w:line="250" w:lineRule="auto"/>
        <w:tabs>
          <w:tab w:leader="none" w:pos="1626"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As used in this Section 16(e):</w:t>
      </w:r>
    </w:p>
    <w:p>
      <w:pPr>
        <w:spacing w:after="0" w:line="220" w:lineRule="exact"/>
        <w:rPr>
          <w:sz w:val="20"/>
          <w:szCs w:val="20"/>
          <w:color w:val="auto"/>
        </w:rPr>
      </w:pPr>
    </w:p>
    <w:p>
      <w:pPr>
        <w:ind w:left="1300" w:right="380"/>
        <w:spacing w:after="0" w:line="271" w:lineRule="auto"/>
        <w:rPr>
          <w:sz w:val="20"/>
          <w:szCs w:val="20"/>
          <w:color w:val="auto"/>
        </w:rPr>
      </w:pPr>
      <w:r>
        <w:rPr>
          <w:rFonts w:ascii="Times New Roman" w:cs="Times New Roman" w:eastAsia="Times New Roman" w:hAnsi="Times New Roman"/>
          <w:sz w:val="22"/>
          <w:szCs w:val="22"/>
          <w:color w:val="auto"/>
        </w:rPr>
        <w:t>“BHC Act Affiliate” has the meaning assigned to the term “affiliate” in, and shall be interpreted in accordance with, 12 U.S.C. § 1841(k).</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“Covered Entity” means any of the following:</w:t>
      </w:r>
    </w:p>
    <w:p>
      <w:pPr>
        <w:spacing w:after="0" w:line="220" w:lineRule="exact"/>
        <w:rPr>
          <w:sz w:val="20"/>
          <w:szCs w:val="20"/>
          <w:color w:val="auto"/>
        </w:rPr>
      </w:pPr>
    </w:p>
    <w:p>
      <w:pPr>
        <w:ind w:left="1880" w:hanging="252"/>
        <w:spacing w:after="0"/>
        <w:tabs>
          <w:tab w:leader="none" w:pos="188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219"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 with, 12 C.F.R. § 47.3(b); or</w:t>
      </w:r>
    </w:p>
    <w:p>
      <w:pPr>
        <w:sectPr>
          <w:pgSz w:w="11900" w:h="16838" w:orient="portrait"/>
          <w:cols w:equalWidth="0" w:num="1">
            <w:col w:w="11220"/>
          </w:cols>
          <w:pgMar w:left="320" w:top="1422" w:right="359" w:bottom="1440" w:gutter="0" w:footer="0" w:header="0"/>
        </w:sectPr>
      </w:pPr>
    </w:p>
    <w:bookmarkStart w:id="268" w:name="page269"/>
    <w:bookmarkEnd w:id="268"/>
    <w:p>
      <w:pPr>
        <w:ind w:left="964"/>
        <w:spacing w:after="0"/>
        <w:rPr>
          <w:sz w:val="20"/>
          <w:szCs w:val="20"/>
          <w:color w:val="auto"/>
        </w:rPr>
      </w:pPr>
      <w:r>
        <w:rPr>
          <w:rFonts w:ascii="Times New Roman" w:cs="Times New Roman" w:eastAsia="Times New Roman" w:hAnsi="Times New Roman"/>
          <w:sz w:val="22"/>
          <w:szCs w:val="22"/>
          <w:color w:val="auto"/>
        </w:rPr>
        <w:t>(iii) a “covered FSI” as that term is defined in, and interpreted in accordance with, 12 C.F.R. § 382.2(b).</w:t>
      </w:r>
    </w:p>
    <w:p>
      <w:pPr>
        <w:spacing w:after="0" w:line="220" w:lineRule="exact"/>
        <w:rPr>
          <w:sz w:val="20"/>
          <w:szCs w:val="20"/>
          <w:color w:val="auto"/>
        </w:rPr>
      </w:pPr>
    </w:p>
    <w:p>
      <w:pPr>
        <w:ind w:left="644"/>
        <w:spacing w:after="0" w:line="271" w:lineRule="auto"/>
        <w:rPr>
          <w:sz w:val="20"/>
          <w:szCs w:val="20"/>
          <w:color w:val="auto"/>
        </w:rPr>
      </w:pPr>
      <w:r>
        <w:rPr>
          <w:rFonts w:ascii="Times New Roman" w:cs="Times New Roman" w:eastAsia="Times New Roman" w:hAnsi="Times New Roman"/>
          <w:sz w:val="22"/>
          <w:szCs w:val="22"/>
          <w:color w:val="auto"/>
        </w:rPr>
        <w:t>“Default Right” has the meaning assigned to that term in, and shall be interpreted in accordance with, 12 C.F.R. §§ 252.81, 47.2 or 382.1, as applicable.</w:t>
      </w:r>
    </w:p>
    <w:p>
      <w:pPr>
        <w:spacing w:after="0" w:line="158" w:lineRule="exact"/>
        <w:rPr>
          <w:sz w:val="20"/>
          <w:szCs w:val="20"/>
          <w:color w:val="auto"/>
        </w:rPr>
      </w:pPr>
    </w:p>
    <w:p>
      <w:pPr>
        <w:ind w:left="644" w:right="140"/>
        <w:spacing w:after="0" w:line="257" w:lineRule="auto"/>
        <w:rPr>
          <w:sz w:val="20"/>
          <w:szCs w:val="20"/>
          <w:color w:val="auto"/>
        </w:rPr>
      </w:pPr>
      <w:r>
        <w:rPr>
          <w:rFonts w:ascii="Times New Roman" w:cs="Times New Roman" w:eastAsia="Times New Roman" w:hAnsi="Times New Roman"/>
          <w:sz w:val="22"/>
          <w:szCs w:val="22"/>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69" w:lineRule="exact"/>
        <w:rPr>
          <w:sz w:val="20"/>
          <w:szCs w:val="20"/>
          <w:color w:val="auto"/>
        </w:rPr>
      </w:pPr>
    </w:p>
    <w:p>
      <w:pPr>
        <w:ind w:left="-656" w:right="80" w:firstLine="656"/>
        <w:spacing w:after="0" w:line="249" w:lineRule="auto"/>
        <w:tabs>
          <w:tab w:leader="none" w:pos="635"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 xml:space="preserve">Counterparts. </w:t>
      </w:r>
      <w:r>
        <w:rPr>
          <w:rFonts w:ascii="Times New Roman" w:cs="Times New Roman" w:eastAsia="Times New Roman" w:hAnsi="Times New Roman"/>
          <w:sz w:val="22"/>
          <w:szCs w:val="22"/>
          <w:color w:val="auto"/>
        </w:rPr>
        <w:t>This Agreement may be signed in counterparts (which may include counterparts delivered by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standard form of telecommunication),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0" w:lineRule="exact"/>
        <w:rPr>
          <w:rFonts w:ascii="Times New Roman" w:cs="Times New Roman" w:eastAsia="Times New Roman" w:hAnsi="Times New Roman"/>
          <w:sz w:val="20"/>
          <w:szCs w:val="20"/>
          <w:color w:val="auto"/>
        </w:rPr>
      </w:pPr>
    </w:p>
    <w:p>
      <w:pPr>
        <w:ind w:left="-656" w:right="180" w:firstLine="656"/>
        <w:spacing w:after="0" w:line="259" w:lineRule="auto"/>
        <w:tabs>
          <w:tab w:leader="none" w:pos="62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 xml:space="preserve">Amendments or Waivers. </w:t>
      </w:r>
      <w:r>
        <w:rPr>
          <w:rFonts w:ascii="Times New Roman" w:cs="Times New Roman" w:eastAsia="Times New Roman" w:hAnsi="Times New Roman"/>
          <w:sz w:val="22"/>
          <w:szCs w:val="22"/>
          <w:color w:val="auto"/>
        </w:rPr>
        <w:t>No amendment or waiver of any provision of this Agreement, nor any consent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approval to any departure therefrom, shall in any event be effective unless the same shall be in writing and signed by the parties hereto.</w:t>
      </w:r>
    </w:p>
    <w:p>
      <w:pPr>
        <w:spacing w:after="0" w:line="166" w:lineRule="exact"/>
        <w:rPr>
          <w:rFonts w:ascii="Times New Roman" w:cs="Times New Roman" w:eastAsia="Times New Roman" w:hAnsi="Times New Roman"/>
          <w:sz w:val="20"/>
          <w:szCs w:val="20"/>
          <w:color w:val="auto"/>
        </w:rPr>
      </w:pPr>
    </w:p>
    <w:p>
      <w:pPr>
        <w:ind w:left="-656" w:right="180" w:firstLine="656"/>
        <w:spacing w:after="0" w:line="275" w:lineRule="auto"/>
        <w:tabs>
          <w:tab w:leader="none" w:pos="62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 xml:space="preserve">Headings. </w:t>
      </w:r>
      <w:r>
        <w:rPr>
          <w:rFonts w:ascii="Times New Roman" w:cs="Times New Roman" w:eastAsia="Times New Roman" w:hAnsi="Times New Roman"/>
          <w:sz w:val="22"/>
          <w:szCs w:val="22"/>
          <w:color w:val="auto"/>
        </w:rPr>
        <w:t>The headings herein are included for convenience of reference only and are not intended to be part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to affect the meaning or interpretation of, this Agreement.</w:t>
      </w:r>
    </w:p>
    <w:p>
      <w:pPr>
        <w:sectPr>
          <w:pgSz w:w="11900" w:h="16838" w:orient="portrait"/>
          <w:cols w:equalWidth="0" w:num="1">
            <w:col w:w="10564"/>
          </w:cols>
          <w:pgMar w:left="976" w:top="1422" w:right="359" w:bottom="1440" w:gutter="0" w:footer="0" w:header="0"/>
        </w:sectPr>
      </w:pPr>
    </w:p>
    <w:bookmarkStart w:id="269" w:name="page270"/>
    <w:bookmarkEnd w:id="269"/>
    <w:p>
      <w:pPr>
        <w:ind w:firstLine="648"/>
        <w:spacing w:after="0" w:line="271" w:lineRule="auto"/>
        <w:rPr>
          <w:sz w:val="20"/>
          <w:szCs w:val="20"/>
          <w:color w:val="auto"/>
        </w:rPr>
      </w:pPr>
      <w:r>
        <w:rPr>
          <w:rFonts w:ascii="Times New Roman" w:cs="Times New Roman" w:eastAsia="Times New Roman" w:hAnsi="Times New Roman"/>
          <w:sz w:val="22"/>
          <w:szCs w:val="22"/>
          <w:color w:val="auto"/>
        </w:rPr>
        <w:t>If the foregoing is in accordance with your understanding, please indicate your acceptance of this Agreement by signing in the space provided below.</w:t>
      </w:r>
    </w:p>
    <w:p>
      <w:pPr>
        <w:spacing w:after="0" w:line="2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3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SEER,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27940</wp:posOffset>
            </wp:positionV>
            <wp:extent cx="29914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2"/>
          <w:szCs w:val="22"/>
          <w:color w:val="auto"/>
        </w:rPr>
        <w:t>Title:</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J.P. MORGAN SECURITIES LLC</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MORGAN STANLEY &amp; CO. LLC</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BOFA SECURITIES, INC.</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Each for itself and on behalf of the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several Underwriters listed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in Schedule 1 hereto.</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J.P. MORGAN SECURITIES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27940</wp:posOffset>
            </wp:positionV>
            <wp:extent cx="29914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5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MORGAN STANLEY &amp; CO.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27940</wp:posOffset>
            </wp:positionV>
            <wp:extent cx="29914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5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BOFA SECURITIES,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27940</wp:posOffset>
            </wp:positionV>
            <wp:extent cx="29914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040"/>
          </w:cols>
          <w:pgMar w:left="320" w:top="1422" w:right="539" w:bottom="0" w:gutter="0" w:footer="0" w:header="0"/>
        </w:sectPr>
      </w:pPr>
    </w:p>
    <w:bookmarkStart w:id="270" w:name="page271"/>
    <w:bookmarkEnd w:id="270"/>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Underwriting Agreement</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797" w:right="1440"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22"/>
          <w:szCs w:val="22"/>
          <w:color w:val="auto"/>
        </w:rPr>
        <w:t>Schedule 1</w:t>
      </w:r>
    </w:p>
    <w:p>
      <w:pPr>
        <w:spacing w:after="0" w:line="274"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22"/>
          <w:szCs w:val="22"/>
          <w:color w:val="auto"/>
        </w:rPr>
        <w:t>Underwriter</w:t>
      </w:r>
      <w:r>
        <w:rPr>
          <w:sz w:val="20"/>
          <w:szCs w:val="20"/>
          <w:color w:val="auto"/>
        </w:rPr>
        <w:tab/>
      </w:r>
      <w:r>
        <w:rPr>
          <w:rFonts w:ascii="Times New Roman" w:cs="Times New Roman" w:eastAsia="Times New Roman" w:hAnsi="Times New Roman"/>
          <w:sz w:val="22"/>
          <w:szCs w:val="22"/>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27940</wp:posOffset>
            </wp:positionV>
            <wp:extent cx="1457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27940</wp:posOffset>
            </wp:positionV>
            <wp:extent cx="9855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 Morgan Securities LLC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Morgan Stanley &amp; Co. LLC</w:t>
      </w:r>
    </w:p>
    <w:p>
      <w:pPr>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1044575</wp:posOffset>
            </wp:positionV>
            <wp:extent cx="1457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19685</wp:posOffset>
            </wp:positionV>
            <wp:extent cx="145732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1457325" cy="17145"/>
                    </a:xfrm>
                    <a:prstGeom prst="rect">
                      <a:avLst/>
                    </a:prstGeom>
                    <a:noFill/>
                  </pic:spPr>
                </pic:pic>
              </a:graphicData>
            </a:graphic>
          </wp:anchor>
        </w:drawing>
      </w:r>
    </w:p>
    <w:p>
      <w:pPr>
        <w:sectPr>
          <w:pgSz w:w="11900" w:h="16838" w:orient="portrait"/>
          <w:cols w:equalWidth="0" w:num="1">
            <w:col w:w="11220"/>
          </w:cols>
          <w:pgMar w:left="340" w:top="1422" w:right="3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22"/>
          <w:szCs w:val="22"/>
          <w:color w:val="auto"/>
        </w:rPr>
        <w:t>Schedule 2</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Significant Subsidiaries</w:t>
      </w:r>
    </w:p>
    <w:p>
      <w:pPr>
        <w:spacing w:after="0" w:line="2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None.</w:t>
      </w:r>
    </w:p>
    <w:p>
      <w:pPr>
        <w:sectPr>
          <w:pgSz w:w="11900" w:h="16838" w:orient="portrait"/>
          <w:cols w:equalWidth="0" w:num="1">
            <w:col w:w="10120"/>
          </w:cols>
          <w:pgMar w:left="1440" w:top="1422"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22"/>
          <w:szCs w:val="22"/>
          <w:color w:val="auto"/>
        </w:rPr>
        <w:t>Annex A</w:t>
      </w:r>
    </w:p>
    <w:p>
      <w:pPr>
        <w:spacing w:after="0" w:line="216" w:lineRule="exact"/>
        <w:rPr>
          <w:sz w:val="20"/>
          <w:szCs w:val="20"/>
          <w:color w:val="auto"/>
        </w:rPr>
      </w:pPr>
    </w:p>
    <w:p>
      <w:pPr>
        <w:ind w:left="320" w:hanging="312"/>
        <w:spacing w:after="0"/>
        <w:tabs>
          <w:tab w:leader="none" w:pos="32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Pricing Disclosure Package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 list each Issuer Free Writing Prospectus to be included in the Pricing Disclosure Package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right="5920" w:hanging="652"/>
        <w:spacing w:after="0" w:line="450" w:lineRule="auto"/>
        <w:tabs>
          <w:tab w:leader="none" w:pos="336"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Pricing Information Provided Orally by Underwriters </w:t>
      </w:r>
      <w:r>
        <w:rPr>
          <w:rFonts w:ascii="Times New Roman" w:cs="Times New Roman" w:eastAsia="Times New Roman" w:hAnsi="Times New Roman"/>
          <w:sz w:val="22"/>
          <w:szCs w:val="22"/>
          <w:color w:val="auto"/>
        </w:rPr>
        <w:t>Underwritten Shares: [ ] shares</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Option Shares: [  ] shares</w:t>
      </w:r>
    </w:p>
    <w:p>
      <w:pPr>
        <w:spacing w:after="0" w:line="21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Public Offering Price Per Share: $[  ]</w:t>
      </w:r>
    </w:p>
    <w:p>
      <w:pPr>
        <w:sectPr>
          <w:pgSz w:w="11900" w:h="16838" w:orient="portrait"/>
          <w:cols w:equalWidth="0" w:num="1">
            <w:col w:w="11240"/>
          </w:cols>
          <w:pgMar w:left="320" w:top="1422"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22"/>
          <w:szCs w:val="22"/>
          <w:color w:val="auto"/>
        </w:rPr>
        <w:t>Annex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Written Testing-the-Waters Communications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ectPr>
          <w:pgSz w:w="11900" w:h="16838" w:orient="portrait"/>
          <w:cols w:equalWidth="0" w:num="1">
            <w:col w:w="11240"/>
          </w:cols>
          <w:pgMar w:left="320" w:top="1422" w:right="33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22"/>
          <w:szCs w:val="22"/>
          <w:color w:val="auto"/>
        </w:rPr>
        <w:t>ANNEX C</w:t>
      </w:r>
    </w:p>
    <w:p>
      <w:pPr>
        <w:spacing w:after="0" w:line="22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u w:val="single" w:color="auto"/>
          <w:color w:val="auto"/>
        </w:rPr>
        <w:t>Pricing Term Sheet</w:t>
      </w:r>
    </w:p>
    <w:p>
      <w:pPr>
        <w:spacing w:after="0" w:line="200" w:lineRule="exact"/>
        <w:rPr>
          <w:sz w:val="20"/>
          <w:szCs w:val="20"/>
          <w:color w:val="auto"/>
        </w:rPr>
      </w:pPr>
    </w:p>
    <w:p>
      <w:pPr>
        <w:spacing w:after="0" w:line="2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  ]</w:t>
      </w:r>
    </w:p>
    <w:p>
      <w:pPr>
        <w:sectPr>
          <w:pgSz w:w="11900" w:h="16838" w:orient="portrait"/>
          <w:cols w:equalWidth="0" w:num="1">
            <w:col w:w="10120"/>
          </w:cols>
          <w:pgMar w:left="1440" w:top="1422" w:right="3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Testing the Waters Authorization</w:t>
      </w:r>
    </w:p>
    <w:p>
      <w:pPr>
        <w:spacing w:after="0" w:line="215"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0"/>
          <w:szCs w:val="20"/>
          <w:color w:val="auto"/>
        </w:rPr>
        <w:t>In reliance on Section 5(d) or Rule 163B of the Securities Act of 1933, as amended (the “Act”), Seer, Inc. (the “Issuer”) hereby authorizes each of J.P. Morgan Securities LLC (“J.P. Morgan”), Morgan Stanley &amp; Co. LLC (“Morgan Stanley”), BofA Securities, Inc. (“BofA”) and Cowen and Company, LLC (“Cowen”) and the affiliates and respective employees of each, to engage on behalf of the Issuer in oral and written communications with potential investors that are “qualified institutional buyers”, as defined in Rule 144A under the Act, or institutions that are “accredited investors”, within the meaning of Rule 501(a)(1), (a)(2), (a)(3), (a)(7) or (a)(8) under the Act, to determine whether such investors might have an interest in the Issuer’s contemplated initial public offering (“Testing-the-Waters Communications”). A “Written Testing-the Waters Communication” means any Testing-the-Waters Communication that is a written communication within the meaning of Rule 405 under the Act. Any Written Testing-the-Waters Communication shall be subject to prior approval by the Issuer's Chief Financial Officer prior to its dissemination to a potential investor, provided, however, that no such approval shall be required for any written communication that is solely administrative in nature (i.e., scheduling meetings) or that solely contains information already contained in a communication previously approved by the Issuer’s Chief Financial Officer. The Issuer has advised J.P. Morgan, Morgan Stanley, BofA and Cowen that it does not intend to provide or authorize any written communications to potential investors other than communications that are solely administrative in nature, including communications that are contemplated by this authorization.</w:t>
      </w:r>
    </w:p>
    <w:p>
      <w:pPr>
        <w:spacing w:after="0" w:line="197"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The Issuer represents that (i) except as disclosed to J.P. Morgan, Morgan Stanley, BofA and Cowen, it has not alone engaged in any Testing-the-Waters Communication and (ii) it has not authorized anyone other than J.P. Morgan, Morgan Stanley, BofA and Cowen to engage in Testing-the-Waters Communications. The Issuer agrees that it shall not authorize any other third party to engage on its behalf in oral or written communications with potential investors without the written consent of J.P. Morgan, Morgan Stanley, BofA and Cowen. The Issuer also represents that it is an “emerging growth company” as defined in Section 2(a)(19) of the Act (“Emerging Growth Company”) and agrees to promptly notify J.P. Morgan, Morgan Stanley, BofA and Cowen in writing if the Issuer hereafter ceases to be an Emerging Growth Company while this authorization is in effect. 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J.P. Morgan, Morgan Stanley, BofA and Cowen and will promptly amend or supplement, at its own expense, such Written Testing-the-Waters Communication to eliminate or correct such untrue statement or omission.</w:t>
      </w:r>
    </w:p>
    <w:p>
      <w:pPr>
        <w:spacing w:after="0" w:line="18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Nothing in this authorization is intended to limit or otherwise affect the ability of J.P. Morgan, Morgan Stanley, BofA and Cowen and the affiliates and respective employees of each,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J.P. Morgan, Morgan Stanley, BofA and Cowen a written notice revoking this authorization. All notices as described herein shall be sent by email to the attention of Benjamin Burdett at benjamin.h.burdett@jpmorgan.com, Robert Shepardson at robert.shepardson@morganstanley.com, Sumit Mukherjee at smukherjee@bofa.com and Michael Campbell at michael.campbell@cowen.com.</w:t>
      </w:r>
    </w:p>
    <w:p>
      <w:pPr>
        <w:sectPr>
          <w:pgSz w:w="11900" w:h="16838" w:orient="portrait"/>
          <w:cols w:equalWidth="0" w:num="1">
            <w:col w:w="11240"/>
          </w:cols>
          <w:pgMar w:left="320" w:top="1422" w:right="3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22"/>
          <w:szCs w:val="22"/>
          <w:color w:val="auto"/>
        </w:rPr>
        <w:t>Exhibit B</w:t>
      </w:r>
    </w:p>
    <w:p>
      <w:pPr>
        <w:spacing w:after="0" w:line="200" w:lineRule="exact"/>
        <w:rPr>
          <w:sz w:val="20"/>
          <w:szCs w:val="20"/>
          <w:color w:val="auto"/>
        </w:rPr>
      </w:pPr>
    </w:p>
    <w:p>
      <w:pPr>
        <w:spacing w:after="0" w:line="2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Form of Waiver of Lock-up</w:t>
      </w:r>
    </w:p>
    <w:p>
      <w:pPr>
        <w:spacing w:after="0" w:line="22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J.P. MORGAN SECURITIES LLC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MORGAN STANLEY &amp; CO. LLC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BOFA SECURITIES, INC.</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Seer,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Public Offering of Common Stock</w:t>
      </w:r>
    </w:p>
    <w:p>
      <w:pPr>
        <w:spacing w:after="0" w:line="196"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1"/>
          <w:szCs w:val="21"/>
          <w:color w:val="auto"/>
        </w:rPr>
        <w:t>, 20__</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and Address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Officer or Director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Requesting Waiver]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Mr./Ms. [Name]: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This letter is being delivered to you in connection with the offering by Seer, Inc. (the “Company”) of 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 of Class A common stock, $___ par value (the “Common Stock”), of the Company and the lock-up letter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dated__________________, 2020 (the “Lock-up Letter”), executed by you in connection with such offering, and your request for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[waiver] [release] dated__________________, 20__, with respect to ______ shares of Class A Common Stock (the “Shares”).</w:t>
      </w:r>
    </w:p>
    <w:p>
      <w:pPr>
        <w:spacing w:after="0" w:line="207"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21"/>
          <w:szCs w:val="21"/>
          <w:color w:val="auto"/>
        </w:rPr>
        <w:t>J.P. Morgan Securities LLC, Morgan Stanley &amp; Co. LLC and BofA Securities, Inc. hereby agree to [waive] [release] the transfer restrictions set forth in the Lock-up Letter, but only with respect to the Shares, effective __________________, 20__;</w:t>
      </w:r>
    </w:p>
    <w:p>
      <w:pPr>
        <w:spacing w:after="0" w:line="2" w:lineRule="exact"/>
        <w:rPr>
          <w:sz w:val="20"/>
          <w:szCs w:val="20"/>
          <w:color w:val="auto"/>
        </w:rPr>
      </w:pPr>
    </w:p>
    <w:p>
      <w:pPr>
        <w:jc w:val="both"/>
        <w:ind w:right="180"/>
        <w:spacing w:after="0" w:line="245"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Except as expressly [waived] [released] hereby, the Lock-up Letter shall remain in full force and effect.</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422" w:right="339" w:bottom="1440" w:gutter="0" w:footer="0" w:header="0"/>
        </w:sectPr>
      </w:pPr>
    </w:p>
    <w:bookmarkStart w:id="278" w:name="page279"/>
    <w:bookmarkEnd w:id="278"/>
    <w:p>
      <w:pPr>
        <w:spacing w:after="0" w:line="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Yours very truly,</w:t>
      </w:r>
    </w:p>
    <w:p>
      <w:pPr>
        <w:spacing w:after="0" w:line="32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J.P. MORGAN SECURITIES LLC</w:t>
      </w:r>
    </w:p>
    <w:p>
      <w:pPr>
        <w:spacing w:after="0" w:line="200" w:lineRule="exact"/>
        <w:rPr>
          <w:sz w:val="20"/>
          <w:szCs w:val="20"/>
          <w:color w:val="auto"/>
        </w:rPr>
      </w:pPr>
    </w:p>
    <w:p>
      <w:pPr>
        <w:spacing w:after="0" w:line="3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27940</wp:posOffset>
            </wp:positionV>
            <wp:extent cx="33947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51"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34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MORGAN STANLEY &amp; CO. LLC</w:t>
      </w:r>
    </w:p>
    <w:p>
      <w:pPr>
        <w:spacing w:after="0" w:line="200" w:lineRule="exact"/>
        <w:rPr>
          <w:sz w:val="20"/>
          <w:szCs w:val="20"/>
          <w:color w:val="auto"/>
        </w:rPr>
      </w:pPr>
    </w:p>
    <w:p>
      <w:pPr>
        <w:spacing w:after="0" w:line="3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27940</wp:posOffset>
            </wp:positionV>
            <wp:extent cx="33947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51"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3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BOFA SECURITIES, INC.</w:t>
      </w:r>
    </w:p>
    <w:p>
      <w:pPr>
        <w:spacing w:after="0" w:line="200" w:lineRule="exact"/>
        <w:rPr>
          <w:sz w:val="20"/>
          <w:szCs w:val="20"/>
          <w:color w:val="auto"/>
        </w:rPr>
      </w:pPr>
    </w:p>
    <w:p>
      <w:pPr>
        <w:spacing w:after="0" w:line="3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27940</wp:posOffset>
            </wp:positionV>
            <wp:extent cx="33947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51"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3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cc: Seer, Inc.</w:t>
      </w:r>
    </w:p>
    <w:p>
      <w:pPr>
        <w:sectPr>
          <w:pgSz w:w="11900" w:h="16838" w:orient="portrait"/>
          <w:cols w:equalWidth="0" w:num="1">
            <w:col w:w="10119"/>
          </w:cols>
          <w:pgMar w:left="340" w:top="1440" w:right="1440"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22"/>
          <w:szCs w:val="22"/>
          <w:color w:val="auto"/>
        </w:rPr>
        <w:t>Exhibit 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Press Release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6"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21"/>
          <w:szCs w:val="21"/>
          <w:color w:val="auto"/>
        </w:rPr>
        <w:t>Seer, Inc. (the “Company”) announced today that J.P. Morgan Securities LLC, Morgan Stanley &amp; Co. LLC and BofA Securities, Inc., the lead book-running managers in the Company’s recent public sale of shares of Class A common stock, are [waiving] [releasing] a lock-up restriction with respect to shares of the Company’s Class A common stock held by [certain officers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directors] [an officer or director] of the Company. The [waiver] [release] will take effect on ____________________, 20__, and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shares may be sold on or after such date.</w:t>
      </w:r>
    </w:p>
    <w:p>
      <w:pPr>
        <w:spacing w:after="0" w:line="192"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22"/>
          <w:szCs w:val="22"/>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240"/>
          </w:cols>
          <w:pgMar w:left="320" w:top="1422" w:right="3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22"/>
          <w:szCs w:val="22"/>
          <w:color w:val="auto"/>
        </w:rPr>
        <w:t>Exhibit 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LOCK-UP AGREEMENT</w:t>
      </w:r>
    </w:p>
    <w:p>
      <w:pPr>
        <w:spacing w:after="0" w:line="200" w:lineRule="exact"/>
        <w:rPr>
          <w:sz w:val="20"/>
          <w:szCs w:val="20"/>
          <w:color w:val="auto"/>
        </w:rPr>
      </w:pPr>
    </w:p>
    <w:p>
      <w:pPr>
        <w:spacing w:after="0" w:line="236"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1"/>
          <w:szCs w:val="2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-6985</wp:posOffset>
            </wp:positionV>
            <wp:extent cx="7543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 MORGAN SECURITIES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MORGAN STANLEY &amp; CO.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BofA Securities,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Representatives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several Underwriters listed 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 to the Underwriting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referred to below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J.P. Morgan Securities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383 Madison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10179</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Morgan Stanley &amp; Co.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1585 Broadway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10036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BofA Securities,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Bryant Park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10036</w:t>
      </w:r>
    </w:p>
    <w:p>
      <w:pPr>
        <w:spacing w:after="0" w:line="196" w:lineRule="exact"/>
        <w:rPr>
          <w:sz w:val="20"/>
          <w:szCs w:val="20"/>
          <w:color w:val="auto"/>
        </w:rPr>
      </w:pPr>
    </w:p>
    <w:p>
      <w:pPr>
        <w:jc w:val="center"/>
        <w:ind w:left="4060"/>
        <w:spacing w:after="0"/>
        <w:tabs>
          <w:tab w:leader="none" w:pos="300" w:val="left"/>
        </w:tabs>
        <w:rPr>
          <w:sz w:val="20"/>
          <w:szCs w:val="20"/>
          <w:color w:val="auto"/>
        </w:rPr>
      </w:pPr>
      <w:r>
        <w:rPr>
          <w:rFonts w:ascii="Times New Roman" w:cs="Times New Roman" w:eastAsia="Times New Roman" w:hAnsi="Times New Roman"/>
          <w:sz w:val="22"/>
          <w:szCs w:val="22"/>
          <w:color w:val="auto"/>
        </w:rPr>
        <w:t>Re:</w:t>
        <w:tab/>
        <w:t>Seer, Inc. --- Public Offering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ind w:right="40" w:firstLine="648"/>
        <w:spacing w:after="0" w:line="265" w:lineRule="auto"/>
        <w:rPr>
          <w:sz w:val="20"/>
          <w:szCs w:val="20"/>
          <w:color w:val="auto"/>
        </w:rPr>
      </w:pPr>
      <w:r>
        <w:rPr>
          <w:rFonts w:ascii="Times New Roman" w:cs="Times New Roman" w:eastAsia="Times New Roman" w:hAnsi="Times New Roman"/>
          <w:sz w:val="21"/>
          <w:szCs w:val="21"/>
          <w:color w:val="auto"/>
        </w:rPr>
        <w:t>The undersigned understands that you, as Representatives of the several Underwriters, propose to enter into an underwriting agreement (the “Underwriting Agreement”) with Seer, Inc., a Delaware corporation (the “Company”), providing for the public offering (the “Public Offering”) by the several Underwriters named in Schedule 1 to the Underwriting Agreement (the “Underwriters”), of Class A Common Stock, $0.00001 par value per share, of the Company (the “Common Stock”). Capitalized terms used herein and not otherwise defined shall have the meanings set forth in the Underwriting Agreement.</w:t>
      </w:r>
    </w:p>
    <w:p>
      <w:pPr>
        <w:spacing w:after="0" w:line="165" w:lineRule="exact"/>
        <w:rPr>
          <w:sz w:val="20"/>
          <w:szCs w:val="20"/>
          <w:color w:val="auto"/>
        </w:rPr>
      </w:pPr>
    </w:p>
    <w:p>
      <w:pPr>
        <w:ind w:right="140" w:firstLine="648"/>
        <w:spacing w:after="0" w:line="248" w:lineRule="auto"/>
        <w:rPr>
          <w:sz w:val="20"/>
          <w:szCs w:val="20"/>
          <w:color w:val="auto"/>
        </w:rPr>
      </w:pPr>
      <w:r>
        <w:rPr>
          <w:rFonts w:ascii="Times New Roman" w:cs="Times New Roman" w:eastAsia="Times New Roman" w:hAnsi="Times New Roman"/>
          <w:sz w:val="22"/>
          <w:szCs w:val="22"/>
          <w:color w:val="auto"/>
        </w:rPr>
        <w:t>In consideration of the Underwriters’ agreement to purchase and make the Public Offering of Common Stock, and for other good and valuable consideration receipt of which is hereby acknowledged, the undersigned hereby agrees that, without the prior written consent of J.P. Morgan Securities LLC, Morgan Stanley &amp; Co. LLC and BofA Securities, Inc. on behalf of the several Underwriters, the undersigned will not, and will not cause any direct or indirect affiliate to, during the period beginning on the date of this letter agreement (this “Letter Agreement”) and ending at the close of business 180 days after the date of the final prospectus relating to the Public Offering (the “Prospectus”) (such period, the “Restricted Period”), (1)</w:t>
      </w:r>
    </w:p>
    <w:p>
      <w:pPr>
        <w:sectPr>
          <w:pgSz w:w="11900" w:h="16838" w:orient="portrait"/>
          <w:cols w:equalWidth="0" w:num="1">
            <w:col w:w="11240"/>
          </w:cols>
          <w:pgMar w:left="320" w:top="1422" w:right="339" w:bottom="1440" w:gutter="0" w:footer="0" w:header="0"/>
        </w:sectPr>
      </w:pPr>
    </w:p>
    <w:bookmarkStart w:id="281" w:name="page282"/>
    <w:bookmarkEnd w:id="281"/>
    <w:p>
      <w:pPr>
        <w:spacing w:after="0" w:line="244" w:lineRule="auto"/>
        <w:rPr>
          <w:sz w:val="20"/>
          <w:szCs w:val="20"/>
          <w:color w:val="auto"/>
        </w:rPr>
      </w:pPr>
      <w:r>
        <w:rPr>
          <w:rFonts w:ascii="Times New Roman" w:cs="Times New Roman" w:eastAsia="Times New Roman" w:hAnsi="Times New Roman"/>
          <w:sz w:val="22"/>
          <w:szCs w:val="22"/>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The undersigned further confirms that it has furnished the Representatives with the details of any transaction the undersigned, or any of its affiliates, is a party to as of the date hereof, which transaction would have been restricted by this Letter Agreement if it had been entered into by the undersigned during the Restricted Period.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Notwithstanding the foregoing, the undersigned may: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transfer the undersigned’s Lock-Up Securities:</w:t>
      </w:r>
    </w:p>
    <w:p>
      <w:pPr>
        <w:spacing w:after="0" w:line="220" w:lineRule="exact"/>
        <w:rPr>
          <w:sz w:val="20"/>
          <w:szCs w:val="20"/>
          <w:color w:val="auto"/>
        </w:rPr>
      </w:pPr>
    </w:p>
    <w:p>
      <w:pPr>
        <w:ind w:left="920" w:hanging="264"/>
        <w:spacing w:after="0"/>
        <w:tabs>
          <w:tab w:leader="none" w:pos="92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bona fide gift or gifts, or for bona fide estate planning purposes,</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will or intestacy,</w:t>
      </w:r>
    </w:p>
    <w:p>
      <w:pPr>
        <w:spacing w:after="0" w:line="219" w:lineRule="exact"/>
        <w:rPr>
          <w:rFonts w:ascii="Times New Roman" w:cs="Times New Roman" w:eastAsia="Times New Roman" w:hAnsi="Times New Roman"/>
          <w:sz w:val="22"/>
          <w:szCs w:val="22"/>
          <w:color w:val="auto"/>
        </w:rPr>
      </w:pPr>
    </w:p>
    <w:p>
      <w:pPr>
        <w:ind w:right="60" w:firstLine="656"/>
        <w:spacing w:after="0" w:line="252" w:lineRule="auto"/>
        <w:tabs>
          <w:tab w:leader="none" w:pos="102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member of the undersigned’s immediate family or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179" w:lineRule="exact"/>
        <w:rPr>
          <w:rFonts w:ascii="Times New Roman" w:cs="Times New Roman" w:eastAsia="Times New Roman" w:hAnsi="Times New Roman"/>
          <w:sz w:val="22"/>
          <w:szCs w:val="22"/>
          <w:color w:val="auto"/>
        </w:rPr>
      </w:pPr>
    </w:p>
    <w:p>
      <w:pPr>
        <w:ind w:right="240" w:firstLine="656"/>
        <w:spacing w:after="0" w:line="271" w:lineRule="auto"/>
        <w:tabs>
          <w:tab w:leader="none" w:pos="1014"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partnership, limited liability company or other entity of which the undersigned and the immediate family of the undersigned are the legal and beneficial owner of all of the outstanding equity securities or similar interests,</w:t>
      </w:r>
    </w:p>
    <w:p>
      <w:pPr>
        <w:sectPr>
          <w:pgSz w:w="11900" w:h="16838" w:orient="portrait"/>
          <w:cols w:equalWidth="0" w:num="1">
            <w:col w:w="11240"/>
          </w:cols>
          <w:pgMar w:left="320" w:top="1422" w:right="339" w:bottom="1440" w:gutter="0" w:footer="0" w:header="0"/>
        </w:sectPr>
      </w:pPr>
    </w:p>
    <w:bookmarkStart w:id="282" w:name="page283"/>
    <w:bookmarkEnd w:id="282"/>
    <w:p>
      <w:pPr>
        <w:ind w:left="952" w:hanging="304"/>
        <w:spacing w:after="0"/>
        <w:tabs>
          <w:tab w:leader="none" w:pos="952"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 nominee or custodian of a person or entity to whom a disposition or transfer would be permissible under clauses</w:t>
      </w:r>
    </w:p>
    <w:p>
      <w:pPr>
        <w:spacing w:after="0" w:line="39" w:lineRule="exact"/>
        <w:rPr>
          <w:rFonts w:ascii="Times New Roman" w:cs="Times New Roman" w:eastAsia="Times New Roman" w:hAnsi="Times New Roman"/>
          <w:sz w:val="21"/>
          <w:szCs w:val="21"/>
          <w:color w:val="auto"/>
        </w:rPr>
      </w:pPr>
    </w:p>
    <w:p>
      <w:pPr>
        <w:ind w:left="252" w:hanging="252"/>
        <w:spacing w:after="0"/>
        <w:tabs>
          <w:tab w:leader="none" w:pos="25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(iv) above,</w:t>
      </w:r>
    </w:p>
    <w:p>
      <w:pPr>
        <w:spacing w:after="0" w:line="195" w:lineRule="exact"/>
        <w:rPr>
          <w:rFonts w:ascii="Times New Roman" w:cs="Times New Roman" w:eastAsia="Times New Roman" w:hAnsi="Times New Roman"/>
          <w:sz w:val="22"/>
          <w:szCs w:val="22"/>
          <w:color w:val="auto"/>
        </w:rPr>
      </w:pPr>
    </w:p>
    <w:p>
      <w:pPr>
        <w:ind w:left="-8" w:firstLine="656"/>
        <w:spacing w:after="0" w:line="248" w:lineRule="auto"/>
        <w:tabs>
          <w:tab w:leader="none" w:pos="1006"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disposition, transfer or distribution to members, limited partners or shareholders of the undersigned,</w:t>
      </w:r>
    </w:p>
    <w:p>
      <w:pPr>
        <w:spacing w:after="0" w:line="181" w:lineRule="exact"/>
        <w:rPr>
          <w:rFonts w:ascii="Times New Roman" w:cs="Times New Roman" w:eastAsia="Times New Roman" w:hAnsi="Times New Roman"/>
          <w:sz w:val="22"/>
          <w:szCs w:val="22"/>
          <w:color w:val="auto"/>
        </w:rPr>
      </w:pPr>
    </w:p>
    <w:p>
      <w:pPr>
        <w:ind w:left="-8" w:right="140" w:firstLine="656"/>
        <w:spacing w:after="0" w:line="271" w:lineRule="auto"/>
        <w:tabs>
          <w:tab w:leader="none" w:pos="1066"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operation of law, such as pursuant to a qualified domestic order, divorce settlement, divorce decree or separation agreement or similar court order,</w:t>
      </w:r>
    </w:p>
    <w:p>
      <w:pPr>
        <w:spacing w:after="0" w:line="157" w:lineRule="exact"/>
        <w:rPr>
          <w:rFonts w:ascii="Times New Roman" w:cs="Times New Roman" w:eastAsia="Times New Roman" w:hAnsi="Times New Roman"/>
          <w:sz w:val="22"/>
          <w:szCs w:val="22"/>
          <w:color w:val="auto"/>
        </w:rPr>
      </w:pPr>
    </w:p>
    <w:p>
      <w:pPr>
        <w:ind w:left="-8" w:right="220" w:firstLine="656"/>
        <w:spacing w:after="0" w:line="295" w:lineRule="auto"/>
        <w:tabs>
          <w:tab w:leader="none" w:pos="1126"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Company in connection with any contractual arrangement that provides for the repurchase of undersigned’s Lock-Up Securities by the Company upon death, disability or termination of service, in each case, of such service provider,</w:t>
      </w:r>
    </w:p>
    <w:p>
      <w:pPr>
        <w:spacing w:after="0" w:line="135" w:lineRule="exact"/>
        <w:rPr>
          <w:rFonts w:ascii="Times New Roman" w:cs="Times New Roman" w:eastAsia="Times New Roman" w:hAnsi="Times New Roman"/>
          <w:sz w:val="21"/>
          <w:szCs w:val="21"/>
          <w:color w:val="auto"/>
        </w:rPr>
      </w:pPr>
    </w:p>
    <w:p>
      <w:pPr>
        <w:ind w:left="-8" w:right="400" w:firstLine="656"/>
        <w:spacing w:after="0" w:line="271" w:lineRule="auto"/>
        <w:tabs>
          <w:tab w:leader="none" w:pos="1006"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acquired from the underwriters in the Public Offering or in open market transactions after the closing date for the Public Offering,</w:t>
      </w:r>
    </w:p>
    <w:p>
      <w:pPr>
        <w:spacing w:after="0" w:line="157" w:lineRule="exact"/>
        <w:rPr>
          <w:rFonts w:ascii="Times New Roman" w:cs="Times New Roman" w:eastAsia="Times New Roman" w:hAnsi="Times New Roman"/>
          <w:sz w:val="22"/>
          <w:szCs w:val="22"/>
          <w:color w:val="auto"/>
        </w:rPr>
      </w:pPr>
    </w:p>
    <w:p>
      <w:pPr>
        <w:ind w:left="-8" w:right="100" w:firstLine="656"/>
        <w:spacing w:after="0" w:line="247" w:lineRule="auto"/>
        <w:tabs>
          <w:tab w:leader="none" w:pos="946"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or</w:t>
      </w:r>
    </w:p>
    <w:p>
      <w:pPr>
        <w:spacing w:after="0" w:line="185" w:lineRule="exact"/>
        <w:rPr>
          <w:rFonts w:ascii="Times New Roman" w:cs="Times New Roman" w:eastAsia="Times New Roman" w:hAnsi="Times New Roman"/>
          <w:sz w:val="22"/>
          <w:szCs w:val="22"/>
          <w:color w:val="auto"/>
        </w:rPr>
      </w:pPr>
    </w:p>
    <w:p>
      <w:pPr>
        <w:ind w:left="-8" w:firstLine="656"/>
        <w:spacing w:after="0" w:line="248" w:lineRule="auto"/>
        <w:tabs>
          <w:tab w:leader="none" w:pos="1006"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more than 50% of the outstanding voting securities of the Company (or the surviving entity));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such tender offer, merger, consolidation or other similar transaction is not completed, the</w:t>
      </w:r>
    </w:p>
    <w:p>
      <w:pPr>
        <w:sectPr>
          <w:pgSz w:w="11900" w:h="16838" w:orient="portrait"/>
          <w:cols w:equalWidth="0" w:num="1">
            <w:col w:w="11192"/>
          </w:cols>
          <w:pgMar w:left="328" w:top="1422" w:right="37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22"/>
          <w:szCs w:val="22"/>
          <w:color w:val="auto"/>
        </w:rPr>
        <w:t>undersigned’s Lock-Up Securities shall remain subject to the provisions of this Letter Agreement;</w:t>
      </w:r>
    </w:p>
    <w:p>
      <w:pPr>
        <w:spacing w:after="0" w:line="220"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in the case of any transfer or distribution pursuant to clauses (a)(i), (ii), (iii), (iv), (v), (vi) and (vii), such transfer shall not involve a disposition for value and each donee, devisee, transferee or distributee shall execute and deliver to the Representatives a lock-up letter in the form of this Letter Agreement, (B) in the case of any transfer or distribution pursuant to clauses (a)(i), (iii), (iv), (v) (vi), and (ix), no filing by any party (donor, donee, devisee, transferor, transferee, distributer or distributee) under the Securities Exchange Act of 1934, as amended (the “Exchange Act”), or other public announcement shall be required or shall be made voluntarily during the Restricted Period in connection with such transfer or distribution (other than a filing on a Form 5 made after the expiration of the Restricted Period) and (C) in the case of any transfer or distribution pursuant to clause (a)(vii), (viii),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179" w:lineRule="exact"/>
        <w:rPr>
          <w:sz w:val="20"/>
          <w:szCs w:val="20"/>
          <w:color w:val="auto"/>
        </w:rPr>
      </w:pPr>
    </w:p>
    <w:p>
      <w:pPr>
        <w:jc w:val="both"/>
        <w:ind w:right="20" w:firstLine="656"/>
        <w:spacing w:after="0" w:line="257" w:lineRule="auto"/>
        <w:tabs>
          <w:tab w:leader="none" w:pos="95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outstanding options, settle restricted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w:t>
      </w:r>
    </w:p>
    <w:p>
      <w:pPr>
        <w:spacing w:after="0" w:line="172" w:lineRule="exact"/>
        <w:rPr>
          <w:rFonts w:ascii="Times New Roman" w:cs="Times New Roman" w:eastAsia="Times New Roman" w:hAnsi="Times New Roman"/>
          <w:sz w:val="22"/>
          <w:szCs w:val="22"/>
          <w:color w:val="auto"/>
        </w:rPr>
      </w:pPr>
    </w:p>
    <w:p>
      <w:pPr>
        <w:ind w:right="340" w:firstLine="656"/>
        <w:spacing w:after="0" w:line="257" w:lineRule="auto"/>
        <w:tabs>
          <w:tab w:leader="none" w:pos="942"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this Letter Agreement; and</w:t>
      </w:r>
    </w:p>
    <w:p>
      <w:pPr>
        <w:spacing w:after="0" w:line="172" w:lineRule="exact"/>
        <w:rPr>
          <w:rFonts w:ascii="Times New Roman" w:cs="Times New Roman" w:eastAsia="Times New Roman" w:hAnsi="Times New Roman"/>
          <w:sz w:val="22"/>
          <w:szCs w:val="22"/>
          <w:color w:val="auto"/>
        </w:rPr>
      </w:pPr>
    </w:p>
    <w:p>
      <w:pPr>
        <w:ind w:right="60" w:firstLine="656"/>
        <w:spacing w:after="0" w:line="252" w:lineRule="auto"/>
        <w:tabs>
          <w:tab w:leader="none" w:pos="95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establish trading plans pursuant to Rule 10b5-1 under the Exchange Act for the transfer of shares of Lock-Up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such plans do not provide for the transfer of Lock-Up Securities during the Restricted Period and (2) no filing by any party under the Exchange Act or other public announcement shall be required or made voluntarily in connection with such trading plan during the Restricted Period.</w:t>
      </w:r>
    </w:p>
    <w:p>
      <w:pPr>
        <w:spacing w:after="0" w:line="179"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2"/>
          <w:szCs w:val="22"/>
          <w:color w:val="auto"/>
        </w:rPr>
        <w:t>If the undersigned is not a natural person, the undersigned represents and warrants that no single natural person, entity or “group” (within the meaning of Section 13(d)(3) of the Exchange Act) beneficially owns, directly or indirectly, 50% or more of the common equity interests, or 50% or more of the voting power, in the undersigned.</w:t>
      </w:r>
    </w:p>
    <w:p>
      <w:pPr>
        <w:spacing w:after="0" w:line="173" w:lineRule="exact"/>
        <w:rPr>
          <w:sz w:val="20"/>
          <w:szCs w:val="20"/>
          <w:color w:val="auto"/>
        </w:rPr>
      </w:pPr>
    </w:p>
    <w:p>
      <w:pPr>
        <w:ind w:right="240" w:firstLine="648"/>
        <w:spacing w:after="0" w:line="295" w:lineRule="auto"/>
        <w:rPr>
          <w:sz w:val="20"/>
          <w:szCs w:val="20"/>
          <w:color w:val="auto"/>
        </w:rPr>
      </w:pPr>
      <w:r>
        <w:rPr>
          <w:rFonts w:ascii="Times New Roman" w:cs="Times New Roman" w:eastAsia="Times New Roman" w:hAnsi="Times New Roman"/>
          <w:sz w:val="21"/>
          <w:szCs w:val="21"/>
          <w:color w:val="auto"/>
        </w:rPr>
        <w:t>If the undersigned is an officer or director of the Company, the undersigned further agrees that the foregoing provisions shall be equally applicable to any Company-directed Securities the undersigned may purchase in the Public Offering.</w:t>
      </w:r>
    </w:p>
    <w:p>
      <w:pPr>
        <w:sectPr>
          <w:pgSz w:w="11900" w:h="16838" w:orient="portrait"/>
          <w:cols w:equalWidth="0" w:num="1">
            <w:col w:w="11220"/>
          </w:cols>
          <w:pgMar w:left="320" w:top="1422" w:right="359" w:bottom="1440" w:gutter="0" w:footer="0" w:header="0"/>
        </w:sectPr>
      </w:pPr>
    </w:p>
    <w:bookmarkStart w:id="284" w:name="page285"/>
    <w:bookmarkEnd w:id="284"/>
    <w:p>
      <w:pPr>
        <w:ind w:right="60" w:firstLine="648"/>
        <w:spacing w:after="0" w:line="258" w:lineRule="auto"/>
        <w:rPr>
          <w:sz w:val="20"/>
          <w:szCs w:val="20"/>
          <w:color w:val="auto"/>
        </w:rPr>
      </w:pPr>
      <w:r>
        <w:rPr>
          <w:rFonts w:ascii="Times New Roman" w:cs="Times New Roman" w:eastAsia="Times New Roman" w:hAnsi="Times New Roman"/>
          <w:sz w:val="21"/>
          <w:szCs w:val="21"/>
          <w:color w:val="auto"/>
        </w:rPr>
        <w:t>If the undersigned is an officer or director of the Company, (i) J.P. Morgan Securities LLC, Morgan Stanley &amp; Co. LLC and BofA Securities, Inc. on behalf of the several Underwriters agree that, at least three business days before the effective date of any release or waiver of the foregoing restrictions in connection with a transfer of shares of Lock-Up Securities, J.P. Morgan Securities LLC, Morgan Stanley &amp; Co. LLC and BofA Securities, Inc. on behalf of the several Underwriters will notify the Company of the impending release or waiver, and (ii) the Company has agreed in the Underwriting Agreement to announce the impending release or waiver through a major news service at least two business days before the effective date of the release or waiver. Any release or waiver granted by J.P. Morgan Securities LLC, Morgan Stanley &amp; Co. LLC and BofA Securities, Inc. on behalf of the several Underwriters hereunder to any such officer or director shall only be effective two business days after the publication date of such announcement. The provisions of this paragraph will not apply if (a) the release or waiver is effected solely to permit a transfer not for consideration or that is to an immediate family member as defined in FINRA Rule 5130(i)(5) and (b) the transferee has agreed in writing to be bound by the same terms described in this Letter Agreement to the extent and for the duration that such terms remain in effect at the time of the transfer.</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[In the event that, during the Lock-Up Period, J.P. Morgan Securities LLC, Morgan Stanley &amp; Co. LLC and BofA Securities, Inc. on behalf of the several Underwriters release or waive any prohibition set forth in this Lock-Up Agreement on the transfer of shares of Lock-Up Securities held by any Significant Holder (as defined below), the same percentage of the total number of outstanding shares of Lock-Up Securities held by the undersigned as the percentage of the total number of outstanding shares of Lock-Up Securities held by such Significant Holder that are the subject of such waiver shall be immediately and fully released on the same terms from the applicable prohibition(s) set forth herein. For the purposes of the foregoing, a “Significant Holder” shall mean any person or entity that beneficially owns 5% or more of the total outstanding shares of Lock-Up Securities as of the date hereof. Notwithstanding the foregoing, the provisions of this paragraph will not apply (1) if the release or waiver is effected solely to permit a transfer not involving a disposition for value and the transferee agrees in writing to be bound by the same terms described in this Lock-Up Agreement to the extent and for the duration that such terms remain in effect at the time of transfer, (2) in the case of any secondary underwritten public offering of Common Stock. J.P. Morgan Securities LLC, Morgan Stanley &amp; Co. LLC and BofA Securities, Inc. on behalf of the several Underwriters shall use commercially reasonable efforts to promptly notify the Company of each such release (provided that the failure to provide such notice shall not give rise to any claim or liability against the J.P. Morgan Securities LLC, Morgan Stanley &amp; Co. LLC and BofA Securities, Inc., as Representatives, or the Underwriters), (3) if the release or waiver is granted to any individual party by the J.P. Morgan Securities LLC, Morgan Stanley &amp; Co. LLC and BofA Securities, Inc. on behalf of the several Underwriters in an amount, individually or in the aggregate, less than or equal to $2,500,000 in value of Common Stock or (4) if the release or waiver is granted due to circumstances of an emergency or hardship as determined by the J.P. Morgan Securities LLC, Morgan Stanley &amp; Co. LLC and BofA Securities, Inc. on behalf of the several Underwriters in their sole judgment. The undersigned further acknowledges that J.P. Morgan Securities LLC, Morgan Stanley &amp; Co. LLC and BofA Securities, Inc. on behalf of the several Underwriters are under no obligation to inquire into whether, or to ensure that, the Company notifies the</w:t>
      </w:r>
    </w:p>
    <w:p>
      <w:pPr>
        <w:sectPr>
          <w:pgSz w:w="11900" w:h="16838" w:orient="portrait"/>
          <w:cols w:equalWidth="0" w:num="1">
            <w:col w:w="11240"/>
          </w:cols>
          <w:pgMar w:left="320" w:top="1422" w:right="339" w:bottom="1440" w:gutter="0" w:footer="0" w:header="0"/>
        </w:sectPr>
      </w:pPr>
    </w:p>
    <w:bookmarkStart w:id="285" w:name="page286"/>
    <w:bookmarkEnd w:id="285"/>
    <w:p>
      <w:pPr>
        <w:spacing w:after="0" w:line="274" w:lineRule="auto"/>
        <w:rPr>
          <w:sz w:val="20"/>
          <w:szCs w:val="20"/>
          <w:color w:val="auto"/>
        </w:rPr>
      </w:pPr>
      <w:r>
        <w:rPr>
          <w:rFonts w:ascii="Times New Roman" w:cs="Times New Roman" w:eastAsia="Times New Roman" w:hAnsi="Times New Roman"/>
          <w:sz w:val="22"/>
          <w:szCs w:val="22"/>
          <w:color w:val="auto"/>
        </w:rPr>
        <w:t>undersigned of the delivery by J.P. Morgan Securities LLC, Morgan Stanley &amp; Co. LLC and BofA Securities, Inc. of any such notice, which is a matter between the undersigned and the Company.]</w:t>
      </w:r>
      <w:r>
        <w:rPr>
          <w:rFonts w:ascii="Times New Roman" w:cs="Times New Roman" w:eastAsia="Times New Roman" w:hAnsi="Times New Roman"/>
          <w:sz w:val="28"/>
          <w:szCs w:val="28"/>
          <w:color w:val="auto"/>
          <w:vertAlign w:val="superscript"/>
        </w:rPr>
        <w:t>1</w:t>
      </w:r>
    </w:p>
    <w:p>
      <w:pPr>
        <w:spacing w:after="0" w:line="73"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2"/>
          <w:szCs w:val="22"/>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3" w:lineRule="exact"/>
        <w:rPr>
          <w:sz w:val="20"/>
          <w:szCs w:val="20"/>
          <w:color w:val="auto"/>
        </w:rPr>
      </w:pPr>
    </w:p>
    <w:p>
      <w:pPr>
        <w:ind w:right="180" w:firstLine="648"/>
        <w:spacing w:after="0" w:line="260" w:lineRule="auto"/>
        <w:rPr>
          <w:sz w:val="20"/>
          <w:szCs w:val="20"/>
          <w:color w:val="auto"/>
        </w:rPr>
      </w:pPr>
      <w:r>
        <w:rPr>
          <w:rFonts w:ascii="Times New Roman" w:cs="Times New Roman" w:eastAsia="Times New Roman" w:hAnsi="Times New Roman"/>
          <w:sz w:val="21"/>
          <w:szCs w:val="21"/>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enter into this Letter Agreement, participate in the Public Offering, or sell any Shares at the price determined in the Public Offering, and nothing set forth in such disclosures is intended to suggest that the Representatives or any Underwriter is making such a recommendation.</w:t>
      </w:r>
    </w:p>
    <w:p>
      <w:pPr>
        <w:spacing w:after="0" w:line="175"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22"/>
          <w:szCs w:val="22"/>
          <w:color w:val="auto"/>
        </w:rPr>
        <w:t>The undersigned shall be automatically be released from all obligations under this Letter Agreement (A) if the Underwriting Agreement does not become effective by February 28, 2021 provided; however, that the Company may, by written notice to the undersigned prior to such date, extend such date for a period of up to three additional months, (B) if the Underwriting Agreement (other than the provisions thereof which survive termination) shall terminate or be terminated prior to payment for and delivery of the Common Stock to be sold thereunder, (C) either the Company, on the one hand, or the Representatives, on the other hand, notifies the other in writing prior to the execution of the Underwriting Agreement that it does not intend to proceed with the Public Offering, or (D) if the registration statement filed with the Securities and Exchange Commission in connection with the Public Offering is withdrawn prior to the execution of the Underwriting Agreement. The undersigned understands that the Underwriters are entering into the Underwriting Agreement and proceeding with the Public Offering in reliance upon this Letter Agreement.</w:t>
      </w:r>
    </w:p>
    <w:p>
      <w:pPr>
        <w:spacing w:after="0" w:line="188"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This Letter Agreement and any claim, controversy or dispute arising under or related to this Letter Agreement shall be governed by and construed in accordance with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714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1" w:lineRule="exact"/>
        <w:rPr>
          <w:sz w:val="20"/>
          <w:szCs w:val="20"/>
          <w:color w:val="auto"/>
        </w:rPr>
      </w:pPr>
    </w:p>
    <w:p>
      <w:pPr>
        <w:ind w:left="120" w:hanging="112"/>
        <w:spacing w:after="0"/>
        <w:tabs>
          <w:tab w:leader="none" w:pos="120" w:val="left"/>
        </w:tabs>
        <w:numPr>
          <w:ilvl w:val="0"/>
          <w:numId w:val="20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included in the lockups of certain stockholders.</w:t>
      </w:r>
    </w:p>
    <w:p>
      <w:pPr>
        <w:sectPr>
          <w:pgSz w:w="11900" w:h="16838" w:orient="portrait"/>
          <w:cols w:equalWidth="0" w:num="1">
            <w:col w:w="11220"/>
          </w:cols>
          <w:pgMar w:left="320" w:top="1422" w:right="359" w:bottom="1440" w:gutter="0" w:footer="0" w:header="0"/>
        </w:sectPr>
      </w:pPr>
    </w:p>
    <w:bookmarkStart w:id="286" w:name="page287"/>
    <w:bookmarkEnd w:id="286"/>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Very truly yours,</w:t>
            </w:r>
          </w:p>
        </w:tc>
      </w:tr>
      <w:tr>
        <w:trPr>
          <w:trHeight w:val="548"/>
        </w:trPr>
        <w:tc>
          <w:tcPr>
            <w:tcW w:w="5640" w:type="dxa"/>
            <w:vAlign w:val="bottom"/>
            <w:gridSpan w:val="4"/>
          </w:tcPr>
          <w:p>
            <w:pPr>
              <w:ind w:left="20"/>
              <w:spacing w:after="0"/>
              <w:rPr>
                <w:sz w:val="20"/>
                <w:szCs w:val="20"/>
                <w:color w:val="auto"/>
              </w:rPr>
            </w:pPr>
            <w:r>
              <w:rPr>
                <w:rFonts w:ascii="Times New Roman" w:cs="Times New Roman" w:eastAsia="Times New Roman" w:hAnsi="Times New Roman"/>
                <w:sz w:val="20"/>
                <w:szCs w:val="20"/>
                <w:b w:val="1"/>
                <w:bCs w:val="1"/>
                <w:color w:val="auto"/>
              </w:rPr>
              <w:t>IF A NATURAL PERSON:</w:t>
            </w:r>
          </w:p>
        </w:tc>
        <w:tc>
          <w:tcPr>
            <w:tcW w:w="514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rPr>
              <w:t>IF AN ENTITY OR TRUST:</w:t>
            </w:r>
          </w:p>
        </w:tc>
      </w:tr>
      <w:tr>
        <w:trPr>
          <w:trHeight w:val="553"/>
        </w:trPr>
        <w:tc>
          <w:tcPr>
            <w:tcW w:w="56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1"/>
        </w:trPr>
        <w:tc>
          <w:tcPr>
            <w:tcW w:w="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r>
      <w:tr>
        <w:trPr>
          <w:trHeight w:val="256"/>
        </w:trPr>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76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i w:val="1"/>
                <w:iCs w:val="1"/>
                <w:color w:val="auto"/>
                <w:w w:val="99"/>
              </w:rPr>
              <w:t>(Duly authorized signature)</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300" w:type="dxa"/>
            <w:vAlign w:val="bottom"/>
          </w:tcPr>
          <w:p>
            <w:pPr>
              <w:ind w:left="220"/>
              <w:spacing w:after="0"/>
              <w:rPr>
                <w:sz w:val="20"/>
                <w:szCs w:val="20"/>
                <w:color w:val="auto"/>
              </w:rPr>
            </w:pPr>
            <w:r>
              <w:rPr>
                <w:rFonts w:ascii="Times New Roman" w:cs="Times New Roman" w:eastAsia="Times New Roman" w:hAnsi="Times New Roman"/>
                <w:sz w:val="20"/>
                <w:szCs w:val="20"/>
                <w:i w:val="1"/>
                <w:iCs w:val="1"/>
                <w:color w:val="auto"/>
              </w:rPr>
              <w:t>(Please print complete name of entity)</w:t>
            </w:r>
          </w:p>
        </w:tc>
      </w:tr>
      <w:tr>
        <w:trPr>
          <w:trHeight w:val="554"/>
        </w:trPr>
        <w:tc>
          <w:tcPr>
            <w:tcW w:w="56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51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By:</w:t>
            </w:r>
          </w:p>
        </w:tc>
      </w:tr>
      <w:tr>
        <w:trPr>
          <w:trHeight w:val="21"/>
        </w:trPr>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r>
      <w:tr>
        <w:trPr>
          <w:trHeight w:val="256"/>
        </w:trPr>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76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i w:val="1"/>
                <w:iCs w:val="1"/>
                <w:color w:val="auto"/>
                <w:w w:val="99"/>
              </w:rPr>
              <w:t>(Please print full name)</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(Duly authorized signature)</w:t>
            </w:r>
          </w:p>
        </w:tc>
      </w:tr>
      <w:tr>
        <w:trPr>
          <w:trHeight w:val="553"/>
        </w:trPr>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1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Name:</w:t>
            </w:r>
          </w:p>
        </w:tc>
      </w:tr>
      <w:tr>
        <w:trPr>
          <w:trHeight w:val="21"/>
        </w:trPr>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r>
      <w:tr>
        <w:trPr>
          <w:trHeight w:val="256"/>
        </w:trPr>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300" w:type="dxa"/>
            <w:vAlign w:val="bottom"/>
          </w:tcPr>
          <w:p>
            <w:pPr>
              <w:ind w:left="1220"/>
              <w:spacing w:after="0"/>
              <w:rPr>
                <w:sz w:val="20"/>
                <w:szCs w:val="20"/>
                <w:color w:val="auto"/>
              </w:rPr>
            </w:pPr>
            <w:r>
              <w:rPr>
                <w:rFonts w:ascii="Times New Roman" w:cs="Times New Roman" w:eastAsia="Times New Roman" w:hAnsi="Times New Roman"/>
                <w:sz w:val="20"/>
                <w:szCs w:val="20"/>
                <w:i w:val="1"/>
                <w:iCs w:val="1"/>
                <w:color w:val="auto"/>
              </w:rPr>
              <w:t>(Please print full name)</w:t>
            </w:r>
          </w:p>
        </w:tc>
      </w:tr>
      <w:tr>
        <w:trPr>
          <w:trHeight w:val="554"/>
        </w:trPr>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1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Title:</w:t>
            </w:r>
          </w:p>
        </w:tc>
      </w:tr>
      <w:tr>
        <w:trPr>
          <w:trHeight w:val="21"/>
        </w:trPr>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r>
      <w:tr>
        <w:trPr>
          <w:trHeight w:val="256"/>
        </w:trPr>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20"/>
                <w:szCs w:val="20"/>
                <w:i w:val="1"/>
                <w:iCs w:val="1"/>
                <w:color w:val="auto"/>
              </w:rPr>
              <w:t>(Please print full title)</w:t>
            </w:r>
          </w:p>
        </w:tc>
      </w:tr>
      <w:tr>
        <w:trPr>
          <w:trHeight w:val="553"/>
        </w:trPr>
        <w:tc>
          <w:tcPr>
            <w:tcW w:w="56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Address:</w:t>
            </w:r>
          </w:p>
        </w:tc>
        <w:tc>
          <w:tcPr>
            <w:tcW w:w="51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Address:</w:t>
            </w:r>
          </w:p>
        </w:tc>
      </w:tr>
      <w:tr>
        <w:trPr>
          <w:trHeight w:val="440"/>
        </w:trPr>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r>
        <w:trPr>
          <w:trHeight w:val="412"/>
        </w:trPr>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pacing w:after="0" w:line="153"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31115</wp:posOffset>
            </wp:positionV>
            <wp:extent cx="62922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780"/>
          </w:cols>
          <w:pgMar w:left="780" w:top="1440" w:right="33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 OF INCORPORATION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SEER,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Sections 242 and 245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General Corporation Law of the State of Delaware)</w:t>
      </w:r>
    </w:p>
    <w:p>
      <w:pPr>
        <w:spacing w:after="0" w:line="142"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Seer, Inc., a corporation organized and existing under and by virtue of the provisions of the General Corporation Law of the State of Delaware (the “</w:t>
      </w:r>
      <w:r>
        <w:rPr>
          <w:rFonts w:ascii="Times New Roman" w:cs="Times New Roman" w:eastAsia="Times New Roman" w:hAnsi="Times New Roman"/>
          <w:sz w:val="22"/>
          <w:szCs w:val="22"/>
          <w:b w:val="1"/>
          <w:bCs w:val="1"/>
          <w:color w:val="auto"/>
        </w:rPr>
        <w:t>General Corporation Law</w:t>
      </w:r>
      <w:r>
        <w:rPr>
          <w:rFonts w:ascii="Times New Roman" w:cs="Times New Roman" w:eastAsia="Times New Roman" w:hAnsi="Times New Roman"/>
          <w:sz w:val="22"/>
          <w:szCs w:val="22"/>
          <w:color w:val="auto"/>
        </w:rPr>
        <w:t>”),</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DOES HEREBY CERTIFY:</w:t>
      </w:r>
    </w:p>
    <w:p>
      <w:pPr>
        <w:spacing w:after="0" w:line="170" w:lineRule="exact"/>
        <w:rPr>
          <w:sz w:val="20"/>
          <w:szCs w:val="20"/>
          <w:color w:val="auto"/>
        </w:rPr>
      </w:pPr>
    </w:p>
    <w:p>
      <w:pPr>
        <w:ind w:right="700" w:firstLine="1304"/>
        <w:spacing w:after="0" w:line="271" w:lineRule="auto"/>
        <w:tabs>
          <w:tab w:leader="none" w:pos="1944"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the name of this corporation is Seer, Inc., and that this corporation was originally incorporated pursuant to the General Corporation Law on March 16, 2017 under the name Seer Biosciences, Inc.</w:t>
      </w:r>
    </w:p>
    <w:p>
      <w:pPr>
        <w:spacing w:after="0" w:line="103" w:lineRule="exact"/>
        <w:rPr>
          <w:rFonts w:ascii="Times New Roman" w:cs="Times New Roman" w:eastAsia="Times New Roman" w:hAnsi="Times New Roman"/>
          <w:sz w:val="22"/>
          <w:szCs w:val="22"/>
          <w:b w:val="1"/>
          <w:bCs w:val="1"/>
          <w:color w:val="auto"/>
        </w:rPr>
      </w:pPr>
    </w:p>
    <w:p>
      <w:pPr>
        <w:ind w:right="460" w:firstLine="1304"/>
        <w:spacing w:after="0" w:line="252" w:lineRule="auto"/>
        <w:tabs>
          <w:tab w:leader="none" w:pos="1944"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21" w:lineRule="exact"/>
        <w:rPr>
          <w:sz w:val="20"/>
          <w:szCs w:val="20"/>
          <w:color w:val="auto"/>
        </w:rPr>
      </w:pPr>
    </w:p>
    <w:p>
      <w:pPr>
        <w:ind w:right="44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RESOLVED</w:t>
      </w:r>
      <w:r>
        <w:rPr>
          <w:rFonts w:ascii="Times New Roman" w:cs="Times New Roman" w:eastAsia="Times New Roman" w:hAnsi="Times New Roman"/>
          <w:sz w:val="22"/>
          <w:szCs w:val="22"/>
          <w:color w:val="auto"/>
        </w:rPr>
        <w:t>, that the Certificate of Incorporation of this corporation, as previously amended and restated,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and restated in its entirety to read as follows:</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FIRST: </w:t>
      </w:r>
      <w:r>
        <w:rPr>
          <w:rFonts w:ascii="Times New Roman" w:cs="Times New Roman" w:eastAsia="Times New Roman" w:hAnsi="Times New Roman"/>
          <w:sz w:val="22"/>
          <w:szCs w:val="22"/>
          <w:color w:val="auto"/>
        </w:rPr>
        <w:t>The name of this corporation is Seer,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right="80"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SECOND: </w:t>
      </w:r>
      <w:r>
        <w:rPr>
          <w:rFonts w:ascii="Times New Roman" w:cs="Times New Roman" w:eastAsia="Times New Roman" w:hAnsi="Times New Roman"/>
          <w:sz w:val="22"/>
          <w:szCs w:val="22"/>
          <w:color w:val="auto"/>
        </w:rPr>
        <w:t>The address of the registered office of the Corporation in the State of Delaware is 1209 Orange Street,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Wilmington, Delaware, 19801, County of New Castle. The name of its registered agent at such address is The Corporation Trust Company.</w:t>
      </w:r>
    </w:p>
    <w:p>
      <w:pPr>
        <w:spacing w:after="0" w:line="112" w:lineRule="exact"/>
        <w:rPr>
          <w:sz w:val="20"/>
          <w:szCs w:val="20"/>
          <w:color w:val="auto"/>
        </w:rPr>
      </w:pPr>
    </w:p>
    <w:p>
      <w:pPr>
        <w:ind w:right="42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THIRD: </w:t>
      </w:r>
      <w:r>
        <w:rPr>
          <w:rFonts w:ascii="Times New Roman" w:cs="Times New Roman" w:eastAsia="Times New Roman" w:hAnsi="Times New Roman"/>
          <w:sz w:val="22"/>
          <w:szCs w:val="22"/>
          <w:color w:val="auto"/>
        </w:rPr>
        <w:t>The nature of the business or purposes to be conducted or promoted is to engage in any lawful act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activity for which corporations may be organized under the General Corporation Law.</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b w:val="1"/>
          <w:bCs w:val="1"/>
          <w:color w:val="auto"/>
        </w:rPr>
        <w:t xml:space="preserve">FOURTH: </w:t>
      </w:r>
      <w:r>
        <w:rPr>
          <w:rFonts w:ascii="Times New Roman" w:cs="Times New Roman" w:eastAsia="Times New Roman" w:hAnsi="Times New Roman"/>
          <w:sz w:val="21"/>
          <w:szCs w:val="21"/>
          <w:color w:val="auto"/>
        </w:rPr>
        <w:t>The total number of shares of all classes of stock which the Corporation shall have authority to issue is</w:t>
      </w:r>
    </w:p>
    <w:p>
      <w:pPr>
        <w:spacing w:after="0" w:line="43" w:lineRule="exact"/>
        <w:rPr>
          <w:sz w:val="20"/>
          <w:szCs w:val="20"/>
          <w:color w:val="auto"/>
        </w:rPr>
      </w:pPr>
    </w:p>
    <w:p>
      <w:pPr>
        <w:ind w:right="360" w:firstLine="8"/>
        <w:spacing w:after="0" w:line="244" w:lineRule="auto"/>
        <w:tabs>
          <w:tab w:leader="none" w:pos="258"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120,000,000 shares of Class A Common Stock, $0.00001 par value per share (“</w:t>
      </w:r>
      <w:r>
        <w:rPr>
          <w:rFonts w:ascii="Times New Roman" w:cs="Times New Roman" w:eastAsia="Times New Roman" w:hAnsi="Times New Roman"/>
          <w:sz w:val="22"/>
          <w:szCs w:val="22"/>
          <w:b w:val="1"/>
          <w:bCs w:val="1"/>
          <w:color w:val="auto"/>
        </w:rPr>
        <w:t>Class A Common Stock</w:t>
      </w:r>
      <w:r>
        <w:rPr>
          <w:rFonts w:ascii="Times New Roman" w:cs="Times New Roman" w:eastAsia="Times New Roman" w:hAnsi="Times New Roman"/>
          <w:sz w:val="22"/>
          <w:szCs w:val="22"/>
          <w:color w:val="auto"/>
        </w:rPr>
        <w:t>”), (ii) 20,000,000 shares of Class B Common Stock, $0.00001 par value per share (“</w:t>
      </w:r>
      <w:r>
        <w:rPr>
          <w:rFonts w:ascii="Times New Roman" w:cs="Times New Roman" w:eastAsia="Times New Roman" w:hAnsi="Times New Roman"/>
          <w:sz w:val="22"/>
          <w:szCs w:val="22"/>
          <w:b w:val="1"/>
          <w:bCs w:val="1"/>
          <w:color w:val="auto"/>
        </w:rPr>
        <w:t>Class B Common Stock</w:t>
      </w:r>
      <w:r>
        <w:rPr>
          <w:rFonts w:ascii="Times New Roman" w:cs="Times New Roman" w:eastAsia="Times New Roman" w:hAnsi="Times New Roman"/>
          <w:sz w:val="22"/>
          <w:szCs w:val="22"/>
          <w:color w:val="auto"/>
        </w:rPr>
        <w:t>” and, together with the Class A Common Stock,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and (iii) 62,117,414 shares of Preferred Stock, $0.00001 par value per share (“</w:t>
      </w:r>
      <w:r>
        <w:rPr>
          <w:rFonts w:ascii="Times New Roman" w:cs="Times New Roman" w:eastAsia="Times New Roman" w:hAnsi="Times New Roman"/>
          <w:sz w:val="22"/>
          <w:szCs w:val="22"/>
          <w:b w:val="1"/>
          <w:bCs w:val="1"/>
          <w:color w:val="auto"/>
        </w:rPr>
        <w:t>Preferred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Stock</w:t>
      </w:r>
      <w:r>
        <w:rPr>
          <w:rFonts w:ascii="Times New Roman" w:cs="Times New Roman" w:eastAsia="Times New Roman" w:hAnsi="Times New Roman"/>
          <w:sz w:val="22"/>
          <w:szCs w:val="22"/>
          <w:color w:val="auto"/>
        </w:rPr>
        <w:t>”), of which 6,607,201 shall be designated “</w:t>
      </w:r>
      <w:r>
        <w:rPr>
          <w:rFonts w:ascii="Times New Roman" w:cs="Times New Roman" w:eastAsia="Times New Roman" w:hAnsi="Times New Roman"/>
          <w:sz w:val="22"/>
          <w:szCs w:val="22"/>
          <w:b w:val="1"/>
          <w:bCs w:val="1"/>
          <w:color w:val="auto"/>
        </w:rPr>
        <w:t>Series A Preferred Stock</w:t>
      </w:r>
      <w:r>
        <w:rPr>
          <w:rFonts w:ascii="Times New Roman" w:cs="Times New Roman" w:eastAsia="Times New Roman" w:hAnsi="Times New Roman"/>
          <w:sz w:val="22"/>
          <w:szCs w:val="22"/>
          <w:color w:val="auto"/>
        </w:rPr>
        <w:t>,” 16,920,470 shall be designated “</w:t>
      </w:r>
      <w:r>
        <w:rPr>
          <w:rFonts w:ascii="Times New Roman" w:cs="Times New Roman" w:eastAsia="Times New Roman" w:hAnsi="Times New Roman"/>
          <w:sz w:val="22"/>
          <w:szCs w:val="22"/>
          <w:b w:val="1"/>
          <w:bCs w:val="1"/>
          <w:color w:val="auto"/>
        </w:rPr>
        <w:t>Series B Preferred Stock</w:t>
      </w:r>
      <w:r>
        <w:rPr>
          <w:rFonts w:ascii="Times New Roman" w:cs="Times New Roman" w:eastAsia="Times New Roman" w:hAnsi="Times New Roman"/>
          <w:sz w:val="22"/>
          <w:szCs w:val="22"/>
          <w:color w:val="auto"/>
        </w:rPr>
        <w:t>,” 7,000,000 shall be designated “</w:t>
      </w:r>
      <w:r>
        <w:rPr>
          <w:rFonts w:ascii="Times New Roman" w:cs="Times New Roman" w:eastAsia="Times New Roman" w:hAnsi="Times New Roman"/>
          <w:sz w:val="22"/>
          <w:szCs w:val="22"/>
          <w:b w:val="1"/>
          <w:bCs w:val="1"/>
          <w:color w:val="auto"/>
        </w:rPr>
        <w:t>Series C Preferred Stock</w:t>
      </w:r>
      <w:r>
        <w:rPr>
          <w:rFonts w:ascii="Times New Roman" w:cs="Times New Roman" w:eastAsia="Times New Roman" w:hAnsi="Times New Roman"/>
          <w:sz w:val="22"/>
          <w:szCs w:val="22"/>
          <w:color w:val="auto"/>
        </w:rPr>
        <w:t>,” 16,923,077 shall be designated “</w:t>
      </w:r>
      <w:r>
        <w:rPr>
          <w:rFonts w:ascii="Times New Roman" w:cs="Times New Roman" w:eastAsia="Times New Roman" w:hAnsi="Times New Roman"/>
          <w:sz w:val="22"/>
          <w:szCs w:val="22"/>
          <w:b w:val="1"/>
          <w:bCs w:val="1"/>
          <w:color w:val="auto"/>
        </w:rPr>
        <w:t>Series D Preferred Stock</w:t>
      </w:r>
      <w:r>
        <w:rPr>
          <w:rFonts w:ascii="Times New Roman" w:cs="Times New Roman" w:eastAsia="Times New Roman" w:hAnsi="Times New Roman"/>
          <w:sz w:val="22"/>
          <w:szCs w:val="22"/>
          <w:color w:val="auto"/>
        </w:rPr>
        <w:t>” and 14,666,666 shall be designated “</w:t>
      </w:r>
      <w:r>
        <w:rPr>
          <w:rFonts w:ascii="Times New Roman" w:cs="Times New Roman" w:eastAsia="Times New Roman" w:hAnsi="Times New Roman"/>
          <w:sz w:val="22"/>
          <w:szCs w:val="22"/>
          <w:b w:val="1"/>
          <w:bCs w:val="1"/>
          <w:color w:val="auto"/>
        </w:rPr>
        <w:t>Series D-1 Preferred Stock</w:t>
      </w:r>
      <w:r>
        <w:rPr>
          <w:rFonts w:ascii="Times New Roman" w:cs="Times New Roman" w:eastAsia="Times New Roman" w:hAnsi="Times New Roman"/>
          <w:sz w:val="22"/>
          <w:szCs w:val="22"/>
          <w:color w:val="auto"/>
        </w:rPr>
        <w:t>.”</w:t>
      </w:r>
    </w:p>
    <w:p>
      <w:pPr>
        <w:spacing w:after="0" w:line="134"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The following is a statement of the designations and the powers, privileges and rights, and the qualifications, limitations or restrictions thereof in respect of each class of capital stock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- 1 -</w:t>
      </w:r>
    </w:p>
    <w:p>
      <w:pPr>
        <w:sectPr>
          <w:pgSz w:w="11900" w:h="16838" w:orient="portrait"/>
          <w:cols w:equalWidth="0" w:num="1">
            <w:col w:w="11240"/>
          </w:cols>
          <w:pgMar w:left="320" w:top="117" w:right="339" w:bottom="1440" w:gutter="0" w:footer="0" w:header="0"/>
        </w:sectPr>
      </w:pPr>
    </w:p>
    <w:bookmarkStart w:id="288" w:name="page289"/>
    <w:bookmarkEnd w:id="288"/>
    <w:p>
      <w:pPr>
        <w:spacing w:after="0" w:line="198" w:lineRule="exact"/>
        <w:rPr>
          <w:sz w:val="20"/>
          <w:szCs w:val="20"/>
          <w:color w:val="auto"/>
        </w:rPr>
      </w:pPr>
    </w:p>
    <w:p>
      <w:pPr>
        <w:ind w:left="644" w:hanging="644"/>
        <w:spacing w:after="0"/>
        <w:tabs>
          <w:tab w:leader="none" w:pos="64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w:t>
      </w:r>
    </w:p>
    <w:p>
      <w:pPr>
        <w:spacing w:after="0" w:line="165" w:lineRule="exact"/>
        <w:rPr>
          <w:rFonts w:ascii="Times New Roman" w:cs="Times New Roman" w:eastAsia="Times New Roman" w:hAnsi="Times New Roman"/>
          <w:sz w:val="22"/>
          <w:szCs w:val="22"/>
          <w:color w:val="auto"/>
        </w:rPr>
      </w:pPr>
    </w:p>
    <w:p>
      <w:pPr>
        <w:ind w:left="-656" w:right="20" w:firstLine="1304"/>
        <w:spacing w:after="0" w:line="271" w:lineRule="auto"/>
        <w:tabs>
          <w:tab w:leader="none" w:pos="1288"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voting, dividend and liquidation rights of the holders of the Common Stock are subject to and qualified by the rights, powers and preferences of the holders of the Preferred Stock set forth herein.</w:t>
      </w:r>
    </w:p>
    <w:p>
      <w:pPr>
        <w:spacing w:after="0" w:line="103" w:lineRule="exact"/>
        <w:rPr>
          <w:rFonts w:ascii="Times New Roman" w:cs="Times New Roman" w:eastAsia="Times New Roman" w:hAnsi="Times New Roman"/>
          <w:sz w:val="22"/>
          <w:szCs w:val="22"/>
          <w:color w:val="auto"/>
        </w:rPr>
      </w:pPr>
    </w:p>
    <w:p>
      <w:pPr>
        <w:ind w:left="-656" w:right="300" w:firstLine="1304"/>
        <w:spacing w:after="0" w:line="252" w:lineRule="auto"/>
        <w:tabs>
          <w:tab w:leader="none" w:pos="1288"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Equal Status</w:t>
      </w:r>
      <w:r>
        <w:rPr>
          <w:rFonts w:ascii="Times New Roman" w:cs="Times New Roman" w:eastAsia="Times New Roman" w:hAnsi="Times New Roman"/>
          <w:sz w:val="22"/>
          <w:szCs w:val="22"/>
          <w:color w:val="auto"/>
        </w:rPr>
        <w:t>. Except as otherwise provided in this Certificate of Incorporation or required by applicable law, shares of Class A Common Stock and Class B Common Stock shall have the same rights and powers, rank equally (including as to dividends and distributions, and upon any liquidation, dissolution or winding up of the Corporation), share ratably and be identical in all respects and as to all matters.</w:t>
      </w:r>
    </w:p>
    <w:p>
      <w:pPr>
        <w:spacing w:after="0" w:line="125" w:lineRule="exact"/>
        <w:rPr>
          <w:rFonts w:ascii="Times New Roman" w:cs="Times New Roman" w:eastAsia="Times New Roman" w:hAnsi="Times New Roman"/>
          <w:sz w:val="22"/>
          <w:szCs w:val="22"/>
          <w:color w:val="auto"/>
        </w:rPr>
      </w:pPr>
    </w:p>
    <w:p>
      <w:pPr>
        <w:ind w:left="-656" w:right="20" w:firstLine="1304"/>
        <w:spacing w:after="0" w:line="246" w:lineRule="auto"/>
        <w:tabs>
          <w:tab w:leader="none" w:pos="1288"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 Except as otherwise expressly provided by this Certificate of Incorporation or as provided by law, the holders of shares of Class A Common Stock and Class B Common Stock shall (a) at all times vote together as a single class on all matters (including the election of directors) submitted to a vote or for the consent (if action by written consent of the stockholders is permitted at such time under this Certificate of Incorporation) of the stockholders of the Corporation, (b) be entitled to notice of any stockholders’ meeting in accordance with the Bylaws of the Corporation and (c) be entitled to vote upon such matters and in such manner as may be provided by applicable law. Except as otherwise expressly provided herein or required by applicable law, each holder of Class A Common Stock shall have the right to one (1) vote per share of Class A Common Stock held of record by such holder and each holder of Class B Common Stock shall have the right to ten (10) votes per share of Class B Common Stock held of record by such holder.</w:t>
      </w:r>
    </w:p>
    <w:p>
      <w:pPr>
        <w:spacing w:after="0" w:line="136" w:lineRule="exact"/>
        <w:rPr>
          <w:rFonts w:ascii="Times New Roman" w:cs="Times New Roman" w:eastAsia="Times New Roman" w:hAnsi="Times New Roman"/>
          <w:sz w:val="22"/>
          <w:szCs w:val="22"/>
          <w:color w:val="auto"/>
        </w:rPr>
      </w:pPr>
    </w:p>
    <w:p>
      <w:pPr>
        <w:ind w:left="1304" w:hanging="656"/>
        <w:spacing w:after="0"/>
        <w:tabs>
          <w:tab w:leader="none" w:pos="1304"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304"/>
        <w:spacing w:after="0"/>
        <w:tabs>
          <w:tab w:leader="none" w:pos="1924"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Certain Definitions</w:t>
      </w:r>
      <w:r>
        <w:rPr>
          <w:rFonts w:ascii="Times New Roman" w:cs="Times New Roman" w:eastAsia="Times New Roman" w:hAnsi="Times New Roman"/>
          <w:sz w:val="21"/>
          <w:szCs w:val="21"/>
          <w:color w:val="auto"/>
        </w:rPr>
        <w:t>. As used in this Section 4, the following terms shall have the following</w:t>
      </w:r>
    </w:p>
    <w:p>
      <w:pPr>
        <w:spacing w:after="0" w:line="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meanings:</w:t>
      </w:r>
    </w:p>
    <w:p>
      <w:pPr>
        <w:spacing w:after="0" w:line="142" w:lineRule="exact"/>
        <w:rPr>
          <w:sz w:val="20"/>
          <w:szCs w:val="20"/>
          <w:color w:val="auto"/>
        </w:rPr>
      </w:pPr>
    </w:p>
    <w:p>
      <w:pPr>
        <w:jc w:val="both"/>
        <w:ind w:left="1944" w:hanging="648"/>
        <w:spacing w:after="0" w:line="248" w:lineRule="auto"/>
        <w:tabs>
          <w:tab w:leader="none" w:pos="193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with respect to any stockholder of the Corporation, any person, entity or firm which, directly or indirectly, controls, is controlled by or is under common control with such stockholder, including, without limitation, any entity of which the stockholder is a partner or member, any partner, officer, director, member or employee of such stockholder and any venture capital fund now or hereafter existing of which the stockholder is a partner or member which is controlled by or under common control with one or more general partners of such stockholder or shares the same management company with such stockholder.</w:t>
      </w:r>
    </w:p>
    <w:p>
      <w:pPr>
        <w:spacing w:after="0" w:line="127" w:lineRule="exact"/>
        <w:rPr>
          <w:rFonts w:ascii="Times New Roman" w:cs="Times New Roman" w:eastAsia="Times New Roman" w:hAnsi="Times New Roman"/>
          <w:sz w:val="22"/>
          <w:szCs w:val="22"/>
          <w:color w:val="auto"/>
        </w:rPr>
      </w:pPr>
    </w:p>
    <w:p>
      <w:pPr>
        <w:ind w:left="1944" w:hanging="648"/>
        <w:spacing w:after="0" w:line="271" w:lineRule="auto"/>
        <w:tabs>
          <w:tab w:leader="none" w:pos="1938"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Stockholder</w:t>
      </w:r>
      <w:r>
        <w:rPr>
          <w:rFonts w:ascii="Times New Roman" w:cs="Times New Roman" w:eastAsia="Times New Roman" w:hAnsi="Times New Roman"/>
          <w:sz w:val="22"/>
          <w:szCs w:val="22"/>
          <w:color w:val="auto"/>
        </w:rPr>
        <w:t>” shall mean any stockholder that is issued Class B Common Stock by the Corporation.</w:t>
      </w:r>
    </w:p>
    <w:p>
      <w:pPr>
        <w:spacing w:after="0" w:line="103" w:lineRule="exact"/>
        <w:rPr>
          <w:rFonts w:ascii="Times New Roman" w:cs="Times New Roman" w:eastAsia="Times New Roman" w:hAnsi="Times New Roman"/>
          <w:sz w:val="22"/>
          <w:szCs w:val="22"/>
          <w:color w:val="auto"/>
        </w:rPr>
      </w:pPr>
    </w:p>
    <w:p>
      <w:pPr>
        <w:ind w:left="1944" w:hanging="648"/>
        <w:spacing w:after="0" w:line="271" w:lineRule="auto"/>
        <w:tabs>
          <w:tab w:leader="none" w:pos="194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Entity</w:t>
      </w:r>
      <w:r>
        <w:rPr>
          <w:rFonts w:ascii="Times New Roman" w:cs="Times New Roman" w:eastAsia="Times New Roman" w:hAnsi="Times New Roman"/>
          <w:sz w:val="22"/>
          <w:szCs w:val="22"/>
          <w:color w:val="auto"/>
        </w:rPr>
        <w:t xml:space="preserve">” shall mean, with respect to any Class B Stockholder, any trust, account, plan, corporation, partnership, or limited liability company specified in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established by 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43" w:lineRule="exact"/>
        <w:rPr>
          <w:rFonts w:ascii="Times New Roman" w:cs="Times New Roman" w:eastAsia="Times New Roman" w:hAnsi="Times New Roman"/>
          <w:sz w:val="22"/>
          <w:szCs w:val="22"/>
          <w:color w:val="auto"/>
        </w:rPr>
      </w:pPr>
    </w:p>
    <w:p>
      <w:pPr>
        <w:ind w:left="4924" w:hanging="136"/>
        <w:spacing w:after="0"/>
        <w:tabs>
          <w:tab w:leader="none" w:pos="4924"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0584"/>
          </w:cols>
          <w:pgMar w:left="976" w:top="1440" w:right="339" w:bottom="1440" w:gutter="0" w:footer="0" w:header="0"/>
        </w:sectPr>
      </w:pPr>
    </w:p>
    <w:bookmarkStart w:id="289" w:name="page290"/>
    <w:bookmarkEnd w:id="289"/>
    <w:p>
      <w:pPr>
        <w:spacing w:after="0" w:line="19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 xml:space="preserve">for such Class B Stockholder, so long as such entity meets the requirements set forth in </w:t>
      </w:r>
      <w:r>
        <w:rPr>
          <w:rFonts w:ascii="Times New Roman" w:cs="Times New Roman" w:eastAsia="Times New Roman" w:hAnsi="Times New Roman"/>
          <w:sz w:val="21"/>
          <w:szCs w:val="21"/>
          <w:u w:val="single" w:color="auto"/>
          <w:color w:val="auto"/>
        </w:rPr>
        <w:t>Section 4.3</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left="1940" w:hanging="648"/>
        <w:spacing w:after="0" w:line="252" w:lineRule="auto"/>
        <w:tabs>
          <w:tab w:leader="none" w:pos="1928"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shall mean, with respect to a share of Class B Common Stock, any sale, assignment, transfer, conveyance, hypothecation or other transfer or disposition of such share or any legal or beneficial interest in such share, whether or not for value and whether voluntary or involuntary or by operation of law.</w:t>
      </w:r>
    </w:p>
    <w:p>
      <w:pPr>
        <w:spacing w:after="0" w:line="125" w:lineRule="exact"/>
        <w:rPr>
          <w:rFonts w:ascii="Times New Roman" w:cs="Times New Roman" w:eastAsia="Times New Roman" w:hAnsi="Times New Roman"/>
          <w:sz w:val="22"/>
          <w:szCs w:val="22"/>
          <w:color w:val="auto"/>
        </w:rPr>
      </w:pPr>
    </w:p>
    <w:p>
      <w:pPr>
        <w:jc w:val="both"/>
        <w:ind w:left="1940" w:hanging="648"/>
        <w:spacing w:after="0" w:line="257" w:lineRule="auto"/>
        <w:tabs>
          <w:tab w:leader="none" w:pos="1935"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Control</w:t>
      </w:r>
      <w:r>
        <w:rPr>
          <w:rFonts w:ascii="Times New Roman" w:cs="Times New Roman" w:eastAsia="Times New Roman" w:hAnsi="Times New Roman"/>
          <w:sz w:val="22"/>
          <w:szCs w:val="22"/>
          <w:color w:val="auto"/>
        </w:rPr>
        <w:t>” shall mean, with respect to a share of Class B Common Stock, the power (whether exclusive or shared) to vote or direct the voting of such share of Class B Common Stock by proxy, voting agreement or otherwise.</w:t>
      </w:r>
    </w:p>
    <w:p>
      <w:pPr>
        <w:spacing w:after="0" w:line="119"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Optional Conversion</w:t>
      </w:r>
      <w:r>
        <w:rPr>
          <w:rFonts w:ascii="Times New Roman" w:cs="Times New Roman" w:eastAsia="Times New Roman" w:hAnsi="Times New Roman"/>
          <w:sz w:val="22"/>
          <w:szCs w:val="22"/>
          <w:color w:val="auto"/>
        </w:rPr>
        <w:t>. Each share of Class B Common Stock shall be convertible into one (1) fully paid and nonassessable share of Class A Common Stock at the option of the holder thereof at any time upon written notice to the transfer agent of the Corporation.</w:t>
      </w:r>
    </w:p>
    <w:p>
      <w:pPr>
        <w:spacing w:after="0" w:line="119" w:lineRule="exact"/>
        <w:rPr>
          <w:sz w:val="20"/>
          <w:szCs w:val="20"/>
          <w:color w:val="auto"/>
        </w:rPr>
      </w:pPr>
    </w:p>
    <w:p>
      <w:pPr>
        <w:ind w:right="100" w:firstLine="1296"/>
        <w:spacing w:after="0" w:line="246"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Automatic Conversion upon Transfer</w:t>
      </w:r>
      <w:r>
        <w:rPr>
          <w:rFonts w:ascii="Times New Roman" w:cs="Times New Roman" w:eastAsia="Times New Roman" w:hAnsi="Times New Roman"/>
          <w:sz w:val="22"/>
          <w:szCs w:val="22"/>
          <w:color w:val="auto"/>
        </w:rPr>
        <w:t xml:space="preserve">. Each share of Class B Common Stock shall automatically, without any further action, convert into one (1) fully paid and nonassessable share of Class A Common Stock upon the Transfer of such share;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the case of a Class B Stockholder that is a single member limited liability company, a Transfer of Class B Common Stock by a Class B Stockholder to the sole member of such Class B Stockholder shall not trigger such automatic conversion;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 Transfer by a Class B Stockholder (including a Class B Stockholder that is a transferee of Class B Common Stock by virtue of a permitted transfer from a single member limited liability company to its sole member as contemplated under this </w:t>
      </w:r>
      <w:r>
        <w:rPr>
          <w:rFonts w:ascii="Times New Roman" w:cs="Times New Roman" w:eastAsia="Times New Roman" w:hAnsi="Times New Roman"/>
          <w:sz w:val="22"/>
          <w:szCs w:val="22"/>
          <w:u w:val="single" w:color="auto"/>
          <w:color w:val="auto"/>
        </w:rPr>
        <w:t>Subsection 4.3</w:t>
      </w:r>
      <w:r>
        <w:rPr>
          <w:rFonts w:ascii="Times New Roman" w:cs="Times New Roman" w:eastAsia="Times New Roman" w:hAnsi="Times New Roman"/>
          <w:sz w:val="22"/>
          <w:szCs w:val="22"/>
          <w:color w:val="auto"/>
        </w:rPr>
        <w:t>) to any of the following Permitted Entities, and from any of the following Permitted Entities back to such Class B Stockholder and/or any other Permitted Entity by or for such Class B Stockholder shall not trigger such automatic conversion:</w:t>
      </w:r>
    </w:p>
    <w:p>
      <w:pPr>
        <w:spacing w:after="0" w:line="134" w:lineRule="exact"/>
        <w:rPr>
          <w:sz w:val="20"/>
          <w:szCs w:val="20"/>
          <w:color w:val="auto"/>
        </w:rPr>
      </w:pPr>
    </w:p>
    <w:p>
      <w:pPr>
        <w:ind w:left="1920" w:hanging="628"/>
        <w:spacing w:after="0"/>
        <w:tabs>
          <w:tab w:leader="none" w:pos="192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Affiliate of such Class B Stockholder;</w:t>
      </w:r>
    </w:p>
    <w:p>
      <w:pPr>
        <w:spacing w:after="0" w:line="165" w:lineRule="exact"/>
        <w:rPr>
          <w:rFonts w:ascii="Times New Roman" w:cs="Times New Roman" w:eastAsia="Times New Roman" w:hAnsi="Times New Roman"/>
          <w:sz w:val="22"/>
          <w:szCs w:val="22"/>
          <w:color w:val="auto"/>
        </w:rPr>
      </w:pPr>
    </w:p>
    <w:p>
      <w:pPr>
        <w:ind w:left="1940" w:hanging="648"/>
        <w:spacing w:after="0" w:line="271" w:lineRule="auto"/>
        <w:tabs>
          <w:tab w:leader="none" w:pos="1934"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trust for the benefit of such Class B Stockholder or such Class B Stockholder’s spouse, parents or children, and for the benefit of no other person or persons;</w:t>
      </w:r>
    </w:p>
    <w:p>
      <w:pPr>
        <w:spacing w:after="0" w:line="103" w:lineRule="exact"/>
        <w:rPr>
          <w:rFonts w:ascii="Times New Roman" w:cs="Times New Roman" w:eastAsia="Times New Roman" w:hAnsi="Times New Roman"/>
          <w:sz w:val="22"/>
          <w:szCs w:val="22"/>
          <w:color w:val="auto"/>
        </w:rPr>
      </w:pPr>
    </w:p>
    <w:p>
      <w:pPr>
        <w:jc w:val="both"/>
        <w:ind w:left="1940" w:hanging="648"/>
        <w:spacing w:after="0" w:line="248" w:lineRule="auto"/>
        <w:tabs>
          <w:tab w:leader="none" w:pos="194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trust for the benefit of persons other than those listed in paragraph 4.3(ii) or an Individual Retirement Account, as defined in Section 408(a) of the Internal Revenue Code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or a pension, profit sharing, stock bonus or other type of plan or trust of which such Class B Stockholder is a participant or beneficiary and which satisfies the requirements for qualification under Section 401 of the Code, in each case so long as the Class B Stockholder has sole dispositive power and exclusive Voting Control with</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2" w:lineRule="exact"/>
        <w:rPr>
          <w:rFonts w:ascii="Times New Roman" w:cs="Times New Roman" w:eastAsia="Times New Roman" w:hAnsi="Times New Roman"/>
          <w:sz w:val="22"/>
          <w:szCs w:val="22"/>
          <w:color w:val="auto"/>
        </w:rPr>
      </w:pPr>
    </w:p>
    <w:p>
      <w:pPr>
        <w:ind w:left="4920" w:hanging="136"/>
        <w:spacing w:after="0"/>
        <w:tabs>
          <w:tab w:leader="none" w:pos="4920"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0580"/>
          </w:cols>
          <w:pgMar w:left="980" w:top="1440" w:right="339" w:bottom="1440" w:gutter="0" w:footer="0" w:header="0"/>
        </w:sectPr>
      </w:pPr>
    </w:p>
    <w:bookmarkStart w:id="290" w:name="page291"/>
    <w:bookmarkEnd w:id="290"/>
    <w:p>
      <w:pPr>
        <w:spacing w:after="0" w:line="19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respect to the shares of Class B Common Stock held by such trust; or</w:t>
      </w:r>
    </w:p>
    <w:p>
      <w:pPr>
        <w:spacing w:after="0" w:line="166" w:lineRule="exact"/>
        <w:rPr>
          <w:sz w:val="20"/>
          <w:szCs w:val="20"/>
          <w:color w:val="auto"/>
        </w:rPr>
      </w:pPr>
    </w:p>
    <w:p>
      <w:pPr>
        <w:jc w:val="both"/>
        <w:ind w:left="1940" w:hanging="648"/>
        <w:spacing w:after="0" w:line="247" w:lineRule="auto"/>
        <w:tabs>
          <w:tab w:leader="none" w:pos="1928"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limited liability company in which such Class B Stockholder, together with such Class B Stockholder’s spouse or children, or, in the case of a Class B Stockholder that is a single member limited liability company, the sole member of such Class B Stockholder and such sole member’s spouse or children, directly, or indirectly through one or more Permitted Entities, owns membership interests with sufficient Voting Control in the limited liability company, or otherwise has legally enforceable rights, such that the Class B Stockholder retains sole dispositive power and exclusive Voting Control with respect to the shares of Class B Common Stock held by such limited liability company;</w:t>
      </w:r>
    </w:p>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each case such Transfer does not involve any payment of cash, securities, property or other consideration (other than an interest in such trust) to the Class B Stockholder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the event that the requirements of such Permitted Entity as described in paragraphs 4.3(i)-4.3(iii) above are no longer met, then each share of Class B Common Stock then held by such Permitted Entity shall automatically convert into one (1) fully paid and nonassessable share of Class A Common Stock.</w:t>
      </w:r>
    </w:p>
    <w:p>
      <w:pPr>
        <w:spacing w:after="0" w:line="127" w:lineRule="exact"/>
        <w:rPr>
          <w:sz w:val="20"/>
          <w:szCs w:val="20"/>
          <w:color w:val="auto"/>
        </w:rPr>
      </w:pPr>
    </w:p>
    <w:p>
      <w:pPr>
        <w:ind w:right="20" w:firstLine="1296"/>
        <w:spacing w:after="0" w:line="245"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Automatic Conversion</w:t>
      </w:r>
      <w:r>
        <w:rPr>
          <w:rFonts w:ascii="Times New Roman" w:cs="Times New Roman" w:eastAsia="Times New Roman" w:hAnsi="Times New Roman"/>
          <w:sz w:val="22"/>
          <w:szCs w:val="22"/>
          <w:color w:val="auto"/>
        </w:rPr>
        <w:t>. Each share of Class B Common Stock held of record by a Class B Stockholder, or by such Class B Stockholder’s Permitted Entities, shall automatically, without any further action, convert into one (1) fully paid and nonassessable share of Class A Common Stock upon (i) the death or permanent disability of such Class B Stockholder, or, in the case of a Class B Stockholder that is a single-member limited liability company, the death or permanent disability of the individual who is the sole member of such Class B Stockholder at the time of the original issuance of such shares of Class B Common Stock, (ii) the first day following any period of 90 consecutive days during which such Class B Stockholder does not directly, or, in the case of a Class B Stockholder that is not a natural person, through a member, nominee or designee, provide services to the Corporation as an employee, consultant or director, (iii) the written consent or agreement of holders in interest of at least fifty percent (50%) of the then outstanding shares of Class B Common Stock or (iv) the earlier of (x) the first day following the fifth anniversary of the closing of the first firm-commitment underwritten public offering pursuant to an effective registration statement under the Securities Act of 1933, as amended, resulting in the listing of shares of the Corporation’s capital stock on a securities exchange registered with the U.S. Securities and Exchange Commission as a national securities exchange pursuant to Section 6(a) of the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and (y) December 31, 2025.</w:t>
      </w:r>
    </w:p>
    <w:p>
      <w:pPr>
        <w:spacing w:after="0" w:line="138"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Effect of Conversion</w:t>
      </w:r>
      <w:r>
        <w:rPr>
          <w:rFonts w:ascii="Times New Roman" w:cs="Times New Roman" w:eastAsia="Times New Roman" w:hAnsi="Times New Roman"/>
          <w:sz w:val="22"/>
          <w:szCs w:val="22"/>
          <w:color w:val="auto"/>
        </w:rPr>
        <w:t xml:space="preserve">. In the event of a conversion of shares of Class B Common Stock to shares of Class A Common Stock pursuant to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such conversion shall be deemed to have been made at the time that the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0580"/>
          </w:cols>
          <w:pgMar w:left="980" w:top="1440" w:right="339" w:bottom="1440" w:gutter="0" w:footer="0" w:header="0"/>
        </w:sectPr>
      </w:pPr>
    </w:p>
    <w:bookmarkStart w:id="291" w:name="page292"/>
    <w:bookmarkEnd w:id="291"/>
    <w:p>
      <w:pPr>
        <w:spacing w:after="0" w:line="198" w:lineRule="exact"/>
        <w:rPr>
          <w:sz w:val="20"/>
          <w:szCs w:val="20"/>
          <w:color w:val="auto"/>
        </w:rPr>
      </w:pPr>
    </w:p>
    <w:p>
      <w:pPr>
        <w:ind w:left="660" w:right="40"/>
        <w:spacing w:after="0" w:line="247" w:lineRule="auto"/>
        <w:rPr>
          <w:sz w:val="20"/>
          <w:szCs w:val="20"/>
          <w:color w:val="auto"/>
        </w:rPr>
      </w:pPr>
      <w:r>
        <w:rPr>
          <w:rFonts w:ascii="Times New Roman" w:cs="Times New Roman" w:eastAsia="Times New Roman" w:hAnsi="Times New Roman"/>
          <w:sz w:val="22"/>
          <w:szCs w:val="22"/>
          <w:color w:val="auto"/>
        </w:rPr>
        <w:t xml:space="preserve">transfer agent receives the written notice required pursuant to </w:t>
      </w:r>
      <w:r>
        <w:rPr>
          <w:rFonts w:ascii="Times New Roman" w:cs="Times New Roman" w:eastAsia="Times New Roman" w:hAnsi="Times New Roman"/>
          <w:sz w:val="22"/>
          <w:szCs w:val="22"/>
          <w:u w:val="single" w:color="auto"/>
          <w:color w:val="auto"/>
        </w:rPr>
        <w:t>Subsection 4.2</w:t>
      </w:r>
      <w:r>
        <w:rPr>
          <w:rFonts w:ascii="Times New Roman" w:cs="Times New Roman" w:eastAsia="Times New Roman" w:hAnsi="Times New Roman"/>
          <w:sz w:val="22"/>
          <w:szCs w:val="22"/>
          <w:color w:val="auto"/>
        </w:rPr>
        <w:t>, the time that the Transfer of such shares occurred or the death or permanent disability of the Class B Stockholder (or its sole member), as applicable. Upon any conversion of Class B Common Stock to Class A Common Stock, all rights of the holder of such shares of Class B Common Stock shall cease and the person or persons in whose names or names the certificate or certificates representing the shares of Class B Common Stock are to be issued, if any, shall be treated for all purposes as having become the record holder or holders of such number of shares of Class A Common Stock into which such Class B Common Stock were convertible. Shares of Class B Common Stock that are converted into shares of Class A Common Stock as provided in this Section 4 shall be retired and shall not be reissued.</w:t>
      </w:r>
    </w:p>
    <w:p>
      <w:pPr>
        <w:spacing w:after="0" w:line="131" w:lineRule="exact"/>
        <w:rPr>
          <w:sz w:val="20"/>
          <w:szCs w:val="20"/>
          <w:color w:val="auto"/>
        </w:rPr>
      </w:pPr>
    </w:p>
    <w:p>
      <w:pPr>
        <w:ind w:right="20" w:firstLine="1304"/>
        <w:spacing w:after="0" w:line="252" w:lineRule="auto"/>
        <w:tabs>
          <w:tab w:leader="none" w:pos="1944"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Stock</w:t>
      </w:r>
      <w:r>
        <w:rPr>
          <w:rFonts w:ascii="Times New Roman" w:cs="Times New Roman" w:eastAsia="Times New Roman" w:hAnsi="Times New Roman"/>
          <w:sz w:val="22"/>
          <w:szCs w:val="22"/>
          <w:color w:val="auto"/>
        </w:rPr>
        <w:t>. The Corporation shall at all times reserve and keep available out of its authorized but unissued shares of Class A Common Stock, solely for the purpose of effecting the conversion of the shares of Class B Common Stock, such number of its shares of Class A Common Stock as shall from time to time be sufficient to effect the conversion of all outstanding shares of Class B Common Stock into shares of Class A Common Stock.</w:t>
      </w:r>
    </w:p>
    <w:p>
      <w:pPr>
        <w:spacing w:after="0" w:line="125" w:lineRule="exact"/>
        <w:rPr>
          <w:rFonts w:ascii="Times New Roman" w:cs="Times New Roman" w:eastAsia="Times New Roman" w:hAnsi="Times New Roman"/>
          <w:sz w:val="22"/>
          <w:szCs w:val="22"/>
          <w:color w:val="auto"/>
        </w:rPr>
      </w:pPr>
    </w:p>
    <w:p>
      <w:pPr>
        <w:ind w:right="80" w:firstLine="1304"/>
        <w:spacing w:after="0" w:line="250" w:lineRule="auto"/>
        <w:tabs>
          <w:tab w:leader="none" w:pos="1944"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in Authorized Class A Common Stock</w:t>
      </w:r>
      <w:r>
        <w:rPr>
          <w:rFonts w:ascii="Times New Roman" w:cs="Times New Roman" w:eastAsia="Times New Roman" w:hAnsi="Times New Roman"/>
          <w:sz w:val="22"/>
          <w:szCs w:val="22"/>
          <w:color w:val="auto"/>
        </w:rPr>
        <w:t>. The number of authorized shares of Class A Common Stock may be increased or decreased (but not below the number of shares of Class A Common Stock then outstanding) by an affirmative vote of the holders of a majority of the voting power of the Corporation (in addition to the affirmative vote of holders of the Preferred Stock voting as a separate class pursuant to Article Fourth, Part B, Section 3.3.8 of this Certificate of Incorporation).</w:t>
      </w:r>
    </w:p>
    <w:p>
      <w:pPr>
        <w:spacing w:after="0" w:line="126" w:lineRule="exact"/>
        <w:rPr>
          <w:rFonts w:ascii="Times New Roman" w:cs="Times New Roman" w:eastAsia="Times New Roman" w:hAnsi="Times New Roman"/>
          <w:sz w:val="22"/>
          <w:szCs w:val="22"/>
          <w:color w:val="auto"/>
        </w:rPr>
      </w:pPr>
    </w:p>
    <w:p>
      <w:pPr>
        <w:ind w:right="60" w:firstLine="1304"/>
        <w:spacing w:after="0" w:line="248" w:lineRule="auto"/>
        <w:tabs>
          <w:tab w:leader="none" w:pos="1944"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The Corporation may, from time to time, establish such policies and procedures relating to the conversion of the Class B Common Stock to Class A Common Stock and the general administration of this dual class Common Stock structure, including the issuance of stock certificates with respect thereto, as it may deem necessary or advisable, and may request that holders of shares of Class B Common Stock furnish affidavits or other proof to the Corporation as it deems necessary to verify the ownership of Class B Common Stock and to confirm that a conversion to Class A Common Stock has not occurred.</w:t>
      </w:r>
    </w:p>
    <w:p>
      <w:pPr>
        <w:spacing w:after="0" w:line="13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PREFERRED STOCK</w:t>
      </w:r>
    </w:p>
    <w:p>
      <w:pPr>
        <w:spacing w:after="0" w:line="166"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6,607,201 shares of the authorized and issued Preferred Stock of the Corporation are hereby designated Series A Preferred Stock, 16,920,470 shares of the authorized and issued Preferred Stock of the Corporation are hereby designated Series B Preferred Stock, 7,000,000 shares of the authorized and issued Preferred Stock of the Corporation are hereby designated Series C Preferred Stock, 16,923,077 shares of the authorized and unissued Preferred Stock of the Corporation are hereby designated Series D Preferred Stock and 14,666,666 shares of the authorized and unissued Preferred Stock of the Corporation are hereby designated Series D-1 Preferred Stock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98" w:lineRule="exact"/>
        <w:rPr>
          <w:sz w:val="20"/>
          <w:szCs w:val="20"/>
          <w:color w:val="auto"/>
        </w:rPr>
      </w:pPr>
    </w:p>
    <w:p>
      <w:pPr>
        <w:ind w:left="1960" w:hanging="656"/>
        <w:spacing w:after="0"/>
        <w:tabs>
          <w:tab w:leader="none" w:pos="196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Holders of Series A Preferred Stock, in preference to the holders of Common Stock and pari passu with the holders of Series B Preferred Stock, the holders of Series C Preferred Stock, the holders of Series D Preferred Stock and the holders of Series D-1 Preferred Stock, shall be entitled to receive, but only out of funds that are legally available therefor, cash dividends at the rate of $0.0545 per annum on each outstanding share of Series A Preferred Stock. Holders of Series B Preferred Stock, in preference to the holders of Common Stock and pari passu with the holders of Series A Preferred Stock, the holders of Series C Preferred Stock, the holders of Series D Preferred Stock and the holders of Series D-1 Preferred Stock, shall be entitled to receive, but only out of funds that are legally available therefor, cash dividends at the rate of $0.1064 per annum on each outstanding share of Series B Preferred Stock. Holders of Series C Preferred Stock, in preference to the holders of Common Stock and pari passu with the holders of Series A Preferred Stock, the holders of Series B Preferred Stock, the holders of Series D Preferred Stock and the holders of Series D-1 Preferred Stock, shall be entitled to receive, but only out of funds that are legally available therefor, cash dividends at the rate of $0.15 per annum on each outstanding share of Series C Preferred Stock. Holders of Series D Preferred Stock, in preference to the holders of Common Stock and pari passu with the holders of Series A Preferred Stock, the holders of Series B Preferred Stock, the holders of Series C Preferred Stock and the holders of Series D-1 Preferred Stock, shall be entitled to receive, but only out of funds that are legally available therefor, cash dividends at the rate of $0.195 per annum on each outstanding share of Series D Preferred Stock. Holders of Series D-1 Preferred Stock, in preference to the holders of Common Stock and pari passu with the holders of Series A Preferred Stock, the holders of Series B Preferred Stock, the holders of Series C Preferred Stock and the holders of Series D Preferred Stock, shall be entitled to receive, but only out of funds that are legally available therefor, cash dividends at the rate of $0.225 per annum on each outstanding share of Series D-1 Preferred Stock. Such dividends shall be payable only when, as and if declared by the Board of Directors and shall be non-cumulative. After payment of such dividends to the holders of Series A Preferred Stock, Series B Preferred Stock, Series C Preferred Stock, Series D Preferred Stock and Series D-1 Preferred Stock, any additional dividends or distributions shall be distributed among all holders of Common Stock and Preferred Stock in proportion to the number of shares of Common Stock that would be held by each such holder if all shares of Preferred Stock were converted to Common Stock at the then effective Series A Conversion Rate (as defined below), Series B Conversion Rate (as defined below), Series C Conversion Rate (as defined below), Series D Conversion Rate (as defined below) and Series D-1 Conversion Rate (as defined below), as applicable. A distribution to the Corporation’s stockholders may be made without regard to the preferential dividends arrears amount or any preferential rights amount (each as determined under applicable law).</w:t>
      </w:r>
    </w:p>
    <w:p>
      <w:pPr>
        <w:spacing w:after="0" w:line="143" w:lineRule="exact"/>
        <w:rPr>
          <w:sz w:val="20"/>
          <w:szCs w:val="20"/>
          <w:color w:val="auto"/>
        </w:rPr>
      </w:pPr>
    </w:p>
    <w:p>
      <w:pPr>
        <w:ind w:left="1960" w:hanging="656"/>
        <w:spacing w:after="0"/>
        <w:tabs>
          <w:tab w:leader="none" w:pos="196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Liquidation, Dissolution or Winding Up; Certain Mergers, Consolidations and Asset Sales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right="160" w:firstLine="1944"/>
        <w:spacing w:after="0" w:line="257"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Preferential Payments to Holders of Preferred Stock</w:t>
      </w:r>
      <w:r>
        <w:rPr>
          <w:rFonts w:ascii="Times New Roman" w:cs="Times New Roman" w:eastAsia="Times New Roman" w:hAnsi="Times New Roman"/>
          <w:sz w:val="22"/>
          <w:szCs w:val="22"/>
          <w:color w:val="auto"/>
        </w:rPr>
        <w:t>. In the event of any voluntary or involuntary liquidation, dissolution or winding up of the Corporation or Deemed Liquidation Event, the holders of shares of Preferred Stock then outstanding shall be entitled to be paid out of the assets of the Corporation available for distribution to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1"/>
          <w:szCs w:val="21"/>
          <w:color w:val="auto"/>
        </w:rPr>
        <w:t xml:space="preserve">stockholders before any payment shall be made to the holders of Common Stock by reason of their ownership thereof, an amount per share of Preferred Stock equal to the greater of (i) the Original Issue Price of such series of Preferred Stock, plus any dividends declared but unpaid thereon and (ii) such amount per share as would have been payable had all shares of such series of Preferred Stock been converted into Class A Common Stock pursuant to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immediately prior to such liquidation, dissolution, winding up or Deemed Liquidation Event (the amount payable pursuant to this sentence is hereinafter referred to as in the case of the Series A Preferred Stock, the “</w:t>
      </w:r>
      <w:r>
        <w:rPr>
          <w:rFonts w:ascii="Times New Roman" w:cs="Times New Roman" w:eastAsia="Times New Roman" w:hAnsi="Times New Roman"/>
          <w:sz w:val="21"/>
          <w:szCs w:val="21"/>
          <w:b w:val="1"/>
          <w:bCs w:val="1"/>
          <w:color w:val="auto"/>
        </w:rPr>
        <w:t>Series A Liquidation Amount</w:t>
      </w:r>
      <w:r>
        <w:rPr>
          <w:rFonts w:ascii="Times New Roman" w:cs="Times New Roman" w:eastAsia="Times New Roman" w:hAnsi="Times New Roman"/>
          <w:sz w:val="21"/>
          <w:szCs w:val="21"/>
          <w:color w:val="auto"/>
        </w:rPr>
        <w:t>,” as in the case of the Series B Preferred Stock, the “</w:t>
      </w:r>
      <w:r>
        <w:rPr>
          <w:rFonts w:ascii="Times New Roman" w:cs="Times New Roman" w:eastAsia="Times New Roman" w:hAnsi="Times New Roman"/>
          <w:sz w:val="21"/>
          <w:szCs w:val="21"/>
          <w:b w:val="1"/>
          <w:bCs w:val="1"/>
          <w:color w:val="auto"/>
        </w:rPr>
        <w:t>Series B Liquidation Amount</w:t>
      </w:r>
      <w:r>
        <w:rPr>
          <w:rFonts w:ascii="Times New Roman" w:cs="Times New Roman" w:eastAsia="Times New Roman" w:hAnsi="Times New Roman"/>
          <w:sz w:val="21"/>
          <w:szCs w:val="21"/>
          <w:color w:val="auto"/>
        </w:rPr>
        <w:t>,” as in the case of the Series C Preferred Stock, the “</w:t>
      </w:r>
      <w:r>
        <w:rPr>
          <w:rFonts w:ascii="Times New Roman" w:cs="Times New Roman" w:eastAsia="Times New Roman" w:hAnsi="Times New Roman"/>
          <w:sz w:val="21"/>
          <w:szCs w:val="21"/>
          <w:b w:val="1"/>
          <w:bCs w:val="1"/>
          <w:color w:val="auto"/>
        </w:rPr>
        <w:t>Series C Liquidation Amount</w:t>
      </w:r>
      <w:r>
        <w:rPr>
          <w:rFonts w:ascii="Times New Roman" w:cs="Times New Roman" w:eastAsia="Times New Roman" w:hAnsi="Times New Roman"/>
          <w:sz w:val="21"/>
          <w:szCs w:val="21"/>
          <w:color w:val="auto"/>
        </w:rPr>
        <w:t>,” as in the case of the Series D Preferred Stock, the “</w:t>
      </w:r>
      <w:r>
        <w:rPr>
          <w:rFonts w:ascii="Times New Roman" w:cs="Times New Roman" w:eastAsia="Times New Roman" w:hAnsi="Times New Roman"/>
          <w:sz w:val="21"/>
          <w:szCs w:val="21"/>
          <w:b w:val="1"/>
          <w:bCs w:val="1"/>
          <w:color w:val="auto"/>
        </w:rPr>
        <w:t>Series D Liquidation Amount</w:t>
      </w:r>
      <w:r>
        <w:rPr>
          <w:rFonts w:ascii="Times New Roman" w:cs="Times New Roman" w:eastAsia="Times New Roman" w:hAnsi="Times New Roman"/>
          <w:sz w:val="21"/>
          <w:szCs w:val="21"/>
          <w:color w:val="auto"/>
        </w:rPr>
        <w:t>” and as in the case of the Series D-1 Preferred Stock, the “</w:t>
      </w:r>
      <w:r>
        <w:rPr>
          <w:rFonts w:ascii="Times New Roman" w:cs="Times New Roman" w:eastAsia="Times New Roman" w:hAnsi="Times New Roman"/>
          <w:sz w:val="21"/>
          <w:szCs w:val="21"/>
          <w:b w:val="1"/>
          <w:bCs w:val="1"/>
          <w:color w:val="auto"/>
        </w:rPr>
        <w:t>Series D-1 Liquidation Amount</w:t>
      </w:r>
      <w:r>
        <w:rPr>
          <w:rFonts w:ascii="Times New Roman" w:cs="Times New Roman" w:eastAsia="Times New Roman" w:hAnsi="Times New Roman"/>
          <w:sz w:val="21"/>
          <w:szCs w:val="21"/>
          <w:color w:val="auto"/>
        </w:rPr>
        <w:t xml:space="preserve">”).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Times New Roman" w:cs="Times New Roman" w:eastAsia="Times New Roman" w:hAnsi="Times New Roman"/>
          <w:sz w:val="21"/>
          <w:szCs w:val="21"/>
          <w:u w:val="single" w:color="auto"/>
          <w:color w:val="auto"/>
        </w:rPr>
        <w:t>Subsection 2.1</w:t>
      </w:r>
      <w:r>
        <w:rPr>
          <w:rFonts w:ascii="Times New Roman" w:cs="Times New Roman" w:eastAsia="Times New Roman" w:hAnsi="Times New Roman"/>
          <w:sz w:val="21"/>
          <w:szCs w:val="21"/>
          <w:color w:val="auto"/>
        </w:rPr>
        <w:t>,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w:t>
      </w:r>
      <w:r>
        <w:rPr>
          <w:rFonts w:ascii="Times New Roman" w:cs="Times New Roman" w:eastAsia="Times New Roman" w:hAnsi="Times New Roman"/>
          <w:sz w:val="21"/>
          <w:szCs w:val="21"/>
          <w:b w:val="1"/>
          <w:bCs w:val="1"/>
          <w:color w:val="auto"/>
        </w:rPr>
        <w:t>Series A Original Issue Price</w:t>
      </w:r>
      <w:r>
        <w:rPr>
          <w:rFonts w:ascii="Times New Roman" w:cs="Times New Roman" w:eastAsia="Times New Roman" w:hAnsi="Times New Roman"/>
          <w:sz w:val="21"/>
          <w:szCs w:val="21"/>
          <w:color w:val="auto"/>
        </w:rPr>
        <w:t>” shall mean $0.9081 per share, subject to appropriate adjustment in the event of any stock dividend, stock split, combination or other similar recapitalization with respect to the Series A Preferred Stock. The “</w:t>
      </w:r>
      <w:r>
        <w:rPr>
          <w:rFonts w:ascii="Times New Roman" w:cs="Times New Roman" w:eastAsia="Times New Roman" w:hAnsi="Times New Roman"/>
          <w:sz w:val="21"/>
          <w:szCs w:val="21"/>
          <w:b w:val="1"/>
          <w:bCs w:val="1"/>
          <w:color w:val="auto"/>
        </w:rPr>
        <w:t>Series B Original Issue Price</w:t>
      </w:r>
      <w:r>
        <w:rPr>
          <w:rFonts w:ascii="Times New Roman" w:cs="Times New Roman" w:eastAsia="Times New Roman" w:hAnsi="Times New Roman"/>
          <w:sz w:val="21"/>
          <w:szCs w:val="21"/>
          <w:color w:val="auto"/>
        </w:rPr>
        <w:t>” shall mean $1.7730 per share, subject to appropriate adjustment in the event of any stock dividend, stock split, combination or other similar recapitalization with respect to the Series B Preferred Stock. The “</w:t>
      </w:r>
      <w:r>
        <w:rPr>
          <w:rFonts w:ascii="Times New Roman" w:cs="Times New Roman" w:eastAsia="Times New Roman" w:hAnsi="Times New Roman"/>
          <w:sz w:val="21"/>
          <w:szCs w:val="21"/>
          <w:b w:val="1"/>
          <w:bCs w:val="1"/>
          <w:color w:val="auto"/>
        </w:rPr>
        <w:t>Series C Original Issue Price</w:t>
      </w:r>
      <w:r>
        <w:rPr>
          <w:rFonts w:ascii="Times New Roman" w:cs="Times New Roman" w:eastAsia="Times New Roman" w:hAnsi="Times New Roman"/>
          <w:sz w:val="21"/>
          <w:szCs w:val="21"/>
          <w:color w:val="auto"/>
        </w:rPr>
        <w:t>” shall mean $2.50 per share, subject to appropriate adjustment in the event of any stock dividend, stock split, combination or other similar recapitalization with respect to the Series C Preferred Stock. The “</w:t>
      </w:r>
      <w:r>
        <w:rPr>
          <w:rFonts w:ascii="Times New Roman" w:cs="Times New Roman" w:eastAsia="Times New Roman" w:hAnsi="Times New Roman"/>
          <w:sz w:val="21"/>
          <w:szCs w:val="21"/>
          <w:b w:val="1"/>
          <w:bCs w:val="1"/>
          <w:color w:val="auto"/>
        </w:rPr>
        <w:t>Series D Original Issue Price</w:t>
      </w:r>
      <w:r>
        <w:rPr>
          <w:rFonts w:ascii="Times New Roman" w:cs="Times New Roman" w:eastAsia="Times New Roman" w:hAnsi="Times New Roman"/>
          <w:sz w:val="21"/>
          <w:szCs w:val="21"/>
          <w:color w:val="auto"/>
        </w:rPr>
        <w:t>” shall mean $3.25 per share, subject to appropriate adjustment in the event of any stock dividend, stock split, combination or other similar recapitalization with respect to the Series D Preferred Stock. The “</w:t>
      </w:r>
      <w:r>
        <w:rPr>
          <w:rFonts w:ascii="Times New Roman" w:cs="Times New Roman" w:eastAsia="Times New Roman" w:hAnsi="Times New Roman"/>
          <w:sz w:val="21"/>
          <w:szCs w:val="21"/>
          <w:b w:val="1"/>
          <w:bCs w:val="1"/>
          <w:color w:val="auto"/>
        </w:rPr>
        <w:t>Series D-1 Original Issue Price</w:t>
      </w:r>
      <w:r>
        <w:rPr>
          <w:rFonts w:ascii="Times New Roman" w:cs="Times New Roman" w:eastAsia="Times New Roman" w:hAnsi="Times New Roman"/>
          <w:sz w:val="21"/>
          <w:szCs w:val="21"/>
          <w:color w:val="auto"/>
        </w:rPr>
        <w:t>” shall mean $3.75 per share, subject to appropriate adjustment in the event of any stock dividend, stock split, combination or other similar recapitalization with respect to the Series D-1 Preferred Stock.</w:t>
      </w:r>
    </w:p>
    <w:p>
      <w:pPr>
        <w:spacing w:after="0" w:line="137" w:lineRule="exact"/>
        <w:rPr>
          <w:sz w:val="20"/>
          <w:szCs w:val="20"/>
          <w:color w:val="auto"/>
        </w:rPr>
      </w:pPr>
    </w:p>
    <w:p>
      <w:pPr>
        <w:ind w:firstLine="1944"/>
        <w:spacing w:after="0" w:line="250"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Payments to Holders of Common Stock</w:t>
      </w:r>
      <w:r>
        <w:rPr>
          <w:rFonts w:ascii="Times New Roman" w:cs="Times New Roman" w:eastAsia="Times New Roman" w:hAnsi="Times New Roman"/>
          <w:sz w:val="22"/>
          <w:szCs w:val="22"/>
          <w:color w:val="auto"/>
        </w:rPr>
        <w:t>. In the event of any voluntary or involuntary liquidation, dissolution or winding up of the Corporation or Deemed Liquidation Event, after the payment of all preferential amounts required to be paid to the holders of shares of Preferred Stock, the remaining assets of the Corporation available for distribution to its stockholders shall be distributed among the holders of shares of Common Stock, pro rata based on the number of shares held by each such holder.</w:t>
      </w:r>
    </w:p>
    <w:p>
      <w:pPr>
        <w:spacing w:after="0" w:line="127"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Deemed Liquidation Events</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right="40" w:firstLine="2592"/>
        <w:spacing w:after="0" w:line="259" w:lineRule="auto"/>
        <w:rPr>
          <w:sz w:val="20"/>
          <w:szCs w:val="20"/>
          <w:color w:val="auto"/>
        </w:rPr>
      </w:pPr>
      <w:r>
        <w:rPr>
          <w:rFonts w:ascii="Times New Roman" w:cs="Times New Roman" w:eastAsia="Times New Roman" w:hAnsi="Times New Roman"/>
          <w:sz w:val="22"/>
          <w:szCs w:val="22"/>
          <w:color w:val="auto"/>
        </w:rPr>
        <w:t xml:space="preserve">2.3.1. </w:t>
      </w:r>
      <w:r>
        <w:rPr>
          <w:rFonts w:ascii="Times New Roman" w:cs="Times New Roman" w:eastAsia="Times New Roman" w:hAnsi="Times New Roman"/>
          <w:sz w:val="22"/>
          <w:szCs w:val="22"/>
          <w:u w:val="single" w:color="auto"/>
          <w:color w:val="auto"/>
        </w:rPr>
        <w:t>Definition</w:t>
      </w:r>
      <w:r>
        <w:rPr>
          <w:rFonts w:ascii="Times New Roman" w:cs="Times New Roman" w:eastAsia="Times New Roman" w:hAnsi="Times New Roman"/>
          <w:sz w:val="22"/>
          <w:szCs w:val="22"/>
          <w:color w:val="auto"/>
        </w:rPr>
        <w:t>. Each of the following events shall be considered a “</w:t>
      </w:r>
      <w:r>
        <w:rPr>
          <w:rFonts w:ascii="Times New Roman" w:cs="Times New Roman" w:eastAsia="Times New Roman" w:hAnsi="Times New Roman"/>
          <w:sz w:val="22"/>
          <w:szCs w:val="22"/>
          <w:b w:val="1"/>
          <w:bCs w:val="1"/>
          <w:color w:val="auto"/>
        </w:rPr>
        <w:t>Deemed Liquidation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Event</w:t>
      </w:r>
      <w:r>
        <w:rPr>
          <w:rFonts w:ascii="Times New Roman" w:cs="Times New Roman" w:eastAsia="Times New Roman" w:hAnsi="Times New Roman"/>
          <w:sz w:val="22"/>
          <w:szCs w:val="22"/>
          <w:color w:val="auto"/>
        </w:rPr>
        <w:t>” unless the holders of at least a majority of the outstanding shares of Preferred Stock elect otherwise by written notice 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Corporation prior to the effective date of any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198" w:lineRule="exact"/>
        <w:rPr>
          <w:sz w:val="20"/>
          <w:szCs w:val="20"/>
          <w:color w:val="auto"/>
        </w:rPr>
      </w:pPr>
    </w:p>
    <w:p>
      <w:pPr>
        <w:ind w:left="3900" w:hanging="652"/>
        <w:spacing w:after="0"/>
        <w:tabs>
          <w:tab w:leader="none" w:pos="390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merger, reorganization or consolidation in which</w:t>
      </w:r>
    </w:p>
    <w:p>
      <w:pPr>
        <w:spacing w:after="0" w:line="165" w:lineRule="exact"/>
        <w:rPr>
          <w:rFonts w:ascii="Times New Roman" w:cs="Times New Roman" w:eastAsia="Times New Roman" w:hAnsi="Times New Roman"/>
          <w:sz w:val="22"/>
          <w:szCs w:val="22"/>
          <w:color w:val="auto"/>
        </w:rPr>
      </w:pPr>
    </w:p>
    <w:p>
      <w:pPr>
        <w:ind w:left="4540" w:hanging="644"/>
        <w:spacing w:after="0"/>
        <w:tabs>
          <w:tab w:leader="none" w:pos="4540"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is a constituent party or</w:t>
      </w:r>
    </w:p>
    <w:p>
      <w:pPr>
        <w:spacing w:after="0" w:line="165" w:lineRule="exact"/>
        <w:rPr>
          <w:rFonts w:ascii="Times New Roman" w:cs="Times New Roman" w:eastAsia="Times New Roman" w:hAnsi="Times New Roman"/>
          <w:sz w:val="22"/>
          <w:szCs w:val="22"/>
          <w:color w:val="auto"/>
        </w:rPr>
      </w:pPr>
    </w:p>
    <w:p>
      <w:pPr>
        <w:jc w:val="both"/>
        <w:ind w:left="4540" w:right="300" w:hanging="644"/>
        <w:spacing w:after="0" w:line="295" w:lineRule="auto"/>
        <w:tabs>
          <w:tab w:leader="none" w:pos="4534"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subsidiary of the Corporation is a constituent party and the Corporation issues shares of its capital stock pursuant to such merger or consolidation,</w:t>
      </w:r>
    </w:p>
    <w:p>
      <w:pPr>
        <w:spacing w:after="0" w:line="81"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2"/>
          <w:szCs w:val="22"/>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33" w:lineRule="exact"/>
        <w:rPr>
          <w:sz w:val="20"/>
          <w:szCs w:val="20"/>
          <w:color w:val="auto"/>
        </w:rPr>
      </w:pPr>
    </w:p>
    <w:p>
      <w:pPr>
        <w:ind w:left="3900" w:hanging="652"/>
        <w:spacing w:after="0"/>
        <w:tabs>
          <w:tab w:leader="none" w:pos="390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lease, transfer, exclusive license (in all fields or substantially all fields such</w:t>
      </w:r>
    </w:p>
    <w:p>
      <w:pPr>
        <w:spacing w:after="0" w:line="39" w:lineRule="exact"/>
        <w:rPr>
          <w:rFonts w:ascii="Times New Roman" w:cs="Times New Roman" w:eastAsia="Times New Roman" w:hAnsi="Times New Roman"/>
          <w:sz w:val="21"/>
          <w:szCs w:val="21"/>
          <w:color w:val="auto"/>
        </w:rPr>
      </w:pPr>
    </w:p>
    <w:p>
      <w:pPr>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that the Corporation is unable to continue operations in its ordinary course of business)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(in all fields or substantially all fields such that the Corporation is unable to continue operations in its ordinary course of business) or other disposition is to a wholly owned subsidiary of the Corporation.</w:t>
      </w:r>
    </w:p>
    <w:p>
      <w:pPr>
        <w:spacing w:after="0" w:line="13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 xml:space="preserve">2.3.2.  </w:t>
      </w:r>
      <w:r>
        <w:rPr>
          <w:rFonts w:ascii="Times New Roman" w:cs="Times New Roman" w:eastAsia="Times New Roman" w:hAnsi="Times New Roman"/>
          <w:sz w:val="22"/>
          <w:szCs w:val="22"/>
          <w:u w:val="single" w:color="auto"/>
          <w:color w:val="auto"/>
        </w:rPr>
        <w:t>Effecting a Deemed Liquidation Event</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3900" w:hanging="652"/>
        <w:spacing w:after="0"/>
        <w:tabs>
          <w:tab w:leader="none" w:pos="390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not have the power to effect a Deemed Liquidation Event</w:t>
      </w:r>
    </w:p>
    <w:p>
      <w:pPr>
        <w:spacing w:after="0" w:line="27" w:lineRule="exact"/>
        <w:rPr>
          <w:rFonts w:ascii="Times New Roman" w:cs="Times New Roman" w:eastAsia="Times New Roman" w:hAnsi="Times New Roman"/>
          <w:sz w:val="22"/>
          <w:szCs w:val="22"/>
          <w:color w:val="auto"/>
        </w:rPr>
      </w:pPr>
    </w:p>
    <w:p>
      <w:pPr>
        <w:ind w:right="6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referred to in </w:t>
      </w:r>
      <w:r>
        <w:rPr>
          <w:rFonts w:ascii="Times New Roman" w:cs="Times New Roman" w:eastAsia="Times New Roman" w:hAnsi="Times New Roman"/>
          <w:sz w:val="22"/>
          <w:szCs w:val="22"/>
          <w:u w:val="single" w:color="auto"/>
          <w:color w:val="auto"/>
        </w:rPr>
        <w:t>Subsection 2.3.1(a)(i)</w:t>
      </w:r>
      <w:r>
        <w:rPr>
          <w:rFonts w:ascii="Times New Roman" w:cs="Times New Roman" w:eastAsia="Times New Roman" w:hAnsi="Times New Roman"/>
          <w:sz w:val="22"/>
          <w:szCs w:val="22"/>
          <w:color w:val="auto"/>
        </w:rPr>
        <w:t xml:space="preserve"> unless the agreement or plan of merger or consolidation for such transaction (the “</w:t>
      </w:r>
      <w:r>
        <w:rPr>
          <w:rFonts w:ascii="Times New Roman" w:cs="Times New Roman" w:eastAsia="Times New Roman" w:hAnsi="Times New Roman"/>
          <w:sz w:val="22"/>
          <w:szCs w:val="22"/>
          <w:b w:val="1"/>
          <w:bCs w:val="1"/>
          <w:color w:val="auto"/>
        </w:rPr>
        <w:t>Merger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provides that the consideration payable to the stockholders of the Corporation shall be allocated among the 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capital stock of the Corporation in accordance with </w:t>
      </w:r>
      <w:r>
        <w:rPr>
          <w:rFonts w:ascii="Times New Roman" w:cs="Times New Roman" w:eastAsia="Times New Roman" w:hAnsi="Times New Roman"/>
          <w:sz w:val="22"/>
          <w:szCs w:val="22"/>
          <w:u w:val="single" w:color="auto"/>
          <w:color w:val="auto"/>
        </w:rPr>
        <w:t>Subsections 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2.2</w:t>
      </w:r>
      <w:r>
        <w:rPr>
          <w:rFonts w:ascii="Times New Roman" w:cs="Times New Roman" w:eastAsia="Times New Roman" w:hAnsi="Times New Roman"/>
          <w:sz w:val="22"/>
          <w:szCs w:val="22"/>
          <w:color w:val="auto"/>
        </w:rPr>
        <w:t>.</w:t>
      </w:r>
    </w:p>
    <w:p>
      <w:pPr>
        <w:spacing w:after="0" w:line="132" w:lineRule="exact"/>
        <w:rPr>
          <w:rFonts w:ascii="Times New Roman" w:cs="Times New Roman" w:eastAsia="Times New Roman" w:hAnsi="Times New Roman"/>
          <w:sz w:val="22"/>
          <w:szCs w:val="22"/>
          <w:color w:val="auto"/>
        </w:rPr>
      </w:pPr>
    </w:p>
    <w:p>
      <w:pPr>
        <w:ind w:firstLine="3248"/>
        <w:spacing w:after="0" w:line="237" w:lineRule="auto"/>
        <w:tabs>
          <w:tab w:leader="none" w:pos="3883"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 Deemed Liquidation Event referred to in </w:t>
      </w:r>
      <w:r>
        <w:rPr>
          <w:rFonts w:ascii="Times New Roman" w:cs="Times New Roman" w:eastAsia="Times New Roman" w:hAnsi="Times New Roman"/>
          <w:sz w:val="22"/>
          <w:szCs w:val="22"/>
          <w:u w:val="single" w:color="auto"/>
          <w:color w:val="auto"/>
        </w:rPr>
        <w:t>Subsection 2.3.1(a)(ii)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2.3.1(b)</w:t>
      </w:r>
      <w:r>
        <w:rPr>
          <w:rFonts w:ascii="Times New Roman" w:cs="Times New Roman" w:eastAsia="Times New Roman" w:hAnsi="Times New Roman"/>
          <w:sz w:val="22"/>
          <w:szCs w:val="22"/>
          <w:color w:val="auto"/>
        </w:rPr>
        <w:t>, if the Corporation does not effect a dissolution of the Corporation under the General Corporation Law within ninety (90) days after such Deemed Liquidation Event, then (i) the Corporation shall send a written notice to each holder of Preferred Stock no later than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the Deemed Liquidation Event advising such holders of their right (and the requirements to be met to secure such right) pursuant to the terms of the following clause (ii) to require the redemption of such shares of Preferred Stock, and (ii) if the holders of at least a majority of the then outstanding shares of Preferred Stock so request in a written instrument delivered to the Corporation not later than one hundred twenty (120) days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80"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1220"/>
          </w:cols>
          <w:pgMar w:left="320" w:top="1440" w:right="359" w:bottom="1440" w:gutter="0" w:footer="0" w:header="0"/>
        </w:sectPr>
      </w:pPr>
    </w:p>
    <w:bookmarkStart w:id="295" w:name="page296"/>
    <w:bookmarkEnd w:id="295"/>
    <w:p>
      <w:pPr>
        <w:spacing w:after="0" w:line="198"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color w:val="auto"/>
        </w:rPr>
        <w:t>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together with any other assets of the Corporation available for distribution to its stockholders, all to the extent permitted by Delaware law governing distributions to stockholders (the “</w:t>
      </w:r>
      <w:r>
        <w:rPr>
          <w:rFonts w:ascii="Times New Roman" w:cs="Times New Roman" w:eastAsia="Times New Roman" w:hAnsi="Times New Roman"/>
          <w:sz w:val="22"/>
          <w:szCs w:val="22"/>
          <w:b w:val="1"/>
          <w:bCs w:val="1"/>
          <w:color w:val="auto"/>
        </w:rPr>
        <w:t>Available Proceeds</w:t>
      </w:r>
      <w:r>
        <w:rPr>
          <w:rFonts w:ascii="Times New Roman" w:cs="Times New Roman" w:eastAsia="Times New Roman" w:hAnsi="Times New Roman"/>
          <w:sz w:val="22"/>
          <w:szCs w:val="22"/>
          <w:color w:val="auto"/>
        </w:rPr>
        <w:t>”), on the one hundred fiftieth (150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such Deemed Liquidation Event, to redeem all outstanding shares of Series A Preferred Stock at a price per share equal to the Series A Liquidation Amount, all outstanding shares of Series B Preferred Stock at a price per share equal to the Series B Liquidation Amount, all outstanding shares of Series C Preferred Stock at a price per share equal to the Series C Liquidation Amount, all outstanding shares of Series D Preferred Stock at a price per share equal to the Series D Liquidation Amount and all outstanding shares of Series D-1 Preferred Stock at a price per share equal to the Series D-1 Liquidation Amount. Notwithstanding the foregoing, in the event of a redemption pursuant to the preceding sentence, if the Available Proceeds are not sufficient to redeem all outstanding shares of Preferred Stock, the Corporation shall ratably redeem each holder’s shares of Preferred Stock to the fullest extent of such Available Proceeds, and shall redeem the remaining shares as soon as it may lawfully do so under Delaware law governing distributions to stockholders. Prior to the distribution or redemption provided for in this </w:t>
      </w:r>
      <w:r>
        <w:rPr>
          <w:rFonts w:ascii="Times New Roman" w:cs="Times New Roman" w:eastAsia="Times New Roman" w:hAnsi="Times New Roman"/>
          <w:sz w:val="22"/>
          <w:szCs w:val="22"/>
          <w:u w:val="single" w:color="auto"/>
          <w:color w:val="auto"/>
        </w:rPr>
        <w:t>Subsection 2.3.2(b)</w:t>
      </w:r>
      <w:r>
        <w:rPr>
          <w:rFonts w:ascii="Times New Roman" w:cs="Times New Roman" w:eastAsia="Times New Roman" w:hAnsi="Times New Roman"/>
          <w:sz w:val="22"/>
          <w:szCs w:val="22"/>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149" w:lineRule="exact"/>
        <w:rPr>
          <w:sz w:val="20"/>
          <w:szCs w:val="20"/>
          <w:color w:val="auto"/>
        </w:rPr>
      </w:pPr>
    </w:p>
    <w:p>
      <w:pPr>
        <w:ind w:firstLine="2592"/>
        <w:spacing w:after="0" w:line="248" w:lineRule="auto"/>
        <w:rPr>
          <w:sz w:val="20"/>
          <w:szCs w:val="20"/>
          <w:color w:val="auto"/>
        </w:rPr>
      </w:pPr>
      <w:r>
        <w:rPr>
          <w:rFonts w:ascii="Times New Roman" w:cs="Times New Roman" w:eastAsia="Times New Roman" w:hAnsi="Times New Roman"/>
          <w:sz w:val="22"/>
          <w:szCs w:val="22"/>
          <w:color w:val="auto"/>
        </w:rPr>
        <w:t xml:space="preserve">2.3.3. </w:t>
      </w:r>
      <w:r>
        <w:rPr>
          <w:rFonts w:ascii="Times New Roman" w:cs="Times New Roman" w:eastAsia="Times New Roman" w:hAnsi="Times New Roman"/>
          <w:sz w:val="22"/>
          <w:szCs w:val="22"/>
          <w:u w:val="single" w:color="auto"/>
          <w:color w:val="auto"/>
        </w:rPr>
        <w:t>Amount Deemed Paid or Distributed</w:t>
      </w:r>
      <w:r>
        <w:rPr>
          <w:rFonts w:ascii="Times New Roman" w:cs="Times New Roman" w:eastAsia="Times New Roman" w:hAnsi="Times New Roman"/>
          <w:sz w:val="22"/>
          <w:szCs w:val="22"/>
          <w:color w:val="auto"/>
        </w:rPr>
        <w:t>. The amount deemed paid or distributed to the holders of capital stock of the Corporation upon any such merger, consolidation, sale, transfer, exclusive license (in all fields or substantially all fields such that the Corporation is unable to continue operations in its ordinary course of business),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 of Directors of the Corporation.</w:t>
      </w:r>
    </w:p>
    <w:p>
      <w:pPr>
        <w:spacing w:after="0" w:line="133" w:lineRule="exact"/>
        <w:rPr>
          <w:sz w:val="20"/>
          <w:szCs w:val="20"/>
          <w:color w:val="auto"/>
        </w:rPr>
      </w:pPr>
    </w:p>
    <w:p>
      <w:pPr>
        <w:ind w:right="80" w:firstLine="2592"/>
        <w:spacing w:after="0" w:line="262" w:lineRule="auto"/>
        <w:rPr>
          <w:sz w:val="20"/>
          <w:szCs w:val="20"/>
          <w:color w:val="auto"/>
        </w:rPr>
      </w:pPr>
      <w:r>
        <w:rPr>
          <w:rFonts w:ascii="Times New Roman" w:cs="Times New Roman" w:eastAsia="Times New Roman" w:hAnsi="Times New Roman"/>
          <w:sz w:val="21"/>
          <w:szCs w:val="21"/>
          <w:color w:val="auto"/>
        </w:rPr>
        <w:t xml:space="preserve">2.3.4. </w:t>
      </w:r>
      <w:r>
        <w:rPr>
          <w:rFonts w:ascii="Times New Roman" w:cs="Times New Roman" w:eastAsia="Times New Roman" w:hAnsi="Times New Roman"/>
          <w:sz w:val="21"/>
          <w:szCs w:val="21"/>
          <w:u w:val="single" w:color="auto"/>
          <w:color w:val="auto"/>
        </w:rPr>
        <w:t>Allocation of Escrow and Contingent Consideration</w:t>
      </w:r>
      <w:r>
        <w:rPr>
          <w:rFonts w:ascii="Times New Roman" w:cs="Times New Roman" w:eastAsia="Times New Roman" w:hAnsi="Times New Roman"/>
          <w:sz w:val="21"/>
          <w:szCs w:val="21"/>
          <w:color w:val="auto"/>
        </w:rPr>
        <w:t xml:space="preserve">. In the event of a Deemed Liquidation Event pursuant to </w:t>
      </w:r>
      <w:r>
        <w:rPr>
          <w:rFonts w:ascii="Times New Roman" w:cs="Times New Roman" w:eastAsia="Times New Roman" w:hAnsi="Times New Roman"/>
          <w:sz w:val="21"/>
          <w:szCs w:val="21"/>
          <w:u w:val="single" w:color="auto"/>
          <w:color w:val="auto"/>
        </w:rPr>
        <w:t>Subsection 2.3.1(a)(i)</w:t>
      </w:r>
      <w:r>
        <w:rPr>
          <w:rFonts w:ascii="Times New Roman" w:cs="Times New Roman" w:eastAsia="Times New Roman" w:hAnsi="Times New Roman"/>
          <w:sz w:val="21"/>
          <w:szCs w:val="21"/>
          <w:color w:val="auto"/>
        </w:rPr>
        <w:t>, if any portion of the consideration payable to the stockholders of the Corporation is payable only upon satisfaction of contingencies (the “</w:t>
      </w:r>
      <w:r>
        <w:rPr>
          <w:rFonts w:ascii="Times New Roman" w:cs="Times New Roman" w:eastAsia="Times New Roman" w:hAnsi="Times New Roman"/>
          <w:sz w:val="21"/>
          <w:szCs w:val="21"/>
          <w:b w:val="1"/>
          <w:bCs w:val="1"/>
          <w:color w:val="auto"/>
        </w:rPr>
        <w:t>Additional Consideration</w:t>
      </w:r>
      <w:r>
        <w:rPr>
          <w:rFonts w:ascii="Times New Roman" w:cs="Times New Roman" w:eastAsia="Times New Roman" w:hAnsi="Times New Roman"/>
          <w:sz w:val="21"/>
          <w:szCs w:val="21"/>
          <w:color w:val="auto"/>
        </w:rPr>
        <w:t>”), the Merger Agreement shall provide that</w:t>
      </w:r>
    </w:p>
    <w:p>
      <w:pPr>
        <w:spacing w:after="0" w:line="3" w:lineRule="exact"/>
        <w:rPr>
          <w:sz w:val="20"/>
          <w:szCs w:val="20"/>
          <w:color w:val="auto"/>
        </w:rPr>
      </w:pPr>
    </w:p>
    <w:p>
      <w:pPr>
        <w:ind w:right="180" w:firstLine="8"/>
        <w:spacing w:after="0" w:line="244" w:lineRule="auto"/>
        <w:tabs>
          <w:tab w:leader="none" w:pos="294"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such consideration that is not Additional Consideration (such portion, the “</w:t>
      </w:r>
      <w:r>
        <w:rPr>
          <w:rFonts w:ascii="Times New Roman" w:cs="Times New Roman" w:eastAsia="Times New Roman" w:hAnsi="Times New Roman"/>
          <w:sz w:val="22"/>
          <w:szCs w:val="22"/>
          <w:b w:val="1"/>
          <w:bCs w:val="1"/>
          <w:color w:val="auto"/>
        </w:rPr>
        <w:t>Initial Consideration</w:t>
      </w:r>
      <w:r>
        <w:rPr>
          <w:rFonts w:ascii="Times New Roman" w:cs="Times New Roman" w:eastAsia="Times New Roman" w:hAnsi="Times New Roman"/>
          <w:sz w:val="22"/>
          <w:szCs w:val="22"/>
          <w:color w:val="auto"/>
        </w:rPr>
        <w:t xml:space="preserve">”) shall be allocated among the holders of capital stock of the Corporation in accordance with </w:t>
      </w:r>
      <w:r>
        <w:rPr>
          <w:rFonts w:ascii="Times New Roman" w:cs="Times New Roman" w:eastAsia="Times New Roman" w:hAnsi="Times New Roman"/>
          <w:sz w:val="22"/>
          <w:szCs w:val="22"/>
          <w:u w:val="single" w:color="auto"/>
          <w:color w:val="auto"/>
        </w:rPr>
        <w:t>Subsections 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2.2</w:t>
      </w:r>
      <w:r>
        <w:rPr>
          <w:rFonts w:ascii="Times New Roman" w:cs="Times New Roman" w:eastAsia="Times New Roman" w:hAnsi="Times New Roman"/>
          <w:sz w:val="22"/>
          <w:szCs w:val="22"/>
          <w:color w:val="auto"/>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 w:cs="Times New Roman" w:eastAsia="Times New Roman" w:hAnsi="Times New Roman"/>
          <w:sz w:val="22"/>
          <w:szCs w:val="22"/>
          <w:u w:val="single" w:color="auto"/>
          <w:color w:val="auto"/>
        </w:rPr>
        <w:t>Subsections 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2.2</w:t>
      </w:r>
      <w:r>
        <w:rPr>
          <w:rFonts w:ascii="Times New Roman" w:cs="Times New Roman" w:eastAsia="Times New Roman" w:hAnsi="Times New Roman"/>
          <w:sz w:val="22"/>
          <w:szCs w:val="22"/>
          <w:color w:val="auto"/>
        </w:rPr>
        <w:t xml:space="preserve"> after taking into account the previous payment of the Initial Consideration as part of the same transaction. For the purposes of this </w:t>
      </w:r>
      <w:r>
        <w:rPr>
          <w:rFonts w:ascii="Times New Roman" w:cs="Times New Roman" w:eastAsia="Times New Roman" w:hAnsi="Times New Roman"/>
          <w:sz w:val="22"/>
          <w:szCs w:val="22"/>
          <w:u w:val="single" w:color="auto"/>
          <w:color w:val="auto"/>
        </w:rPr>
        <w:t>Subsection 2.3.4</w:t>
      </w:r>
      <w:r>
        <w:rPr>
          <w:rFonts w:ascii="Times New Roman" w:cs="Times New Roman" w:eastAsia="Times New Roman" w:hAnsi="Times New Roman"/>
          <w:sz w:val="22"/>
          <w:szCs w:val="22"/>
          <w:color w:val="auto"/>
        </w:rPr>
        <w:t>, consideration placed into escrow or retained as holdback to be available for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2"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ectPr>
          <w:pgSz w:w="11900" w:h="16838" w:orient="portrait"/>
          <w:cols w:equalWidth="0" w:num="1">
            <w:col w:w="11160"/>
          </w:cols>
          <w:pgMar w:left="320" w:top="1440" w:right="419" w:bottom="1440" w:gutter="0" w:footer="0" w:header="0"/>
        </w:sectPr>
      </w:pPr>
    </w:p>
    <w:bookmarkStart w:id="296" w:name="page297"/>
    <w:bookmarkEnd w:id="296"/>
    <w:p>
      <w:pPr>
        <w:spacing w:after="0" w:line="198"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22"/>
          <w:szCs w:val="22"/>
          <w:color w:val="auto"/>
        </w:rPr>
        <w:t>satisfaction of indemnification or similar obligations in connection with such Deemed Liquidation Event shall be deemed to be Additional Consideration.</w:t>
      </w:r>
    </w:p>
    <w:p>
      <w:pPr>
        <w:spacing w:after="0" w:line="104" w:lineRule="exact"/>
        <w:rPr>
          <w:sz w:val="20"/>
          <w:szCs w:val="20"/>
          <w:color w:val="auto"/>
        </w:rPr>
      </w:pPr>
    </w:p>
    <w:p>
      <w:pPr>
        <w:ind w:left="1960" w:hanging="656"/>
        <w:spacing w:after="0"/>
        <w:tabs>
          <w:tab w:leader="none" w:pos="196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firstLine="1944"/>
        <w:spacing w:after="0" w:line="247"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Class A Common Stock into which the shares of Preferred Stock held by such holder are convertible as of the record date for determining stockholders entitled to vote on such matter. Except as provided by law or by the other provisions of the Certificate of Incorporation, holders of Preferred Stock shall vote together as a single class. Except as provided by law or by the other provisions of the Certificate of Incorporation, holders of Preferred Stock shall vote together with the holders of Common Stock as a single class.</w:t>
      </w:r>
    </w:p>
    <w:p>
      <w:pPr>
        <w:spacing w:after="0" w:line="131" w:lineRule="exact"/>
        <w:rPr>
          <w:sz w:val="20"/>
          <w:szCs w:val="20"/>
          <w:color w:val="auto"/>
        </w:rPr>
      </w:pPr>
    </w:p>
    <w:p>
      <w:pPr>
        <w:ind w:right="80" w:firstLine="1944"/>
        <w:spacing w:after="0" w:line="244"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Election of Directors</w:t>
      </w:r>
      <w:r>
        <w:rPr>
          <w:rFonts w:ascii="Times New Roman" w:cs="Times New Roman" w:eastAsia="Times New Roman" w:hAnsi="Times New Roman"/>
          <w:sz w:val="22"/>
          <w:szCs w:val="22"/>
          <w:color w:val="auto"/>
        </w:rPr>
        <w:t>. The holders of record of the shares of Preferred Stock, exclusively and as a separate class, shall be entitled to elect one director of the Corporation (the “</w:t>
      </w:r>
      <w:r>
        <w:rPr>
          <w:rFonts w:ascii="Times New Roman" w:cs="Times New Roman" w:eastAsia="Times New Roman" w:hAnsi="Times New Roman"/>
          <w:sz w:val="22"/>
          <w:szCs w:val="22"/>
          <w:b w:val="1"/>
          <w:bCs w:val="1"/>
          <w:color w:val="auto"/>
        </w:rPr>
        <w:t>Preferred Director</w:t>
      </w:r>
      <w:r>
        <w:rPr>
          <w:rFonts w:ascii="Times New Roman" w:cs="Times New Roman" w:eastAsia="Times New Roman" w:hAnsi="Times New Roman"/>
          <w:sz w:val="22"/>
          <w:szCs w:val="22"/>
          <w:color w:val="auto"/>
        </w:rPr>
        <w:t>”). The holders of record of the shares of Preferred Stock and Common Stock, exclusively and as a single class, shall be entitled to elect one director of the Corporation (the “</w:t>
      </w:r>
      <w:r>
        <w:rPr>
          <w:rFonts w:ascii="Times New Roman" w:cs="Times New Roman" w:eastAsia="Times New Roman" w:hAnsi="Times New Roman"/>
          <w:sz w:val="22"/>
          <w:szCs w:val="22"/>
          <w:b w:val="1"/>
          <w:bCs w:val="1"/>
          <w:color w:val="auto"/>
        </w:rPr>
        <w:t>Mutual Director</w:t>
      </w:r>
      <w:r>
        <w:rPr>
          <w:rFonts w:ascii="Times New Roman" w:cs="Times New Roman" w:eastAsia="Times New Roman" w:hAnsi="Times New Roman"/>
          <w:sz w:val="22"/>
          <w:szCs w:val="22"/>
          <w:color w:val="auto"/>
        </w:rPr>
        <w:t xml:space="preserve">”). The holders of record of the shares of Common Stock, exclusively and as a separate class, shall be entitled to elect three directors of the Corporation.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Times New Roman" w:cs="Times New Roman" w:eastAsia="Times New Roman" w:hAnsi="Times New Roman"/>
          <w:sz w:val="22"/>
          <w:szCs w:val="22"/>
          <w:u w:val="single" w:color="auto"/>
          <w:color w:val="auto"/>
        </w:rPr>
        <w:t>Subsection 3.2</w:t>
      </w:r>
      <w:r>
        <w:rPr>
          <w:rFonts w:ascii="Times New Roman" w:cs="Times New Roman" w:eastAsia="Times New Roman" w:hAnsi="Times New Roman"/>
          <w:sz w:val="22"/>
          <w:szCs w:val="22"/>
          <w:color w:val="auto"/>
        </w:rPr>
        <w:t xml:space="preserve">, then any directorship not so filled shall remain vacant until such time as the holders of the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on an as-converted basis,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cs="Times New Roman" w:eastAsia="Times New Roman" w:hAnsi="Times New Roman"/>
          <w:sz w:val="22"/>
          <w:szCs w:val="22"/>
          <w:u w:val="single" w:color="auto"/>
          <w:color w:val="auto"/>
        </w:rPr>
        <w:t>Subsection 3.2</w:t>
      </w:r>
      <w:r>
        <w:rPr>
          <w:rFonts w:ascii="Times New Roman" w:cs="Times New Roman" w:eastAsia="Times New Roman" w:hAnsi="Times New Roman"/>
          <w:sz w:val="22"/>
          <w:szCs w:val="22"/>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Times New Roman" w:cs="Times New Roman" w:eastAsia="Times New Roman" w:hAnsi="Times New Roman"/>
          <w:sz w:val="22"/>
          <w:szCs w:val="22"/>
          <w:u w:val="single" w:color="auto"/>
          <w:color w:val="auto"/>
        </w:rPr>
        <w:t>Subsection 3.2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198" w:lineRule="exact"/>
        <w:rPr>
          <w:sz w:val="20"/>
          <w:szCs w:val="20"/>
          <w:color w:val="auto"/>
        </w:rPr>
      </w:pPr>
    </w:p>
    <w:p>
      <w:pPr>
        <w:ind w:right="60" w:firstLine="1944"/>
        <w:spacing w:after="0" w:line="248"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Preferred Stock Protective Provisions</w:t>
      </w:r>
      <w:r>
        <w:rPr>
          <w:rFonts w:ascii="Times New Roman" w:cs="Times New Roman" w:eastAsia="Times New Roman" w:hAnsi="Times New Roman"/>
          <w:sz w:val="22"/>
          <w:szCs w:val="22"/>
          <w:color w:val="auto"/>
        </w:rPr>
        <w:t xml:space="preserve">. At any time when any shares of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at least a majority of the then outstanding shares of Preferred Stock, given in writing or by vote at a meeting, consenting or voting (as the case may be) separately as a class, and any such act or transaction entered into without such consent or vote shall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and of no force or effect.</w:t>
      </w:r>
    </w:p>
    <w:p>
      <w:pPr>
        <w:spacing w:after="0" w:line="133" w:lineRule="exact"/>
        <w:rPr>
          <w:sz w:val="20"/>
          <w:szCs w:val="20"/>
          <w:color w:val="auto"/>
        </w:rPr>
      </w:pPr>
    </w:p>
    <w:p>
      <w:pPr>
        <w:ind w:right="40" w:firstLine="2592"/>
        <w:spacing w:after="0" w:line="271" w:lineRule="auto"/>
        <w:rPr>
          <w:sz w:val="20"/>
          <w:szCs w:val="20"/>
          <w:color w:val="auto"/>
        </w:rPr>
      </w:pPr>
      <w:r>
        <w:rPr>
          <w:rFonts w:ascii="Times New Roman" w:cs="Times New Roman" w:eastAsia="Times New Roman" w:hAnsi="Times New Roman"/>
          <w:sz w:val="22"/>
          <w:szCs w:val="22"/>
          <w:color w:val="auto"/>
        </w:rPr>
        <w:t>3.3.1 liquidate, dissolve or wind-up the business and affairs of the Corporation, effect any merger or consolidation or any other Deemed Liquidation Event, or consent to any of the foregoing;</w:t>
      </w:r>
    </w:p>
    <w:p>
      <w:pPr>
        <w:spacing w:after="0" w:line="104" w:lineRule="exact"/>
        <w:rPr>
          <w:sz w:val="20"/>
          <w:szCs w:val="20"/>
          <w:color w:val="auto"/>
        </w:rPr>
      </w:pPr>
    </w:p>
    <w:p>
      <w:pPr>
        <w:ind w:right="80" w:firstLine="2592"/>
        <w:spacing w:after="0" w:line="271" w:lineRule="auto"/>
        <w:rPr>
          <w:sz w:val="20"/>
          <w:szCs w:val="20"/>
          <w:color w:val="auto"/>
        </w:rPr>
      </w:pPr>
      <w:r>
        <w:rPr>
          <w:rFonts w:ascii="Times New Roman" w:cs="Times New Roman" w:eastAsia="Times New Roman" w:hAnsi="Times New Roman"/>
          <w:sz w:val="22"/>
          <w:szCs w:val="22"/>
          <w:color w:val="auto"/>
        </w:rPr>
        <w:t>3.3.2 amend, alter, repeal or waive any provision of the Certificate of Incorporation or Bylaws of the Corporation in a manner that adversely affects the powers, preferences or rights of the Preferred Stock;</w:t>
      </w:r>
    </w:p>
    <w:p>
      <w:pPr>
        <w:spacing w:after="0" w:line="104" w:lineRule="exact"/>
        <w:rPr>
          <w:sz w:val="20"/>
          <w:szCs w:val="20"/>
          <w:color w:val="auto"/>
        </w:rPr>
      </w:pPr>
    </w:p>
    <w:p>
      <w:pPr>
        <w:jc w:val="both"/>
        <w:ind w:right="120" w:firstLine="2592"/>
        <w:spacing w:after="0" w:line="257" w:lineRule="auto"/>
        <w:rPr>
          <w:sz w:val="20"/>
          <w:szCs w:val="20"/>
          <w:color w:val="auto"/>
        </w:rPr>
      </w:pPr>
      <w:r>
        <w:rPr>
          <w:rFonts w:ascii="Times New Roman" w:cs="Times New Roman" w:eastAsia="Times New Roman" w:hAnsi="Times New Roman"/>
          <w:sz w:val="22"/>
          <w:szCs w:val="22"/>
          <w:color w:val="auto"/>
        </w:rPr>
        <w:t>3.3.3 create, or authorize the creation of, any additional class or series of capital stock unless the same ranks junior to the Preferred Stock with respect to the distribution of assets on the liquidation, dissolution or winding up of the Corporation, the payment of dividends and rights of redemption;</w:t>
      </w:r>
    </w:p>
    <w:p>
      <w:pPr>
        <w:spacing w:after="0" w:line="119" w:lineRule="exact"/>
        <w:rPr>
          <w:sz w:val="20"/>
          <w:szCs w:val="20"/>
          <w:color w:val="auto"/>
        </w:rPr>
      </w:pPr>
    </w:p>
    <w:p>
      <w:pPr>
        <w:ind w:right="20" w:firstLine="2592"/>
        <w:spacing w:after="0" w:line="247" w:lineRule="auto"/>
        <w:rPr>
          <w:sz w:val="20"/>
          <w:szCs w:val="20"/>
          <w:color w:val="auto"/>
        </w:rPr>
      </w:pPr>
      <w:r>
        <w:rPr>
          <w:rFonts w:ascii="Times New Roman" w:cs="Times New Roman" w:eastAsia="Times New Roman" w:hAnsi="Times New Roman"/>
          <w:sz w:val="22"/>
          <w:szCs w:val="22"/>
          <w:color w:val="auto"/>
        </w:rPr>
        <w:t>3.3.4 (i) reclassify, alter or amend any existing security of the Corporation that is pari passu with the Preferred Stock in respect of the distribution of assets on the liquidation, dissolution or winding up of the Corporation, the payment of dividends or rights of redemption, if such reclassification, alteration or amendment would render such other security senior to the Preferred Stock in respect of any such right, preference, or privilege or (ii) reclassify, alter or amend any existing security of the Corporation that is junior to the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Preferred Stock in respect of any such right, preference or privilege;</w:t>
      </w:r>
    </w:p>
    <w:p>
      <w:pPr>
        <w:spacing w:after="0" w:line="131" w:lineRule="exact"/>
        <w:rPr>
          <w:sz w:val="20"/>
          <w:szCs w:val="20"/>
          <w:color w:val="auto"/>
        </w:rPr>
      </w:pPr>
    </w:p>
    <w:p>
      <w:pPr>
        <w:ind w:firstLine="2592"/>
        <w:spacing w:after="0" w:line="247" w:lineRule="auto"/>
        <w:rPr>
          <w:sz w:val="20"/>
          <w:szCs w:val="20"/>
          <w:color w:val="auto"/>
        </w:rPr>
      </w:pPr>
      <w:r>
        <w:rPr>
          <w:rFonts w:ascii="Times New Roman" w:cs="Times New Roman" w:eastAsia="Times New Roman" w:hAnsi="Times New Roman"/>
          <w:sz w:val="22"/>
          <w:szCs w:val="22"/>
          <w:color w:val="auto"/>
        </w:rPr>
        <w:t>3.3.5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and (iii) repurchases of stock from current or former employees, officers, directors, consultants or other persons who perform or performed services for the Corporation or any subsidiary pursuant to agreements approved by the Board of Directors pursuant to which the Corporation has the option to repurchase shares of stock upon the occurrence of specified events, including but not limited to the cessation of such employment or service, at the lower of the original purchase price or the then-current fair market value thereof;</w:t>
      </w:r>
    </w:p>
    <w:p>
      <w:pPr>
        <w:spacing w:after="0" w:line="131" w:lineRule="exact"/>
        <w:rPr>
          <w:sz w:val="20"/>
          <w:szCs w:val="20"/>
          <w:color w:val="auto"/>
        </w:rPr>
      </w:pPr>
    </w:p>
    <w:p>
      <w:pPr>
        <w:ind w:right="20" w:firstLine="2592"/>
        <w:spacing w:after="0" w:line="271" w:lineRule="auto"/>
        <w:rPr>
          <w:sz w:val="20"/>
          <w:szCs w:val="20"/>
          <w:color w:val="auto"/>
        </w:rPr>
      </w:pPr>
      <w:r>
        <w:rPr>
          <w:rFonts w:ascii="Times New Roman" w:cs="Times New Roman" w:eastAsia="Times New Roman" w:hAnsi="Times New Roman"/>
          <w:sz w:val="22"/>
          <w:szCs w:val="22"/>
          <w:color w:val="auto"/>
        </w:rPr>
        <w:t>3.3.6 permit any direct or indirect subsidiary to issue shares of its capital stock, or sell, transfer or otherwise dispose of any capital stock of any direct or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40" w:right="359" w:bottom="1440" w:gutter="0" w:footer="0" w:header="0"/>
        </w:sectPr>
      </w:pPr>
    </w:p>
    <w:bookmarkStart w:id="298" w:name="page299"/>
    <w:bookmarkEnd w:id="298"/>
    <w:p>
      <w:pPr>
        <w:spacing w:after="0" w:line="19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21"/>
          <w:szCs w:val="21"/>
          <w:color w:val="auto"/>
        </w:rPr>
        <w:t>subsidiary of the Corporation, or permit any direct or indirect subsidiary to sell, lease, transfer, exclusively license (in all fields or substantially all fields such that the Corporation is unable to continue operations in its ordinary course of business) or otherwise dispose (in a single transaction or series of related transactions) of all or substantially all of the assets of such subsidiary;</w:t>
      </w:r>
    </w:p>
    <w:p>
      <w:pPr>
        <w:spacing w:after="0" w:line="101"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22"/>
          <w:szCs w:val="22"/>
          <w:color w:val="auto"/>
        </w:rPr>
        <w:t>3.3.7</w:t>
      </w:r>
      <w:r>
        <w:rPr>
          <w:sz w:val="20"/>
          <w:szCs w:val="20"/>
          <w:color w:val="auto"/>
        </w:rPr>
        <w:tab/>
      </w:r>
      <w:r>
        <w:rPr>
          <w:rFonts w:ascii="Times New Roman" w:cs="Times New Roman" w:eastAsia="Times New Roman" w:hAnsi="Times New Roman"/>
          <w:sz w:val="21"/>
          <w:szCs w:val="21"/>
          <w:color w:val="auto"/>
        </w:rPr>
        <w:t>increase or decrease the authorized number of directors constituting the Board of Directors;</w:t>
      </w:r>
    </w:p>
    <w:p>
      <w:pPr>
        <w:spacing w:after="0" w:line="166"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22"/>
          <w:szCs w:val="22"/>
          <w:color w:val="auto"/>
        </w:rPr>
        <w:t>3.3.8</w:t>
      </w:r>
      <w:r>
        <w:rPr>
          <w:sz w:val="20"/>
          <w:szCs w:val="20"/>
          <w:color w:val="auto"/>
        </w:rPr>
        <w:tab/>
      </w:r>
      <w:r>
        <w:rPr>
          <w:rFonts w:ascii="Times New Roman" w:cs="Times New Roman" w:eastAsia="Times New Roman" w:hAnsi="Times New Roman"/>
          <w:sz w:val="21"/>
          <w:szCs w:val="21"/>
          <w:color w:val="auto"/>
        </w:rPr>
        <w:t>increase or decrease the authorized number of shares of Common Stock or Preferred Stock;</w:t>
      </w:r>
    </w:p>
    <w:p>
      <w:pPr>
        <w:spacing w:after="0" w:line="166" w:lineRule="exact"/>
        <w:rPr>
          <w:sz w:val="20"/>
          <w:szCs w:val="20"/>
          <w:color w:val="auto"/>
        </w:rPr>
      </w:pPr>
    </w:p>
    <w:p>
      <w:pPr>
        <w:ind w:firstLine="2592"/>
        <w:spacing w:after="0" w:line="248" w:lineRule="auto"/>
        <w:rPr>
          <w:sz w:val="20"/>
          <w:szCs w:val="20"/>
          <w:color w:val="auto"/>
        </w:rPr>
      </w:pPr>
      <w:r>
        <w:rPr>
          <w:rFonts w:ascii="Times New Roman" w:cs="Times New Roman" w:eastAsia="Times New Roman" w:hAnsi="Times New Roman"/>
          <w:sz w:val="22"/>
          <w:szCs w:val="22"/>
          <w:color w:val="auto"/>
        </w:rPr>
        <w:t>3.3.9 create, or authorize the creation of, or issue, or authorize the issuance of any debt security or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or permit any subsidiary to take any such action with respect to any debt security lien, security interest or other indebtedness for borrowed money, if the aggregate indebtedness of the Corporation and its subsidiaries for borrowed money following such action would exceed $10,000,000 other than equipment leases or trade payables incurred in the ordinary course;</w:t>
      </w:r>
    </w:p>
    <w:p>
      <w:pPr>
        <w:spacing w:after="0" w:line="128" w:lineRule="exact"/>
        <w:rPr>
          <w:sz w:val="20"/>
          <w:szCs w:val="20"/>
          <w:color w:val="auto"/>
        </w:rPr>
      </w:pPr>
    </w:p>
    <w:p>
      <w:pPr>
        <w:ind w:right="20" w:firstLine="2592"/>
        <w:spacing w:after="0" w:line="250" w:lineRule="auto"/>
        <w:rPr>
          <w:sz w:val="20"/>
          <w:szCs w:val="20"/>
          <w:color w:val="auto"/>
        </w:rPr>
      </w:pPr>
      <w:r>
        <w:rPr>
          <w:rFonts w:ascii="Times New Roman" w:cs="Times New Roman" w:eastAsia="Times New Roman" w:hAnsi="Times New Roman"/>
          <w:sz w:val="22"/>
          <w:szCs w:val="22"/>
          <w:color w:val="auto"/>
        </w:rPr>
        <w:t>3.3.10 authorize or enter into any transaction between the Corporation and any related party, other than routine compensation of the Corporation’s employees or other service providers that has received the prior approval of the Board of Directors, where routine compensation for purposes hereof shall mean a change in salary, bonus or employment benefits of less than or equal to 10% that is made as part of a general review as compared to former salary, bonus or employment benefits; or</w:t>
      </w:r>
    </w:p>
    <w:p>
      <w:pPr>
        <w:spacing w:after="0" w:line="127" w:lineRule="exact"/>
        <w:rPr>
          <w:sz w:val="20"/>
          <w:szCs w:val="20"/>
          <w:color w:val="auto"/>
        </w:rPr>
      </w:pPr>
    </w:p>
    <w:p>
      <w:pPr>
        <w:ind w:firstLine="2592"/>
        <w:spacing w:after="0" w:line="252" w:lineRule="auto"/>
        <w:rPr>
          <w:sz w:val="20"/>
          <w:szCs w:val="20"/>
          <w:color w:val="auto"/>
        </w:rPr>
      </w:pPr>
      <w:r>
        <w:rPr>
          <w:rFonts w:ascii="Times New Roman" w:cs="Times New Roman" w:eastAsia="Times New Roman" w:hAnsi="Times New Roman"/>
          <w:sz w:val="22"/>
          <w:szCs w:val="22"/>
          <w:color w:val="auto"/>
        </w:rPr>
        <w:t>3.3.11 create any new stock or option plan or increase the number of shares authorized for issuance under any existing stock or option plan in excess of an annual increase in the number of authorized shares of up to 3% of the fully diluted capitalization of the Corporation that is approved by the Board of Directors and is measured as of the date of such approval.</w:t>
      </w:r>
    </w:p>
    <w:p>
      <w:pPr>
        <w:spacing w:after="0" w:line="125" w:lineRule="exact"/>
        <w:rPr>
          <w:sz w:val="20"/>
          <w:szCs w:val="20"/>
          <w:color w:val="auto"/>
        </w:rPr>
      </w:pPr>
    </w:p>
    <w:p>
      <w:pPr>
        <w:ind w:right="40" w:firstLine="1944"/>
        <w:spacing w:after="0" w:line="246"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Series A Preferred Stock Protective Provision</w:t>
      </w:r>
      <w:r>
        <w:rPr>
          <w:rFonts w:ascii="Times New Roman" w:cs="Times New Roman" w:eastAsia="Times New Roman" w:hAnsi="Times New Roman"/>
          <w:sz w:val="22"/>
          <w:szCs w:val="22"/>
          <w:color w:val="auto"/>
        </w:rPr>
        <w:t>. At any time when any shares of Series A Preferred Stock are outstanding, the Corporation shall not, either directly or indirectly by amendment, merger, consolidation or otherwise, amend, alter, repeal or waive any provision of the Certificate of Incorporation or Bylaws of the Corporation in a manner that adversely affects the powers, preferences or rights of the Series A Preferred Stock in a manner that is differential and adverse to the other series of Preferred Stock then outstanding (it being understood that this Section shall not apply to the creation of any additional class or series of capital stock that ranks senior to or on parity with the Series A Preferred Stock with respect to rights, preferences, powers, privileges) without (in addition to any other vote required by law or the Certificate of Incorporation) the written consent or affirmative vote of the holders of at least a majority of the then outstanding shares of Series A Preferred Stock, given in writing or by vote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198"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22"/>
          <w:szCs w:val="22"/>
          <w:color w:val="auto"/>
        </w:rPr>
        <w:t>a meeting, consenting or voting (as the case may be) separately as a class, and any such act or transaction entered into without such consent or vote shall be null and void ab initio, and of no force or effect.</w:t>
      </w:r>
    </w:p>
    <w:p>
      <w:pPr>
        <w:spacing w:after="0" w:line="104" w:lineRule="exact"/>
        <w:rPr>
          <w:sz w:val="20"/>
          <w:szCs w:val="20"/>
          <w:color w:val="auto"/>
        </w:rPr>
      </w:pPr>
    </w:p>
    <w:p>
      <w:pPr>
        <w:ind w:right="20" w:firstLine="1944"/>
        <w:spacing w:after="0" w:line="259"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u w:val="single" w:color="auto"/>
          <w:color w:val="auto"/>
        </w:rPr>
        <w:t>Series B Preferred Stock Protective Provision</w:t>
      </w:r>
      <w:r>
        <w:rPr>
          <w:rFonts w:ascii="Times New Roman" w:cs="Times New Roman" w:eastAsia="Times New Roman" w:hAnsi="Times New Roman"/>
          <w:sz w:val="21"/>
          <w:szCs w:val="21"/>
          <w:color w:val="auto"/>
        </w:rPr>
        <w:t>. At any time when any shares of Series B Preferred Stock are outstanding, the Corporation shall not, either directly or indirectly by amendment, merger, consolidation or otherwise, amend, alter, repeal or waive any provision of the Certificate of Incorporation or Bylaws of the Corporation in a manner that adversely affects the powers, preferences or rights of the Series B Preferred Stock in a manner that is differential and adverse to the other series of Preferred Stock then outstanding (it being understood that this Section shall not apply to the creation of any additional class or series of capital stock that ranks senior to or on parity with the Series B Preferred Stock with respect to rights, preferences, powers, privileges) without (in addition to any other vote required by law or the Certificate of Incorporation) the written consent or affirmative vote of the holders of at least a majority of the then outstanding shares of Series B Preferred Stock, given in writing or by vote at a meeting, consenting or voting (as the case may be) separately as a class, and any such act or transaction entered into without such consent or vote shall be null and void ab initio, and of no force or effect.</w:t>
      </w:r>
    </w:p>
    <w:p>
      <w:pPr>
        <w:spacing w:after="0" w:line="121" w:lineRule="exact"/>
        <w:rPr>
          <w:sz w:val="20"/>
          <w:szCs w:val="20"/>
          <w:color w:val="auto"/>
        </w:rPr>
      </w:pPr>
    </w:p>
    <w:p>
      <w:pPr>
        <w:ind w:right="20" w:firstLine="1944"/>
        <w:spacing w:after="0" w:line="259"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u w:val="single" w:color="auto"/>
          <w:color w:val="auto"/>
        </w:rPr>
        <w:t>Series C Preferred Stock Protective Provision</w:t>
      </w:r>
      <w:r>
        <w:rPr>
          <w:rFonts w:ascii="Times New Roman" w:cs="Times New Roman" w:eastAsia="Times New Roman" w:hAnsi="Times New Roman"/>
          <w:sz w:val="21"/>
          <w:szCs w:val="21"/>
          <w:color w:val="auto"/>
        </w:rPr>
        <w:t>. At any time when any shares of Series C Preferred Stock are outstanding, the Corporation shall not, either directly or indirectly by amendment, merger, consolidation or otherwise, amend, alter, repeal or waive any provision of the Certificate of Incorporation or Bylaws of the Corporation in a manner that adversely affects the powers, preferences or rights of the Series C Preferred Stock in a manner that is differential and adverse to the other series of Preferred Stock then outstanding (it being understood that this Section shall not apply to the creation of any additional class or series of capital stock that ranks senior to or on parity with the Series C Preferred Stock with respect to rights, preferences, powers, privileges) without (in addition to any other vote required by law or the Certificate of Incorporation) the written consent or affirmative vote of the holders of at least a majority of the then outstanding shares of Series C Preferred Stock, given in writing or by vote at a meeting, consenting or voting (as the case may be) separately as a class, and any such act or transaction entered into without such consent or vote shall be null and void ab initio, and of no force or effect.</w:t>
      </w:r>
    </w:p>
    <w:p>
      <w:pPr>
        <w:spacing w:after="0" w:line="121"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21"/>
          <w:szCs w:val="21"/>
          <w:color w:val="auto"/>
        </w:rPr>
        <w:t xml:space="preserve">3.7 </w:t>
      </w:r>
      <w:r>
        <w:rPr>
          <w:rFonts w:ascii="Times New Roman" w:cs="Times New Roman" w:eastAsia="Times New Roman" w:hAnsi="Times New Roman"/>
          <w:sz w:val="21"/>
          <w:szCs w:val="21"/>
          <w:u w:val="single" w:color="auto"/>
          <w:color w:val="auto"/>
        </w:rPr>
        <w:t>Series D Preferred Stock Protective Provision</w:t>
      </w:r>
      <w:r>
        <w:rPr>
          <w:rFonts w:ascii="Times New Roman" w:cs="Times New Roman" w:eastAsia="Times New Roman" w:hAnsi="Times New Roman"/>
          <w:sz w:val="21"/>
          <w:szCs w:val="21"/>
          <w:color w:val="auto"/>
        </w:rPr>
        <w:t>. At any time when any shares of Series D Preferred Stock are outstanding, the Corporation shall not, either directly or indirectly by amendment, merger, consolidation or otherwise, amend, alter, repeal or waive any provision of the Certificate of Incorporation or Bylaws of the Corporation in a manner that adversely affects the powers, preferences or rights of the Series D Preferred Stock in a manner that is differential and adverse to the other series of Preferred Stock then outstanding (it being understood that this Section shall not apply to the creation of any additional class or series of capital stock that ranks senior to or on parity with the Series D Preferred Stock with respect to rights, preferences, powers, privileges) without (in addition to any other vote required by law or the Certificate of Incorporation) the written consent or affirmative vote of the holders of at least a majority of the then outstanding shares of Series D Preferred Stock, given in writing or by vote at a meeting, consenting or voting (as the case may be) separately as a class, and any such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00"/>
          </w:cols>
          <w:pgMar w:left="320" w:top="1440" w:right="379" w:bottom="1440" w:gutter="0" w:footer="0" w:header="0"/>
        </w:sectPr>
      </w:pPr>
    </w:p>
    <w:bookmarkStart w:id="300" w:name="page301"/>
    <w:bookmarkEnd w:id="300"/>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transaction entered into without such consent or vote shall be null and void ab initio, and of no force or effect.</w:t>
      </w:r>
    </w:p>
    <w:p>
      <w:pPr>
        <w:spacing w:after="0" w:line="166" w:lineRule="exact"/>
        <w:rPr>
          <w:sz w:val="20"/>
          <w:szCs w:val="20"/>
          <w:color w:val="auto"/>
        </w:rPr>
      </w:pPr>
    </w:p>
    <w:p>
      <w:pPr>
        <w:ind w:right="60" w:firstLine="1944"/>
        <w:spacing w:after="0" w:line="259" w:lineRule="auto"/>
        <w:rPr>
          <w:sz w:val="20"/>
          <w:szCs w:val="20"/>
          <w:color w:val="auto"/>
        </w:rPr>
      </w:pPr>
      <w:r>
        <w:rPr>
          <w:rFonts w:ascii="Times New Roman" w:cs="Times New Roman" w:eastAsia="Times New Roman" w:hAnsi="Times New Roman"/>
          <w:sz w:val="21"/>
          <w:szCs w:val="21"/>
          <w:color w:val="auto"/>
        </w:rPr>
        <w:t xml:space="preserve">3.8 </w:t>
      </w:r>
      <w:r>
        <w:rPr>
          <w:rFonts w:ascii="Times New Roman" w:cs="Times New Roman" w:eastAsia="Times New Roman" w:hAnsi="Times New Roman"/>
          <w:sz w:val="21"/>
          <w:szCs w:val="21"/>
          <w:u w:val="single" w:color="auto"/>
          <w:color w:val="auto"/>
        </w:rPr>
        <w:t>Series D-1 Preferred Stock Protective Provision</w:t>
      </w:r>
      <w:r>
        <w:rPr>
          <w:rFonts w:ascii="Times New Roman" w:cs="Times New Roman" w:eastAsia="Times New Roman" w:hAnsi="Times New Roman"/>
          <w:sz w:val="21"/>
          <w:szCs w:val="21"/>
          <w:color w:val="auto"/>
        </w:rPr>
        <w:t>. At any time when any shares of Series D-1 Preferred Stock are outstanding, the Corporation shall not, either directly or indirectly by amendment, merger, consolidation or otherwise, amend, alter, repeal or waive any provision of the Certificate of Incorporation or Bylaws of the Corporation in a manner that adversely affects the powers, preferences or rights of the Series D-1 Preferred Stock in a manner that is differential and adverse to the other series of Preferred Stock then outstanding (it being understood that this Section shall not apply to the creation of any additional class or series of capital stock that ranks senior to or on parity with the Series D-1 Preferred Stock with respect to rights, preferences, powers, privileges) without (in addition to any other vote required by law or the Certificate of Incorporation) the written consent or affirmative vote of the holders of at least a majority of the then outstanding shares of Series D-1 Preferred Stock, given in writing or by vote at a meeting, consenting or voting (as the case may be) separately as a class, and any such act or transaction entered into without such consent or vote shall be null and void ab initio, and of no force or effect.</w:t>
      </w:r>
    </w:p>
    <w:p>
      <w:pPr>
        <w:spacing w:after="0" w:line="121" w:lineRule="exact"/>
        <w:rPr>
          <w:sz w:val="20"/>
          <w:szCs w:val="20"/>
          <w:color w:val="auto"/>
        </w:rPr>
      </w:pPr>
    </w:p>
    <w:p>
      <w:pPr>
        <w:ind w:left="1960" w:hanging="656"/>
        <w:spacing w:after="0"/>
        <w:tabs>
          <w:tab w:leader="none" w:pos="196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Conversion</w:t>
      </w:r>
      <w:r>
        <w:rPr>
          <w:rFonts w:ascii="Times New Roman" w:cs="Times New Roman" w:eastAsia="Times New Roman" w:hAnsi="Times New Roman"/>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holders of the Preferred Stock shall have conversion rights as follows (the “</w:t>
      </w:r>
      <w:r>
        <w:rPr>
          <w:rFonts w:ascii="Times New Roman" w:cs="Times New Roman" w:eastAsia="Times New Roman" w:hAnsi="Times New Roman"/>
          <w:sz w:val="22"/>
          <w:szCs w:val="22"/>
          <w:b w:val="1"/>
          <w:bCs w:val="1"/>
          <w:color w:val="auto"/>
        </w:rPr>
        <w:t>Conversion Rights</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Right to Convert</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firstLine="2592"/>
        <w:spacing w:after="0" w:line="245"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u w:val="single" w:color="auto"/>
          <w:color w:val="auto"/>
        </w:rPr>
        <w:t>Conversion Ratio</w:t>
      </w:r>
      <w:r>
        <w:rPr>
          <w:rFonts w:ascii="Times New Roman" w:cs="Times New Roman" w:eastAsia="Times New Roman" w:hAnsi="Times New Roman"/>
          <w:sz w:val="22"/>
          <w:szCs w:val="22"/>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Class A Common Stock as is determined (i) in the case of the Series A Preferred Stock by dividing the Series A Original Issue Price by the Series A Conversion Price (as defined below) in effect at the time of conversion (the “</w:t>
      </w:r>
      <w:r>
        <w:rPr>
          <w:rFonts w:ascii="Times New Roman" w:cs="Times New Roman" w:eastAsia="Times New Roman" w:hAnsi="Times New Roman"/>
          <w:sz w:val="22"/>
          <w:szCs w:val="22"/>
          <w:b w:val="1"/>
          <w:bCs w:val="1"/>
          <w:color w:val="auto"/>
        </w:rPr>
        <w:t>Series A Conversion Rate</w:t>
      </w:r>
      <w:r>
        <w:rPr>
          <w:rFonts w:ascii="Times New Roman" w:cs="Times New Roman" w:eastAsia="Times New Roman" w:hAnsi="Times New Roman"/>
          <w:sz w:val="22"/>
          <w:szCs w:val="22"/>
          <w:color w:val="auto"/>
        </w:rPr>
        <w:t>”), (ii) in the case of the Series B Preferred Stock by dividing the Series B Original Issue Price by the Series B Conversion Price (as defined below) in effect at the time of conversion (the “</w:t>
      </w:r>
      <w:r>
        <w:rPr>
          <w:rFonts w:ascii="Times New Roman" w:cs="Times New Roman" w:eastAsia="Times New Roman" w:hAnsi="Times New Roman"/>
          <w:sz w:val="22"/>
          <w:szCs w:val="22"/>
          <w:b w:val="1"/>
          <w:bCs w:val="1"/>
          <w:color w:val="auto"/>
        </w:rPr>
        <w:t>Series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Conversion Rate</w:t>
      </w:r>
      <w:r>
        <w:rPr>
          <w:rFonts w:ascii="Times New Roman" w:cs="Times New Roman" w:eastAsia="Times New Roman" w:hAnsi="Times New Roman"/>
          <w:sz w:val="22"/>
          <w:szCs w:val="22"/>
          <w:color w:val="auto"/>
        </w:rPr>
        <w:t>”), (iii) in the case of the Series C Preferred Stock by dividing the Series C Original Issue Price by the Series 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Conversion Price (as defined below) in effect at the time of conversion (the “</w:t>
      </w:r>
      <w:r>
        <w:rPr>
          <w:rFonts w:ascii="Times New Roman" w:cs="Times New Roman" w:eastAsia="Times New Roman" w:hAnsi="Times New Roman"/>
          <w:sz w:val="22"/>
          <w:szCs w:val="22"/>
          <w:b w:val="1"/>
          <w:bCs w:val="1"/>
          <w:color w:val="auto"/>
        </w:rPr>
        <w:t>Series C Conversion Rate</w:t>
      </w:r>
      <w:r>
        <w:rPr>
          <w:rFonts w:ascii="Times New Roman" w:cs="Times New Roman" w:eastAsia="Times New Roman" w:hAnsi="Times New Roman"/>
          <w:sz w:val="22"/>
          <w:szCs w:val="22"/>
          <w:color w:val="auto"/>
        </w:rPr>
        <w:t>”), (iv) in the case of the Series D Preferred Stock by dividing the Series D Original Issue Price by the Series D Conversion Price (as defined below) in effect at the time of conversion (the “</w:t>
      </w:r>
      <w:r>
        <w:rPr>
          <w:rFonts w:ascii="Times New Roman" w:cs="Times New Roman" w:eastAsia="Times New Roman" w:hAnsi="Times New Roman"/>
          <w:sz w:val="22"/>
          <w:szCs w:val="22"/>
          <w:b w:val="1"/>
          <w:bCs w:val="1"/>
          <w:color w:val="auto"/>
        </w:rPr>
        <w:t>Series D Conversion Rate</w:t>
      </w:r>
      <w:r>
        <w:rPr>
          <w:rFonts w:ascii="Times New Roman" w:cs="Times New Roman" w:eastAsia="Times New Roman" w:hAnsi="Times New Roman"/>
          <w:sz w:val="22"/>
          <w:szCs w:val="22"/>
          <w:color w:val="auto"/>
        </w:rPr>
        <w:t>”) or (v) in the case of the Series D-1 Preferred Stock by dividing the Series D-1 Original Issue Price by the Series D-1 Conversion Price (as defined below) in effect at the time of conversion (the “</w:t>
      </w:r>
      <w:r>
        <w:rPr>
          <w:rFonts w:ascii="Times New Roman" w:cs="Times New Roman" w:eastAsia="Times New Roman" w:hAnsi="Times New Roman"/>
          <w:sz w:val="22"/>
          <w:szCs w:val="22"/>
          <w:b w:val="1"/>
          <w:bCs w:val="1"/>
          <w:color w:val="auto"/>
        </w:rPr>
        <w:t>Series D-1 Conversion Rate</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Series A Conversion Price</w:t>
      </w:r>
      <w:r>
        <w:rPr>
          <w:rFonts w:ascii="Times New Roman" w:cs="Times New Roman" w:eastAsia="Times New Roman" w:hAnsi="Times New Roman"/>
          <w:sz w:val="22"/>
          <w:szCs w:val="22"/>
          <w:color w:val="auto"/>
        </w:rPr>
        <w:t>” shall initially be equal to $0.9081. Such initial Series A Conversion Price and the Series A Conversion Rate shall be subject to adjustment as provided below. The “</w:t>
      </w:r>
      <w:r>
        <w:rPr>
          <w:rFonts w:ascii="Times New Roman" w:cs="Times New Roman" w:eastAsia="Times New Roman" w:hAnsi="Times New Roman"/>
          <w:sz w:val="22"/>
          <w:szCs w:val="22"/>
          <w:b w:val="1"/>
          <w:bCs w:val="1"/>
          <w:color w:val="auto"/>
        </w:rPr>
        <w:t>Series B Conversion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Price</w:t>
      </w:r>
      <w:r>
        <w:rPr>
          <w:rFonts w:ascii="Times New Roman" w:cs="Times New Roman" w:eastAsia="Times New Roman" w:hAnsi="Times New Roman"/>
          <w:sz w:val="22"/>
          <w:szCs w:val="22"/>
          <w:color w:val="auto"/>
        </w:rPr>
        <w:t>” shall initially be equal to $1.7730. Such initial Series B Conversion Price and the Series B Conversion Rate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adjustment as provided below. The “</w:t>
      </w:r>
      <w:r>
        <w:rPr>
          <w:rFonts w:ascii="Times New Roman" w:cs="Times New Roman" w:eastAsia="Times New Roman" w:hAnsi="Times New Roman"/>
          <w:sz w:val="22"/>
          <w:szCs w:val="22"/>
          <w:b w:val="1"/>
          <w:bCs w:val="1"/>
          <w:color w:val="auto"/>
        </w:rPr>
        <w:t>Series C Conversion Price</w:t>
      </w:r>
      <w:r>
        <w:rPr>
          <w:rFonts w:ascii="Times New Roman" w:cs="Times New Roman" w:eastAsia="Times New Roman" w:hAnsi="Times New Roman"/>
          <w:sz w:val="22"/>
          <w:szCs w:val="22"/>
          <w:color w:val="auto"/>
        </w:rPr>
        <w:t>” shall initially be equal to $2.50. Such initial Series C Conversion Price and the Series C Conversion Rate shall be subject to adjustment as provided below. The “</w:t>
      </w:r>
      <w:r>
        <w:rPr>
          <w:rFonts w:ascii="Times New Roman" w:cs="Times New Roman" w:eastAsia="Times New Roman" w:hAnsi="Times New Roman"/>
          <w:sz w:val="22"/>
          <w:szCs w:val="22"/>
          <w:b w:val="1"/>
          <w:bCs w:val="1"/>
          <w:color w:val="auto"/>
        </w:rPr>
        <w:t>Series D Conversion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Price</w:t>
      </w:r>
      <w:r>
        <w:rPr>
          <w:rFonts w:ascii="Times New Roman" w:cs="Times New Roman" w:eastAsia="Times New Roman" w:hAnsi="Times New Roman"/>
          <w:sz w:val="22"/>
          <w:szCs w:val="22"/>
          <w:color w:val="auto"/>
        </w:rPr>
        <w:t>” shall initially be equal to $3.25.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initial Series D Conversion Price and the Series D Conversion Rate shall be subject to adjustment as provided below. The</w:t>
      </w:r>
    </w:p>
    <w:p>
      <w:pPr>
        <w:spacing w:after="0" w:line="28" w:lineRule="exact"/>
        <w:rPr>
          <w:sz w:val="20"/>
          <w:szCs w:val="20"/>
          <w:color w:val="auto"/>
        </w:rPr>
      </w:pPr>
    </w:p>
    <w:p>
      <w:pPr>
        <w:ind w:right="380"/>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D-1 Conversion Price</w:t>
      </w:r>
      <w:r>
        <w:rPr>
          <w:rFonts w:ascii="Times New Roman" w:cs="Times New Roman" w:eastAsia="Times New Roman" w:hAnsi="Times New Roman"/>
          <w:sz w:val="22"/>
          <w:szCs w:val="22"/>
          <w:color w:val="auto"/>
        </w:rPr>
        <w:t>” shall initially be equal to $3.75. Such initial Series D-1 Conversion Price and the Series D-1 Conversion Rate shall be subject to adjustment as provided below.</w:t>
      </w:r>
    </w:p>
    <w:p>
      <w:pPr>
        <w:spacing w:after="0" w:line="128" w:lineRule="exact"/>
        <w:rPr>
          <w:sz w:val="20"/>
          <w:szCs w:val="20"/>
          <w:color w:val="auto"/>
        </w:rPr>
      </w:pPr>
    </w:p>
    <w:p>
      <w:pPr>
        <w:jc w:val="both"/>
        <w:ind w:right="60" w:firstLine="2592"/>
        <w:spacing w:after="0" w:line="275" w:lineRule="auto"/>
        <w:rPr>
          <w:sz w:val="20"/>
          <w:szCs w:val="20"/>
          <w:color w:val="auto"/>
        </w:rPr>
      </w:pPr>
      <w:r>
        <w:rPr>
          <w:rFonts w:ascii="Times New Roman" w:cs="Times New Roman" w:eastAsia="Times New Roman" w:hAnsi="Times New Roman"/>
          <w:sz w:val="21"/>
          <w:szCs w:val="21"/>
          <w:color w:val="auto"/>
        </w:rPr>
        <w:t xml:space="preserve">4.1.2 </w:t>
      </w:r>
      <w:r>
        <w:rPr>
          <w:rFonts w:ascii="Times New Roman" w:cs="Times New Roman" w:eastAsia="Times New Roman" w:hAnsi="Times New Roman"/>
          <w:sz w:val="21"/>
          <w:szCs w:val="21"/>
          <w:u w:val="single" w:color="auto"/>
          <w:color w:val="auto"/>
        </w:rPr>
        <w:t>Termination of Conversion Rights</w:t>
      </w:r>
      <w:r>
        <w:rPr>
          <w:rFonts w:ascii="Times New Roman" w:cs="Times New Roman" w:eastAsia="Times New Roman" w:hAnsi="Times New Roman"/>
          <w:sz w:val="21"/>
          <w:szCs w:val="21"/>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01" w:lineRule="exact"/>
        <w:rPr>
          <w:sz w:val="20"/>
          <w:szCs w:val="20"/>
          <w:color w:val="auto"/>
        </w:rPr>
      </w:pPr>
    </w:p>
    <w:p>
      <w:pPr>
        <w:ind w:right="40" w:firstLine="1944"/>
        <w:spacing w:after="0" w:line="263"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Fractional Shares</w:t>
      </w:r>
      <w:r>
        <w:rPr>
          <w:rFonts w:ascii="Times New Roman" w:cs="Times New Roman" w:eastAsia="Times New Roman" w:hAnsi="Times New Roman"/>
          <w:sz w:val="21"/>
          <w:szCs w:val="21"/>
          <w:color w:val="auto"/>
        </w:rPr>
        <w:t>. No fractional shares of Class A Common Stock shall be issued upon conversion of the Preferred Stock. In lieu of any fractional shares to which the holder would otherwise be entitled, the Corporation shall pay cash equal to such fraction multiplied by the fair market value of a share of Class A Common Stock as determined in good faith by the Board of Directors of the Corporation. Whether or not fractional shares would be issuable upon such conversion shall be determined on the basis of the total number of shares of Preferred Stock the holder is at the time converting into Class A Common Stock and the aggregate number of shares of Class A Common Stock issuable upon such conversion.</w:t>
      </w:r>
    </w:p>
    <w:p>
      <w:pPr>
        <w:spacing w:after="0" w:line="113"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Mechanics of Conversion</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firstLine="2592"/>
        <w:spacing w:after="0" w:line="256" w:lineRule="auto"/>
        <w:rPr>
          <w:sz w:val="20"/>
          <w:szCs w:val="20"/>
          <w:color w:val="auto"/>
        </w:rPr>
      </w:pPr>
      <w:r>
        <w:rPr>
          <w:rFonts w:ascii="Times New Roman" w:cs="Times New Roman" w:eastAsia="Times New Roman" w:hAnsi="Times New Roman"/>
          <w:sz w:val="21"/>
          <w:szCs w:val="21"/>
          <w:color w:val="auto"/>
        </w:rPr>
        <w:t xml:space="preserve">4.3.1 </w:t>
      </w:r>
      <w:r>
        <w:rPr>
          <w:rFonts w:ascii="Times New Roman" w:cs="Times New Roman" w:eastAsia="Times New Roman" w:hAnsi="Times New Roman"/>
          <w:sz w:val="21"/>
          <w:szCs w:val="21"/>
          <w:u w:val="single" w:color="auto"/>
          <w:color w:val="auto"/>
        </w:rPr>
        <w:t>Notice of Conversion</w:t>
      </w:r>
      <w:r>
        <w:rPr>
          <w:rFonts w:ascii="Times New Roman" w:cs="Times New Roman" w:eastAsia="Times New Roman" w:hAnsi="Times New Roman"/>
          <w:sz w:val="21"/>
          <w:szCs w:val="21"/>
          <w:color w:val="auto"/>
        </w:rPr>
        <w:t>. In order for a holder of Preferred Stock to voluntarily convert shares of Preferred Stock into shares of Class A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Class A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Times New Roman" w:cs="Times New Roman" w:eastAsia="Times New Roman" w:hAnsi="Times New Roman"/>
          <w:sz w:val="21"/>
          <w:szCs w:val="21"/>
          <w:b w:val="1"/>
          <w:bCs w:val="1"/>
          <w:color w:val="auto"/>
        </w:rPr>
        <w:t>Conversion Time</w:t>
      </w:r>
      <w:r>
        <w:rPr>
          <w:rFonts w:ascii="Times New Roman" w:cs="Times New Roman" w:eastAsia="Times New Roman" w:hAnsi="Times New Roman"/>
          <w:sz w:val="21"/>
          <w:szCs w:val="21"/>
          <w:color w:val="auto"/>
        </w:rPr>
        <w:t>”), and the shares of Common Stock issuable upon conversion of the specified shares shall be deemed to be outstanding of record as of such date. The Corporation shall, as soon as practicable after the Conversion Time</w:t>
      </w:r>
    </w:p>
    <w:p>
      <w:pPr>
        <w:spacing w:after="0" w:line="6" w:lineRule="exact"/>
        <w:rPr>
          <w:sz w:val="20"/>
          <w:szCs w:val="20"/>
          <w:color w:val="auto"/>
        </w:rPr>
      </w:pPr>
    </w:p>
    <w:p>
      <w:pPr>
        <w:ind w:left="260" w:hanging="252"/>
        <w:spacing w:after="0"/>
        <w:tabs>
          <w:tab w:leader="none" w:pos="26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and deliver to such holder of Preferred Stock, or to his, her or its nominees, a certificate or certificates for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81"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15 -</w:t>
      </w:r>
    </w:p>
    <w:p>
      <w:pPr>
        <w:sectPr>
          <w:pgSz w:w="11900" w:h="16838" w:orient="portrait"/>
          <w:cols w:equalWidth="0" w:num="1">
            <w:col w:w="11160"/>
          </w:cols>
          <w:pgMar w:left="320" w:top="1440" w:right="419" w:bottom="1440" w:gutter="0" w:footer="0" w:header="0"/>
        </w:sectPr>
      </w:pPr>
    </w:p>
    <w:bookmarkStart w:id="302" w:name="page303"/>
    <w:bookmarkEnd w:id="302"/>
    <w:p>
      <w:pPr>
        <w:spacing w:after="0" w:line="198"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22"/>
          <w:szCs w:val="22"/>
          <w:color w:val="auto"/>
        </w:rPr>
        <w:t xml:space="preserve">number of full shares of Class A Common Stock issuable upon such conversion in accordance with the provisions hereof and a certificate for the number (if any) of the shares of Preferred Stock represented by the surrendered certificate that were not converted into Class A Common Stock, (ii) pay in cash such amount as provided in </w:t>
      </w:r>
      <w:r>
        <w:rPr>
          <w:rFonts w:ascii="Times New Roman" w:cs="Times New Roman" w:eastAsia="Times New Roman" w:hAnsi="Times New Roman"/>
          <w:sz w:val="22"/>
          <w:szCs w:val="22"/>
          <w:u w:val="single" w:color="auto"/>
          <w:color w:val="auto"/>
        </w:rPr>
        <w:t>Subsection 4.2</w:t>
      </w:r>
      <w:r>
        <w:rPr>
          <w:rFonts w:ascii="Times New Roman" w:cs="Times New Roman" w:eastAsia="Times New Roman" w:hAnsi="Times New Roman"/>
          <w:sz w:val="22"/>
          <w:szCs w:val="22"/>
          <w:color w:val="auto"/>
        </w:rPr>
        <w:t xml:space="preserve"> in lieu of any fraction of a share of Class A Common Stock otherwise issuable upon such conversion and (iii) pay all declared but unpaid dividends on the shares of Preferred Stock converted.</w:t>
      </w:r>
    </w:p>
    <w:p>
      <w:pPr>
        <w:spacing w:after="0" w:line="127" w:lineRule="exact"/>
        <w:rPr>
          <w:sz w:val="20"/>
          <w:szCs w:val="20"/>
          <w:color w:val="auto"/>
        </w:rPr>
      </w:pPr>
    </w:p>
    <w:p>
      <w:pPr>
        <w:ind w:firstLine="2592"/>
        <w:spacing w:after="0" w:line="245" w:lineRule="auto"/>
        <w:rPr>
          <w:sz w:val="20"/>
          <w:szCs w:val="20"/>
          <w:color w:val="auto"/>
        </w:rPr>
      </w:pPr>
      <w:r>
        <w:rPr>
          <w:rFonts w:ascii="Times New Roman" w:cs="Times New Roman" w:eastAsia="Times New Roman" w:hAnsi="Times New Roman"/>
          <w:sz w:val="22"/>
          <w:szCs w:val="22"/>
          <w:color w:val="auto"/>
        </w:rPr>
        <w:t xml:space="preserve">4.3.2 </w:t>
      </w:r>
      <w:r>
        <w:rPr>
          <w:rFonts w:ascii="Times New Roman" w:cs="Times New Roman" w:eastAsia="Times New Roman" w:hAnsi="Times New Roman"/>
          <w:sz w:val="22"/>
          <w:szCs w:val="22"/>
          <w:u w:val="single" w:color="auto"/>
          <w:color w:val="auto"/>
        </w:rPr>
        <w:t>Reservation of Shares</w:t>
      </w:r>
      <w:r>
        <w:rPr>
          <w:rFonts w:ascii="Times New Roman" w:cs="Times New Roman" w:eastAsia="Times New Roman" w:hAnsi="Times New Roman"/>
          <w:sz w:val="22"/>
          <w:szCs w:val="22"/>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Class A Common Stock as shall from time to time be sufficient to effect the conversion of all outstanding Preferred Stock; and if at any time the number of authorized but unissued shares of Class A Common Stock shall not be sufficient to effect the conversion of all then outstanding shares of the Preferred Stock, the Corporation shall take such corporate action as may be necessary to increase its authorized but unissued shares of Class A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Series A Conversion Price, Series B Conversion Price, Series C Conversion Price, Series D Conversion Price or Series D-1 Conversion Price below the then par value of the shares of Class A Common Stock issuable upon conversion of the Preferred Stock, the Corporation will take any corporate action which may, in the opinion of its counsel, be necessary in order that the Corporation may validly and legally issue fully paid and non-assessable shares of Class A Common Stock at such adjusted Series A Conversion Price, Series B Conversion Price, Series C Conversion Price, Series D Conversion Price or Series D-1 Conversion Price.</w:t>
      </w:r>
    </w:p>
    <w:p>
      <w:pPr>
        <w:spacing w:after="0" w:line="138" w:lineRule="exact"/>
        <w:rPr>
          <w:sz w:val="20"/>
          <w:szCs w:val="20"/>
          <w:color w:val="auto"/>
        </w:rPr>
      </w:pPr>
    </w:p>
    <w:p>
      <w:pPr>
        <w:ind w:right="80" w:firstLine="2592"/>
        <w:spacing w:after="0" w:line="247" w:lineRule="auto"/>
        <w:rPr>
          <w:sz w:val="20"/>
          <w:szCs w:val="20"/>
          <w:color w:val="auto"/>
        </w:rPr>
      </w:pPr>
      <w:r>
        <w:rPr>
          <w:rFonts w:ascii="Times New Roman" w:cs="Times New Roman" w:eastAsia="Times New Roman" w:hAnsi="Times New Roman"/>
          <w:sz w:val="22"/>
          <w:szCs w:val="22"/>
          <w:color w:val="auto"/>
        </w:rPr>
        <w:t xml:space="preserve">4.3.3 </w:t>
      </w:r>
      <w:r>
        <w:rPr>
          <w:rFonts w:ascii="Times New Roman" w:cs="Times New Roman" w:eastAsia="Times New Roman" w:hAnsi="Times New Roman"/>
          <w:sz w:val="22"/>
          <w:szCs w:val="22"/>
          <w:u w:val="single" w:color="auto"/>
          <w:color w:val="auto"/>
        </w:rPr>
        <w:t>Effect of Conversion</w:t>
      </w:r>
      <w:r>
        <w:rPr>
          <w:rFonts w:ascii="Times New Roman" w:cs="Times New Roman" w:eastAsia="Times New Roman" w:hAnsi="Times New Roman"/>
          <w:sz w:val="22"/>
          <w:szCs w:val="22"/>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Class A Common Stock in exchange therefor, to receive payment in lieu of any fraction of a share otherwise issuable upon such conversion as provided in </w:t>
      </w:r>
      <w:r>
        <w:rPr>
          <w:rFonts w:ascii="Times New Roman" w:cs="Times New Roman" w:eastAsia="Times New Roman" w:hAnsi="Times New Roman"/>
          <w:sz w:val="22"/>
          <w:szCs w:val="22"/>
          <w:u w:val="single" w:color="auto"/>
          <w:color w:val="auto"/>
        </w:rPr>
        <w:t>Subsection 4.2</w:t>
      </w:r>
      <w:r>
        <w:rPr>
          <w:rFonts w:ascii="Times New Roman" w:cs="Times New Roman" w:eastAsia="Times New Roman" w:hAnsi="Times New Roman"/>
          <w:sz w:val="22"/>
          <w:szCs w:val="22"/>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31" w:lineRule="exact"/>
        <w:rPr>
          <w:sz w:val="20"/>
          <w:szCs w:val="20"/>
          <w:color w:val="auto"/>
        </w:rPr>
      </w:pPr>
    </w:p>
    <w:p>
      <w:pPr>
        <w:ind w:right="260" w:firstLine="2592"/>
        <w:spacing w:after="0" w:line="250" w:lineRule="auto"/>
        <w:rPr>
          <w:sz w:val="20"/>
          <w:szCs w:val="20"/>
          <w:color w:val="auto"/>
        </w:rPr>
      </w:pPr>
      <w:r>
        <w:rPr>
          <w:rFonts w:ascii="Times New Roman" w:cs="Times New Roman" w:eastAsia="Times New Roman" w:hAnsi="Times New Roman"/>
          <w:sz w:val="22"/>
          <w:szCs w:val="22"/>
          <w:color w:val="auto"/>
        </w:rPr>
        <w:t xml:space="preserve">4.3.4 </w:t>
      </w:r>
      <w:r>
        <w:rPr>
          <w:rFonts w:ascii="Times New Roman" w:cs="Times New Roman" w:eastAsia="Times New Roman" w:hAnsi="Times New Roman"/>
          <w:sz w:val="22"/>
          <w:szCs w:val="22"/>
          <w:u w:val="single" w:color="auto"/>
          <w:color w:val="auto"/>
        </w:rPr>
        <w:t>No Further Adjustment</w:t>
      </w:r>
      <w:r>
        <w:rPr>
          <w:rFonts w:ascii="Times New Roman" w:cs="Times New Roman" w:eastAsia="Times New Roman" w:hAnsi="Times New Roman"/>
          <w:sz w:val="22"/>
          <w:szCs w:val="22"/>
          <w:color w:val="auto"/>
        </w:rPr>
        <w:t>. Upon any such conversion, no adjustment to the Series A Conversion Price, Series B Conversion Price, Series C Conversion Price, Series D Conversion Price or Series D-1 Conversion Price, as applicable to such series of Preferred Stock, shall be made for any declared but unpaid dividends on the Series A Preferred Stock, Series B Preferred Stock, Series C Preferred Stock, Series D Preferred Stock or Series D-1 Preferred Stock, as applicable, surrendered for conversion or on the Class A Common Stock delivered upon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198" w:lineRule="exact"/>
        <w:rPr>
          <w:sz w:val="20"/>
          <w:szCs w:val="20"/>
          <w:color w:val="auto"/>
        </w:rPr>
      </w:pPr>
    </w:p>
    <w:p>
      <w:pPr>
        <w:ind w:firstLine="2592"/>
        <w:spacing w:after="0" w:line="248" w:lineRule="auto"/>
        <w:rPr>
          <w:sz w:val="20"/>
          <w:szCs w:val="20"/>
          <w:color w:val="auto"/>
        </w:rPr>
      </w:pPr>
      <w:r>
        <w:rPr>
          <w:rFonts w:ascii="Times New Roman" w:cs="Times New Roman" w:eastAsia="Times New Roman" w:hAnsi="Times New Roman"/>
          <w:sz w:val="22"/>
          <w:szCs w:val="22"/>
          <w:color w:val="auto"/>
        </w:rPr>
        <w:t xml:space="preserve">4.3.5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The Corporation shall pay any and all issue and other similar taxes that may be payable in respect of any issuance or delivery of shares of Class A Common Stock upon conversion of shares of Preferred Stock pursuant to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Corporation shall not, however, be required to pay any tax which may be payable in respect of any transfer involved in the issuance and delivery of shares of Class A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28"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Adjustments to Conversion Prices for Diluting Issues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22"/>
          <w:szCs w:val="22"/>
          <w:color w:val="auto"/>
        </w:rPr>
        <w:t>4.4.1</w:t>
      </w:r>
      <w:r>
        <w:rPr>
          <w:sz w:val="20"/>
          <w:szCs w:val="20"/>
          <w:color w:val="auto"/>
        </w:rPr>
        <w:tab/>
      </w:r>
      <w:r>
        <w:rPr>
          <w:rFonts w:ascii="Times New Roman" w:cs="Times New Roman" w:eastAsia="Times New Roman" w:hAnsi="Times New Roman"/>
          <w:sz w:val="21"/>
          <w:szCs w:val="21"/>
          <w:u w:val="single" w:color="auto"/>
          <w:color w:val="auto"/>
        </w:rPr>
        <w:t>Special Definitions</w:t>
      </w:r>
      <w:r>
        <w:rPr>
          <w:rFonts w:ascii="Times New Roman" w:cs="Times New Roman" w:eastAsia="Times New Roman" w:hAnsi="Times New Roman"/>
          <w:sz w:val="21"/>
          <w:szCs w:val="21"/>
          <w:color w:val="auto"/>
        </w:rPr>
        <w:t>. For purposes of this Article Fourth, the following definitions shall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apply:</w:t>
      </w:r>
    </w:p>
    <w:p>
      <w:pPr>
        <w:spacing w:after="0" w:line="138" w:lineRule="exact"/>
        <w:rPr>
          <w:sz w:val="20"/>
          <w:szCs w:val="20"/>
          <w:color w:val="auto"/>
        </w:rPr>
      </w:pPr>
    </w:p>
    <w:p>
      <w:pPr>
        <w:ind w:right="680" w:firstLine="3248"/>
        <w:spacing w:after="0" w:line="275" w:lineRule="auto"/>
        <w:tabs>
          <w:tab w:leader="none" w:pos="3885"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shall mean rights, options or warrants to subscribe for, purchase or otherwise acquire Common Stock or Convertible Securities.</w:t>
      </w:r>
    </w:p>
    <w:p>
      <w:pPr>
        <w:spacing w:after="0" w:line="95" w:lineRule="exact"/>
        <w:rPr>
          <w:rFonts w:ascii="Times New Roman" w:cs="Times New Roman" w:eastAsia="Times New Roman" w:hAnsi="Times New Roman"/>
          <w:sz w:val="22"/>
          <w:szCs w:val="22"/>
          <w:color w:val="auto"/>
        </w:rPr>
      </w:pPr>
    </w:p>
    <w:p>
      <w:pPr>
        <w:ind w:left="3900" w:hanging="652"/>
        <w:spacing w:after="0"/>
        <w:tabs>
          <w:tab w:leader="none" w:pos="390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D-1 Original Issue Date</w:t>
      </w:r>
      <w:r>
        <w:rPr>
          <w:rFonts w:ascii="Times New Roman" w:cs="Times New Roman" w:eastAsia="Times New Roman" w:hAnsi="Times New Roman"/>
          <w:sz w:val="22"/>
          <w:szCs w:val="22"/>
          <w:color w:val="auto"/>
        </w:rPr>
        <w:t>” shall mean the date on which the first share of</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Series D-1 Preferred Stock was issued.</w:t>
      </w:r>
    </w:p>
    <w:p>
      <w:pPr>
        <w:spacing w:after="0" w:line="137" w:lineRule="exact"/>
        <w:rPr>
          <w:rFonts w:ascii="Times New Roman" w:cs="Times New Roman" w:eastAsia="Times New Roman" w:hAnsi="Times New Roman"/>
          <w:sz w:val="22"/>
          <w:szCs w:val="22"/>
          <w:color w:val="auto"/>
        </w:rPr>
      </w:pPr>
    </w:p>
    <w:p>
      <w:pPr>
        <w:ind w:left="3900" w:hanging="652"/>
        <w:spacing w:after="0"/>
        <w:tabs>
          <w:tab w:leader="none" w:pos="390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Convertible Securities</w:t>
      </w:r>
      <w:r>
        <w:rPr>
          <w:rFonts w:ascii="Times New Roman" w:cs="Times New Roman" w:eastAsia="Times New Roman" w:hAnsi="Times New Roman"/>
          <w:sz w:val="21"/>
          <w:szCs w:val="21"/>
          <w:color w:val="auto"/>
        </w:rPr>
        <w:t>” shall mean any evidences of indebtedness, shares or other</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securities directly or indirectly convertible into or exchangeable for Common Stock, but excluding Options.</w:t>
      </w:r>
    </w:p>
    <w:p>
      <w:pPr>
        <w:spacing w:after="0" w:line="137" w:lineRule="exact"/>
        <w:rPr>
          <w:rFonts w:ascii="Times New Roman" w:cs="Times New Roman" w:eastAsia="Times New Roman" w:hAnsi="Times New Roman"/>
          <w:sz w:val="21"/>
          <w:szCs w:val="21"/>
          <w:color w:val="auto"/>
        </w:rPr>
      </w:pPr>
    </w:p>
    <w:p>
      <w:pPr>
        <w:ind w:right="100" w:firstLine="3248"/>
        <w:spacing w:after="0" w:line="253" w:lineRule="auto"/>
        <w:tabs>
          <w:tab w:leader="none" w:pos="3883"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Shares of Common Stock</w:t>
      </w:r>
      <w:r>
        <w:rPr>
          <w:rFonts w:ascii="Times New Roman" w:cs="Times New Roman" w:eastAsia="Times New Roman" w:hAnsi="Times New Roman"/>
          <w:sz w:val="22"/>
          <w:szCs w:val="22"/>
          <w:color w:val="auto"/>
        </w:rPr>
        <w:t xml:space="preserve">” shall mean all shares of Common Stock issued (or, pursuant to </w:t>
      </w:r>
      <w:r>
        <w:rPr>
          <w:rFonts w:ascii="Times New Roman" w:cs="Times New Roman" w:eastAsia="Times New Roman" w:hAnsi="Times New Roman"/>
          <w:sz w:val="22"/>
          <w:szCs w:val="22"/>
          <w:u w:val="single" w:color="auto"/>
          <w:color w:val="auto"/>
        </w:rPr>
        <w:t>Subsection 4.4.3</w:t>
      </w:r>
      <w:r>
        <w:rPr>
          <w:rFonts w:ascii="Times New Roman" w:cs="Times New Roman" w:eastAsia="Times New Roman" w:hAnsi="Times New Roman"/>
          <w:sz w:val="22"/>
          <w:szCs w:val="22"/>
          <w:color w:val="auto"/>
        </w:rPr>
        <w:t xml:space="preserve"> below, deemed to be issued) by the Corporation after the Series D-1 Original Issue Date, other than (1) the following shares of Common Stock and (2) shares of Common Stock deemed issued pursuant to the following Options and Convertible Securities (clauses (1) and (2), collectively, “</w:t>
      </w:r>
      <w:r>
        <w:rPr>
          <w:rFonts w:ascii="Times New Roman" w:cs="Times New Roman" w:eastAsia="Times New Roman" w:hAnsi="Times New Roman"/>
          <w:sz w:val="22"/>
          <w:szCs w:val="22"/>
          <w:b w:val="1"/>
          <w:bCs w:val="1"/>
          <w:color w:val="auto"/>
        </w:rPr>
        <w:t>Exempted Securities</w:t>
      </w:r>
      <w:r>
        <w:rPr>
          <w:rFonts w:ascii="Times New Roman" w:cs="Times New Roman" w:eastAsia="Times New Roman" w:hAnsi="Times New Roman"/>
          <w:sz w:val="22"/>
          <w:szCs w:val="22"/>
          <w:color w:val="auto"/>
        </w:rPr>
        <w:t>”):</w:t>
      </w:r>
    </w:p>
    <w:p>
      <w:pPr>
        <w:spacing w:after="0" w:line="125" w:lineRule="exact"/>
        <w:rPr>
          <w:rFonts w:ascii="Times New Roman" w:cs="Times New Roman" w:eastAsia="Times New Roman" w:hAnsi="Times New Roman"/>
          <w:sz w:val="22"/>
          <w:szCs w:val="22"/>
          <w:color w:val="auto"/>
        </w:rPr>
      </w:pPr>
    </w:p>
    <w:p>
      <w:pPr>
        <w:ind w:left="4540" w:right="520" w:hanging="644"/>
        <w:spacing w:after="0" w:line="271" w:lineRule="auto"/>
        <w:tabs>
          <w:tab w:leader="none" w:pos="4528"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Options or Convertible Securities issued as a dividend or distribution on Preferred Stock;</w:t>
      </w:r>
    </w:p>
    <w:p>
      <w:pPr>
        <w:spacing w:after="0" w:line="103" w:lineRule="exact"/>
        <w:rPr>
          <w:rFonts w:ascii="Times New Roman" w:cs="Times New Roman" w:eastAsia="Times New Roman" w:hAnsi="Times New Roman"/>
          <w:sz w:val="22"/>
          <w:szCs w:val="22"/>
          <w:color w:val="auto"/>
        </w:rPr>
      </w:pPr>
    </w:p>
    <w:p>
      <w:pPr>
        <w:ind w:left="4540" w:right="740" w:hanging="644"/>
        <w:spacing w:after="0" w:line="271" w:lineRule="auto"/>
        <w:tabs>
          <w:tab w:leader="none" w:pos="4534"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Class A Common Stock issued upon conversion of Class B Common Stock;</w:t>
      </w:r>
    </w:p>
    <w:p>
      <w:pPr>
        <w:spacing w:after="0" w:line="103" w:lineRule="exact"/>
        <w:rPr>
          <w:rFonts w:ascii="Times New Roman" w:cs="Times New Roman" w:eastAsia="Times New Roman" w:hAnsi="Times New Roman"/>
          <w:sz w:val="22"/>
          <w:szCs w:val="22"/>
          <w:color w:val="auto"/>
        </w:rPr>
      </w:pPr>
    </w:p>
    <w:p>
      <w:pPr>
        <w:jc w:val="both"/>
        <w:ind w:left="4540" w:right="20" w:hanging="644"/>
        <w:spacing w:after="0" w:line="257" w:lineRule="auto"/>
        <w:tabs>
          <w:tab w:leader="none" w:pos="4540"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shares of Common Stock, Options or Convertible Securities issued by reason of a dividend, stock split, split-up or other distribution on shares of Common Stock that is covered by </w:t>
      </w:r>
      <w:r>
        <w:rPr>
          <w:rFonts w:ascii="Times New Roman" w:cs="Times New Roman" w:eastAsia="Times New Roman" w:hAnsi="Times New Roman"/>
          <w:sz w:val="22"/>
          <w:szCs w:val="22"/>
          <w:u w:val="single" w:color="auto"/>
          <w:color w:val="auto"/>
        </w:rPr>
        <w:t>Subsection 4.5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4.8</w:t>
      </w:r>
      <w:r>
        <w:rPr>
          <w:rFonts w:ascii="Times New Roman" w:cs="Times New Roman" w:eastAsia="Times New Roman" w:hAnsi="Times New Roman"/>
          <w:sz w:val="22"/>
          <w:szCs w:val="22"/>
          <w:color w:val="auto"/>
        </w:rPr>
        <w:t>;</w:t>
      </w:r>
    </w:p>
    <w:p>
      <w:pPr>
        <w:spacing w:after="0" w:line="118" w:lineRule="exact"/>
        <w:rPr>
          <w:rFonts w:ascii="Times New Roman" w:cs="Times New Roman" w:eastAsia="Times New Roman" w:hAnsi="Times New Roman"/>
          <w:sz w:val="22"/>
          <w:szCs w:val="22"/>
          <w:color w:val="auto"/>
        </w:rPr>
      </w:pPr>
    </w:p>
    <w:p>
      <w:pPr>
        <w:ind w:left="4540" w:right="180" w:hanging="644"/>
        <w:spacing w:after="0" w:line="271" w:lineRule="auto"/>
        <w:tabs>
          <w:tab w:leader="none" w:pos="4528"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or Options issued to employees or directors of, or consultants or advisors to, the Corporation or any of its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4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17 -</w:t>
      </w:r>
    </w:p>
    <w:p>
      <w:pPr>
        <w:sectPr>
          <w:pgSz w:w="11900" w:h="16838" w:orient="portrait"/>
          <w:cols w:equalWidth="0" w:num="1">
            <w:col w:w="11220"/>
          </w:cols>
          <w:pgMar w:left="320" w:top="1440" w:right="359" w:bottom="1440" w:gutter="0" w:footer="0" w:header="0"/>
        </w:sectPr>
      </w:pPr>
    </w:p>
    <w:bookmarkStart w:id="304" w:name="page305"/>
    <w:bookmarkEnd w:id="304"/>
    <w:p>
      <w:pPr>
        <w:spacing w:after="0" w:line="198" w:lineRule="exact"/>
        <w:rPr>
          <w:sz w:val="20"/>
          <w:szCs w:val="20"/>
          <w:color w:val="auto"/>
        </w:rPr>
      </w:pPr>
    </w:p>
    <w:p>
      <w:pPr>
        <w:ind w:left="3420" w:right="260"/>
        <w:spacing w:after="0" w:line="274" w:lineRule="auto"/>
        <w:rPr>
          <w:sz w:val="20"/>
          <w:szCs w:val="20"/>
          <w:color w:val="auto"/>
        </w:rPr>
      </w:pPr>
      <w:r>
        <w:rPr>
          <w:rFonts w:ascii="Times New Roman" w:cs="Times New Roman" w:eastAsia="Times New Roman" w:hAnsi="Times New Roman"/>
          <w:sz w:val="22"/>
          <w:szCs w:val="22"/>
          <w:color w:val="auto"/>
        </w:rPr>
        <w:t>subsidiaries pursuant to a plan, agreement or arrangement approved by the Board of Directors of the Corporation;</w:t>
      </w:r>
      <w:r>
        <w:rPr>
          <w:rFonts w:ascii="Times New Roman" w:cs="Times New Roman" w:eastAsia="Times New Roman" w:hAnsi="Times New Roman"/>
          <w:sz w:val="28"/>
          <w:szCs w:val="28"/>
          <w:color w:val="auto"/>
          <w:vertAlign w:val="superscript"/>
        </w:rPr>
        <w:t>,</w:t>
      </w:r>
    </w:p>
    <w:p>
      <w:pPr>
        <w:spacing w:after="0" w:line="19" w:lineRule="exact"/>
        <w:rPr>
          <w:sz w:val="20"/>
          <w:szCs w:val="20"/>
          <w:color w:val="auto"/>
        </w:rPr>
      </w:pPr>
    </w:p>
    <w:p>
      <w:pPr>
        <w:ind w:left="3420" w:hanging="644"/>
        <w:spacing w:after="0" w:line="268" w:lineRule="auto"/>
        <w:tabs>
          <w:tab w:leader="none" w:pos="3415"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shares of Common Stock or Convertible Securities actually issued upon the exercise of Options or shares of Common Stock actually issued upon the conversion or exchange of Convertible Securities, in each case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such issuance is pursuant to the terms of such Option or Convertible Security;</w:t>
      </w:r>
    </w:p>
    <w:p>
      <w:pPr>
        <w:spacing w:after="0" w:line="109" w:lineRule="exact"/>
        <w:rPr>
          <w:rFonts w:ascii="Times New Roman" w:cs="Times New Roman" w:eastAsia="Times New Roman" w:hAnsi="Times New Roman"/>
          <w:sz w:val="21"/>
          <w:szCs w:val="21"/>
          <w:color w:val="auto"/>
        </w:rPr>
      </w:pPr>
    </w:p>
    <w:p>
      <w:pPr>
        <w:ind w:left="3420" w:hanging="644"/>
        <w:spacing w:after="0" w:line="265" w:lineRule="auto"/>
        <w:tabs>
          <w:tab w:leader="none" w:pos="3408"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 that do not exceed 7.5% of the Corporation issued and outstanding share capital;</w:t>
      </w:r>
    </w:p>
    <w:p>
      <w:pPr>
        <w:spacing w:after="0" w:line="111" w:lineRule="exact"/>
        <w:rPr>
          <w:rFonts w:ascii="Times New Roman" w:cs="Times New Roman" w:eastAsia="Times New Roman" w:hAnsi="Times New Roman"/>
          <w:sz w:val="21"/>
          <w:szCs w:val="21"/>
          <w:color w:val="auto"/>
        </w:rPr>
      </w:pPr>
    </w:p>
    <w:p>
      <w:pPr>
        <w:ind w:left="3420" w:right="100" w:hanging="644"/>
        <w:spacing w:after="0" w:line="250" w:lineRule="auto"/>
        <w:tabs>
          <w:tab w:leader="none" w:pos="3414"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Options or Convertible Securities issued to suppliers or third party service providers in connection with the provision of goods or services pursuant to transactions approved by the Board of Directors of the Corporation that do not exceed 7.5% of the Corporation issued and outstanding share capital; or</w:t>
      </w:r>
    </w:p>
    <w:p>
      <w:pPr>
        <w:spacing w:after="0" w:line="126" w:lineRule="exact"/>
        <w:rPr>
          <w:rFonts w:ascii="Times New Roman" w:cs="Times New Roman" w:eastAsia="Times New Roman" w:hAnsi="Times New Roman"/>
          <w:sz w:val="22"/>
          <w:szCs w:val="22"/>
          <w:color w:val="auto"/>
        </w:rPr>
      </w:pPr>
    </w:p>
    <w:p>
      <w:pPr>
        <w:ind w:left="3420" w:right="80" w:hanging="644"/>
        <w:spacing w:after="0" w:line="250" w:lineRule="auto"/>
        <w:tabs>
          <w:tab w:leader="none" w:pos="342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shares of Common Stock, Options or Convertible Securities issued pursuant to the acquisition of another corporation by the Corporation by merger, purchase of substantially all of the assets or other reorganization or to a joint venture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issuances are approved by the Board of Directors of the Corporation;</w:t>
      </w:r>
    </w:p>
    <w:p>
      <w:pPr>
        <w:spacing w:after="0" w:line="126" w:lineRule="exact"/>
        <w:rPr>
          <w:rFonts w:ascii="Times New Roman" w:cs="Times New Roman" w:eastAsia="Times New Roman" w:hAnsi="Times New Roman"/>
          <w:sz w:val="22"/>
          <w:szCs w:val="22"/>
          <w:color w:val="auto"/>
        </w:rPr>
      </w:pPr>
    </w:p>
    <w:p>
      <w:pPr>
        <w:ind w:left="3420" w:right="580" w:hanging="644"/>
        <w:spacing w:after="0" w:line="257" w:lineRule="auto"/>
        <w:tabs>
          <w:tab w:leader="none" w:pos="3408"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Options or Convertible Securities issued in connection with sponsored research, collaboration, technology license, development, OEM,</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58"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18 -</w:t>
      </w:r>
    </w:p>
    <w:p>
      <w:pPr>
        <w:sectPr>
          <w:pgSz w:w="11900" w:h="16838" w:orient="portrait"/>
          <w:cols w:equalWidth="0" w:num="1">
            <w:col w:w="10120"/>
          </w:cols>
          <w:pgMar w:left="1440" w:top="1440" w:right="339" w:bottom="1440" w:gutter="0" w:footer="0" w:header="0"/>
        </w:sectPr>
      </w:pPr>
    </w:p>
    <w:bookmarkStart w:id="305" w:name="page306"/>
    <w:bookmarkEnd w:id="305"/>
    <w:p>
      <w:pPr>
        <w:spacing w:after="0" w:line="198" w:lineRule="exact"/>
        <w:rPr>
          <w:sz w:val="20"/>
          <w:szCs w:val="20"/>
          <w:color w:val="auto"/>
        </w:rPr>
      </w:pPr>
    </w:p>
    <w:p>
      <w:pPr>
        <w:ind w:left="4540" w:right="100"/>
        <w:spacing w:after="0" w:line="257" w:lineRule="auto"/>
        <w:rPr>
          <w:sz w:val="20"/>
          <w:szCs w:val="20"/>
          <w:color w:val="auto"/>
        </w:rPr>
      </w:pPr>
      <w:r>
        <w:rPr>
          <w:rFonts w:ascii="Times New Roman" w:cs="Times New Roman" w:eastAsia="Times New Roman" w:hAnsi="Times New Roman"/>
          <w:sz w:val="22"/>
          <w:szCs w:val="22"/>
          <w:color w:val="auto"/>
        </w:rPr>
        <w:t>marketing or other similar agreements or strategic partnerships approved by the Board of Directors of the Corporation that do not exceed 7.5% of the Corporation issued and outstanding share capital;</w:t>
      </w:r>
    </w:p>
    <w:p>
      <w:pPr>
        <w:spacing w:after="0" w:line="119" w:lineRule="exact"/>
        <w:rPr>
          <w:sz w:val="20"/>
          <w:szCs w:val="20"/>
          <w:color w:val="auto"/>
        </w:rPr>
      </w:pPr>
    </w:p>
    <w:p>
      <w:pPr>
        <w:ind w:left="4540" w:hanging="644"/>
        <w:spacing w:after="0" w:line="247" w:lineRule="auto"/>
        <w:tabs>
          <w:tab w:leader="none" w:pos="4535"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Options or Convertible Securities issued in a firm-commitment underwritten public offering pursuant to an effective registration statement under the Securities Act of 1933, as amended, resulting in at least $50,000,000 of gross proceeds to the Corporation and the listing of shares of the Corporation’s capital stock on a securities exchange registered with the U.S. Securities and Exchange Commission as a national securities exchange pursuant to Section 6(a) of the Exchange Act (a “</w:t>
      </w:r>
      <w:r>
        <w:rPr>
          <w:rFonts w:ascii="Times New Roman" w:cs="Times New Roman" w:eastAsia="Times New Roman" w:hAnsi="Times New Roman"/>
          <w:sz w:val="22"/>
          <w:szCs w:val="22"/>
          <w:b w:val="1"/>
          <w:bCs w:val="1"/>
          <w:color w:val="auto"/>
        </w:rPr>
        <w:t>Qualified Public Offering</w:t>
      </w:r>
      <w:r>
        <w:rPr>
          <w:rFonts w:ascii="Times New Roman" w:cs="Times New Roman" w:eastAsia="Times New Roman" w:hAnsi="Times New Roman"/>
          <w:sz w:val="22"/>
          <w:szCs w:val="22"/>
          <w:color w:val="auto"/>
        </w:rPr>
        <w:t>”); or</w:t>
      </w:r>
    </w:p>
    <w:p>
      <w:pPr>
        <w:spacing w:after="0" w:line="131" w:lineRule="exact"/>
        <w:rPr>
          <w:rFonts w:ascii="Times New Roman" w:cs="Times New Roman" w:eastAsia="Times New Roman" w:hAnsi="Times New Roman"/>
          <w:sz w:val="22"/>
          <w:szCs w:val="22"/>
          <w:color w:val="auto"/>
        </w:rPr>
      </w:pPr>
    </w:p>
    <w:p>
      <w:pPr>
        <w:ind w:left="4540" w:right="140" w:hanging="644"/>
        <w:spacing w:after="0" w:line="252" w:lineRule="auto"/>
        <w:tabs>
          <w:tab w:leader="none" w:pos="4528"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Options or Convertible Securities issued with the unanimous approval of the Board of Directors and the Board of Directors specifically provides that such shares of Common Stock, Options or Convertible Securities shall be Exempted Securities.</w:t>
      </w:r>
    </w:p>
    <w:p>
      <w:pPr>
        <w:spacing w:after="0" w:line="125" w:lineRule="exact"/>
        <w:rPr>
          <w:sz w:val="20"/>
          <w:szCs w:val="20"/>
          <w:color w:val="auto"/>
        </w:rPr>
      </w:pPr>
    </w:p>
    <w:p>
      <w:pPr>
        <w:ind w:firstLine="2592"/>
        <w:spacing w:after="0" w:line="245" w:lineRule="auto"/>
        <w:rPr>
          <w:sz w:val="20"/>
          <w:szCs w:val="20"/>
          <w:color w:val="auto"/>
        </w:rPr>
      </w:pPr>
      <w:r>
        <w:rPr>
          <w:rFonts w:ascii="Times New Roman" w:cs="Times New Roman" w:eastAsia="Times New Roman" w:hAnsi="Times New Roman"/>
          <w:sz w:val="22"/>
          <w:szCs w:val="22"/>
          <w:color w:val="auto"/>
        </w:rPr>
        <w:t xml:space="preserve">4.4.2 </w:t>
      </w:r>
      <w:r>
        <w:rPr>
          <w:rFonts w:ascii="Times New Roman" w:cs="Times New Roman" w:eastAsia="Times New Roman" w:hAnsi="Times New Roman"/>
          <w:sz w:val="22"/>
          <w:szCs w:val="22"/>
          <w:u w:val="single" w:color="auto"/>
          <w:color w:val="auto"/>
        </w:rPr>
        <w:t>No Adjustment of Conversion Prices</w:t>
      </w:r>
      <w:r>
        <w:rPr>
          <w:rFonts w:ascii="Times New Roman" w:cs="Times New Roman" w:eastAsia="Times New Roman" w:hAnsi="Times New Roman"/>
          <w:sz w:val="22"/>
          <w:szCs w:val="22"/>
          <w:color w:val="auto"/>
        </w:rPr>
        <w:t>. No adjustment in the Series A Conversion Price shall be made as the result of the issuance or deemed issuance of Additional Shares of Common Stock if the Corporation receives written notice from the holders of at least a majority of the then outstanding shares of Series A Preferred Stock agreeing that no such adjustment shall be made as the result of the issuance or deemed issuance of such Additional Shares of Common Stock. No adjustment in the Series B Conversion Price shall be made as the result of the issuance or deemed issuance of Additional Shares of Common Stock if the Corporation receives written notice from the holders of at least a majority of the then outstanding shares of Series B Preferred Stock agreeing that no such adjustment shall be made as the result of the issuance or deemed issuance of such Additional Shares of Common Stock. No adjustment in the Series C Conversion Price shall be made as the result of the issuance or deemed issuance of Additional Shares of Common Stock if the Corporation receives written notice from the holders of at least a majority of the then outstanding shares of Series C Preferred Stock agreeing that no such adjustment shall be made as the result of the issuance or deemed issuance of such Additional Shares of Common Stock. No adjustment in the Series D Conversion Price shall be made as the result of the issuance or deemed issuance of Additional Shares of Common Stock if the Corporation receives written notice from the holders of at least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00"/>
          </w:cols>
          <w:pgMar w:left="320" w:top="1440" w:right="379" w:bottom="1440" w:gutter="0" w:footer="0" w:header="0"/>
        </w:sectPr>
      </w:pPr>
    </w:p>
    <w:bookmarkStart w:id="306" w:name="page307"/>
    <w:bookmarkEnd w:id="306"/>
    <w:p>
      <w:pPr>
        <w:spacing w:after="0" w:line="198"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22"/>
          <w:szCs w:val="22"/>
          <w:color w:val="auto"/>
        </w:rPr>
        <w:t>majority of the then outstanding shares of Series D Preferred Stock agreeing that no such adjustment shall be made as the result of the issuance or deemed issuance of such Additional Shares of Common Stock. No adjustment in the Series D-1 Conversion Price shall be made as the result of the issuance or deemed issuance of Additional Shares of Common Stock if the Corporation receives written notice from the holders of at least a majority of the then outstanding shares of Series D-1 Preferred Stock agreeing that no such adjustment shall be made as the result of the issuance or deemed issuance of such Additional Shares of Common Stock.</w:t>
      </w:r>
    </w:p>
    <w:p>
      <w:pPr>
        <w:spacing w:after="0" w:line="133"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22"/>
          <w:szCs w:val="22"/>
          <w:color w:val="auto"/>
        </w:rPr>
        <w:t>4.4.3</w:t>
      </w:r>
      <w:r>
        <w:rPr>
          <w:sz w:val="20"/>
          <w:szCs w:val="20"/>
          <w:color w:val="auto"/>
        </w:rPr>
        <w:tab/>
      </w:r>
      <w:r>
        <w:rPr>
          <w:rFonts w:ascii="Times New Roman" w:cs="Times New Roman" w:eastAsia="Times New Roman" w:hAnsi="Times New Roman"/>
          <w:sz w:val="21"/>
          <w:szCs w:val="21"/>
          <w:u w:val="single" w:color="auto"/>
          <w:color w:val="auto"/>
        </w:rPr>
        <w:t>Deemed Issue of Additional Shares of Common Stock</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3900" w:hanging="652"/>
        <w:spacing w:after="0"/>
        <w:tabs>
          <w:tab w:leader="none" w:pos="39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Corporation at any time or from time to time after the Series D-1 Original</w:t>
      </w:r>
    </w:p>
    <w:p>
      <w:pPr>
        <w:spacing w:after="0" w:line="27" w:lineRule="exact"/>
        <w:rPr>
          <w:rFonts w:ascii="Times New Roman" w:cs="Times New Roman" w:eastAsia="Times New Roman" w:hAnsi="Times New Roman"/>
          <w:sz w:val="22"/>
          <w:szCs w:val="22"/>
          <w:color w:val="auto"/>
        </w:rPr>
      </w:pPr>
    </w:p>
    <w:p>
      <w:pPr>
        <w:ind w:right="6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32" w:lineRule="exact"/>
        <w:rPr>
          <w:rFonts w:ascii="Times New Roman" w:cs="Times New Roman" w:eastAsia="Times New Roman" w:hAnsi="Times New Roman"/>
          <w:sz w:val="22"/>
          <w:szCs w:val="22"/>
          <w:color w:val="auto"/>
        </w:rPr>
      </w:pPr>
    </w:p>
    <w:p>
      <w:pPr>
        <w:ind w:firstLine="3248"/>
        <w:spacing w:after="0" w:line="244" w:lineRule="auto"/>
        <w:tabs>
          <w:tab w:leader="none" w:pos="3883"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terms of any Option or Convertible Security, the issuance of which resulted in an adjustment to the Series A Conversion Price pursuant to the terms of </w:t>
      </w:r>
      <w:r>
        <w:rPr>
          <w:rFonts w:ascii="Times New Roman" w:cs="Times New Roman" w:eastAsia="Times New Roman" w:hAnsi="Times New Roman"/>
          <w:sz w:val="22"/>
          <w:szCs w:val="22"/>
          <w:u w:val="single" w:color="auto"/>
          <w:color w:val="auto"/>
        </w:rPr>
        <w:t>Subsection 4.4.4</w:t>
      </w:r>
      <w:r>
        <w:rPr>
          <w:rFonts w:ascii="Times New Roman" w:cs="Times New Roman" w:eastAsia="Times New Roman" w:hAnsi="Times New Roman"/>
          <w:sz w:val="22"/>
          <w:szCs w:val="22"/>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Series A Conversion Price computed upon the original issue of such Option or Convertible Security (or upon the occurrence of a record date with respect thereto) shall be readjusted to such Series A Conversion Price as would have obtained had such revised terms been in effect upon the original date of issuance of such Option or Convertible Security. Notwithstanding the foregoing, no readjustment pursuant to this clause (b) shall have the effect of increasing the Series A Conversion Price to an amount which exceeds the lower of (i) the Series A Conversion Price in effect immediately prior to the original adjustment made as a result of the issuance of such Option or Convertible Security or (ii) the Series A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 If the terms of any Option or Convertible Security, the issuance of which resulted in an adjustment to the Series B Conversion Price pursuant to the terms of </w:t>
      </w:r>
      <w:r>
        <w:rPr>
          <w:rFonts w:ascii="Times New Roman" w:cs="Times New Roman" w:eastAsia="Times New Roman" w:hAnsi="Times New Roman"/>
          <w:sz w:val="22"/>
          <w:szCs w:val="22"/>
          <w:u w:val="single" w:color="auto"/>
          <w:color w:val="auto"/>
        </w:rPr>
        <w:t>Subsection 4.4.4</w:t>
      </w:r>
      <w:r>
        <w:rPr>
          <w:rFonts w:ascii="Times New Roman" w:cs="Times New Roman" w:eastAsia="Times New Roman" w:hAnsi="Times New Roman"/>
          <w:sz w:val="22"/>
          <w:szCs w:val="22"/>
          <w:color w:val="auto"/>
        </w:rPr>
        <w:t>, are revised as a result of an amendment to such terms or any other adjustment pursuant to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89"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20 -</w:t>
      </w:r>
    </w:p>
    <w:p>
      <w:pPr>
        <w:sectPr>
          <w:pgSz w:w="11900" w:h="16838" w:orient="portrait"/>
          <w:cols w:equalWidth="0" w:num="1">
            <w:col w:w="11220"/>
          </w:cols>
          <w:pgMar w:left="320" w:top="1440" w:right="359" w:bottom="1440" w:gutter="0" w:footer="0" w:header="0"/>
        </w:sectPr>
      </w:pPr>
    </w:p>
    <w:bookmarkStart w:id="307" w:name="page308"/>
    <w:bookmarkEnd w:id="307"/>
    <w:p>
      <w:pPr>
        <w:spacing w:after="0" w:line="19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1"/>
          <w:szCs w:val="21"/>
          <w:color w:val="auto"/>
        </w:rPr>
        <w:t>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w:t>
      </w:r>
    </w:p>
    <w:p>
      <w:pPr>
        <w:spacing w:after="0" w:line="3" w:lineRule="exact"/>
        <w:rPr>
          <w:sz w:val="20"/>
          <w:szCs w:val="20"/>
          <w:color w:val="auto"/>
        </w:rPr>
      </w:pPr>
    </w:p>
    <w:p>
      <w:pPr>
        <w:ind w:firstLine="8"/>
        <w:spacing w:after="0" w:line="255" w:lineRule="auto"/>
        <w:tabs>
          <w:tab w:leader="none" w:pos="306"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increase or decrease in the consideration payable to the Corporation upon such exercise, conversion and/or exchange, then, effective upon such increase or decrease becoming effective, the Series B Conversion Price computed upon the original issue of such Option or Convertible Security (or upon the occurrence of a record date with respect thereto) shall be readjusted to such Series B Conversion Price as would have obtained had such revised terms been in effect upon the original date of issuance of such Option or Convertible Security. Notwithstanding the foregoing, no readjustment pursuant to this clause (b) shall have the effect of increasing the Series B Conversion Price to an amount which exceeds the lower of (i) the Series B Conversion Price in effect immediately prior to the original adjustment made as a result of the issuance of such Option or Convertible Security or (ii) the Series B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 If the terms of any Option or Convertible Security, the issuance of which resulted in an adjustment to the Series C Conversion Price pursuant to the terms of </w:t>
      </w:r>
      <w:r>
        <w:rPr>
          <w:rFonts w:ascii="Times New Roman" w:cs="Times New Roman" w:eastAsia="Times New Roman" w:hAnsi="Times New Roman"/>
          <w:sz w:val="21"/>
          <w:szCs w:val="21"/>
          <w:u w:val="single" w:color="auto"/>
          <w:color w:val="auto"/>
        </w:rPr>
        <w:t>Subsection 4.4.4</w:t>
      </w:r>
      <w:r>
        <w:rPr>
          <w:rFonts w:ascii="Times New Roman" w:cs="Times New Roman" w:eastAsia="Times New Roman" w:hAnsi="Times New Roman"/>
          <w:sz w:val="21"/>
          <w:szCs w:val="21"/>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Series C Conversion Price computed upon the original issue of such Option or Convertible Security (or upon the occurrence of a record date with respect thereto) shall be readjusted to such Series C Conversion Price as would have obtained had such revised terms been in effect upon the original date of issuance of such Option or Convertible Security. Notwithstanding the foregoing, no readjustment pursuant to this clause (b) shall have the effect of increasing the Series C Conversion Price to an amount which exceeds the lower of (i) the Series C Conversion Price in effect immediately prior to the original adjustment made as a result of the issuance of such Option or Convertible Security or (ii) the Series C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 If the terms of any Option or Convertible Security, the issuance of which resulted in an adjustment to the Series D Conversion Price pursuant to the terms of </w:t>
      </w:r>
      <w:r>
        <w:rPr>
          <w:rFonts w:ascii="Times New Roman" w:cs="Times New Roman" w:eastAsia="Times New Roman" w:hAnsi="Times New Roman"/>
          <w:sz w:val="21"/>
          <w:szCs w:val="21"/>
          <w:u w:val="single" w:color="auto"/>
          <w:color w:val="auto"/>
        </w:rPr>
        <w:t>Subsection 4.4.4</w:t>
      </w:r>
      <w:r>
        <w:rPr>
          <w:rFonts w:ascii="Times New Roman" w:cs="Times New Roman" w:eastAsia="Times New Roman" w:hAnsi="Times New Roman"/>
          <w:sz w:val="21"/>
          <w:szCs w:val="21"/>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75" w:lineRule="exact"/>
        <w:rPr>
          <w:rFonts w:ascii="Times New Roman" w:cs="Times New Roman" w:eastAsia="Times New Roman" w:hAnsi="Times New Roman"/>
          <w:sz w:val="21"/>
          <w:szCs w:val="21"/>
          <w:color w:val="auto"/>
        </w:rPr>
      </w:pPr>
    </w:p>
    <w:p>
      <w:pPr>
        <w:ind w:left="5520" w:hanging="130"/>
        <w:spacing w:after="0"/>
        <w:tabs>
          <w:tab w:leader="none" w:pos="5520"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21 -</w:t>
      </w:r>
    </w:p>
    <w:p>
      <w:pPr>
        <w:sectPr>
          <w:pgSz w:w="11900" w:h="16838" w:orient="portrait"/>
          <w:cols w:equalWidth="0" w:num="1">
            <w:col w:w="11200"/>
          </w:cols>
          <w:pgMar w:left="320" w:top="1440" w:right="379" w:bottom="1440" w:gutter="0" w:footer="0" w:header="0"/>
        </w:sectPr>
      </w:pPr>
    </w:p>
    <w:bookmarkStart w:id="308" w:name="page309"/>
    <w:bookmarkEnd w:id="308"/>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 xml:space="preserve">such exercise, conversion and/or exchange, then, effective upon such increase or decrease becoming effective, the Series D Conversion Price computed upon the original issue of such Option or Convertible Security (or upon the occurrence of a record date with respect thereto) shall be readjusted to such Series D Conversion Price as would have obtained had such revised terms been in effect upon the original date of issuance of such Option or Convertible Security. Notwithstanding the foregoing, no readjustment pursuant to this clause (b) shall have the effect of increasing the Series D Conversion Price to an amount which exceeds the lower of (i) the Series D Conversion Price in effect immediately prior to the original adjustment made as a result of the issuance of such Option or Convertible Security or (ii) the Series D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 If the terms of any Option or Convertible Security, the issuance of which resulted in an adjustment to the Series D-1 Conversion Price pursuant to the terms of </w:t>
      </w:r>
      <w:r>
        <w:rPr>
          <w:rFonts w:ascii="Times New Roman" w:cs="Times New Roman" w:eastAsia="Times New Roman" w:hAnsi="Times New Roman"/>
          <w:sz w:val="21"/>
          <w:szCs w:val="21"/>
          <w:u w:val="single" w:color="auto"/>
          <w:color w:val="auto"/>
        </w:rPr>
        <w:t>Subsection 4.4.4</w:t>
      </w:r>
      <w:r>
        <w:rPr>
          <w:rFonts w:ascii="Times New Roman" w:cs="Times New Roman" w:eastAsia="Times New Roman" w:hAnsi="Times New Roman"/>
          <w:sz w:val="21"/>
          <w:szCs w:val="21"/>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Series D-1 Conversion Price computed upon the original issue of such Option or Convertible Security (or upon the occurrence of a record date with respect thereto) shall be readjusted to such Series D-1 Conversion Price as would have obtained had such revised terms been in effect upon the original date of issuance of such Option or Convertible Security. Notwithstanding the foregoing, no readjustment pursuant to this clause (b) shall have the effect of increasing the Series D-1 Conversion Price to an amount which exceeds the lower of (i) the Series D-1 Conversion Price in effect immediately prior to the original adjustment made as a result of the issuance of such Option or Convertible Security or (ii) the Series D-1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36" w:lineRule="exact"/>
        <w:rPr>
          <w:sz w:val="20"/>
          <w:szCs w:val="20"/>
          <w:color w:val="auto"/>
        </w:rPr>
      </w:pPr>
    </w:p>
    <w:p>
      <w:pPr>
        <w:ind w:left="3900" w:hanging="652"/>
        <w:spacing w:after="0"/>
        <w:tabs>
          <w:tab w:leader="none" w:pos="390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terms of any Option or Convertible Security (excluding Options or</w:t>
      </w:r>
    </w:p>
    <w:p>
      <w:pPr>
        <w:spacing w:after="0" w:line="27" w:lineRule="exact"/>
        <w:rPr>
          <w:rFonts w:ascii="Times New Roman" w:cs="Times New Roman" w:eastAsia="Times New Roman" w:hAnsi="Times New Roman"/>
          <w:sz w:val="22"/>
          <w:szCs w:val="22"/>
          <w:color w:val="auto"/>
        </w:rPr>
      </w:pPr>
    </w:p>
    <w:p>
      <w:pPr>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Convertible Securities which are themselves Exempted Securities), the issuance of which did not result in an adjustment to the Series A Conversion Price pursuant to the terms of </w:t>
      </w:r>
      <w:r>
        <w:rPr>
          <w:rFonts w:ascii="Times New Roman" w:cs="Times New Roman" w:eastAsia="Times New Roman" w:hAnsi="Times New Roman"/>
          <w:sz w:val="22"/>
          <w:szCs w:val="22"/>
          <w:u w:val="single" w:color="auto"/>
          <w:color w:val="auto"/>
        </w:rPr>
        <w:t>Subsection 4.4.4</w:t>
      </w:r>
      <w:r>
        <w:rPr>
          <w:rFonts w:ascii="Times New Roman" w:cs="Times New Roman" w:eastAsia="Times New Roman" w:hAnsi="Times New Roman"/>
          <w:sz w:val="22"/>
          <w:szCs w:val="22"/>
          <w:color w:val="auto"/>
        </w:rPr>
        <w:t xml:space="preserve">, an adjustment to the Series B Conversion Price pursuant to the terms of </w:t>
      </w:r>
      <w:r>
        <w:rPr>
          <w:rFonts w:ascii="Times New Roman" w:cs="Times New Roman" w:eastAsia="Times New Roman" w:hAnsi="Times New Roman"/>
          <w:sz w:val="22"/>
          <w:szCs w:val="22"/>
          <w:u w:val="single" w:color="auto"/>
          <w:color w:val="auto"/>
        </w:rPr>
        <w:t>Subsection 4.4.4</w:t>
      </w:r>
      <w:r>
        <w:rPr>
          <w:rFonts w:ascii="Times New Roman" w:cs="Times New Roman" w:eastAsia="Times New Roman" w:hAnsi="Times New Roman"/>
          <w:sz w:val="22"/>
          <w:szCs w:val="22"/>
          <w:color w:val="auto"/>
        </w:rPr>
        <w:t xml:space="preserve">, an adjustment to the Series C Conversion Price pursuant to the terms of </w:t>
      </w:r>
      <w:r>
        <w:rPr>
          <w:rFonts w:ascii="Times New Roman" w:cs="Times New Roman" w:eastAsia="Times New Roman" w:hAnsi="Times New Roman"/>
          <w:sz w:val="22"/>
          <w:szCs w:val="22"/>
          <w:u w:val="single" w:color="auto"/>
          <w:color w:val="auto"/>
        </w:rPr>
        <w:t>Subsection 4.4.4</w:t>
      </w:r>
      <w:r>
        <w:rPr>
          <w:rFonts w:ascii="Times New Roman" w:cs="Times New Roman" w:eastAsia="Times New Roman" w:hAnsi="Times New Roman"/>
          <w:sz w:val="22"/>
          <w:szCs w:val="22"/>
          <w:color w:val="auto"/>
        </w:rPr>
        <w:t xml:space="preserve">, an adjustment to the Series D Conversion Price pursuant to the terms of </w:t>
      </w:r>
      <w:r>
        <w:rPr>
          <w:rFonts w:ascii="Times New Roman" w:cs="Times New Roman" w:eastAsia="Times New Roman" w:hAnsi="Times New Roman"/>
          <w:sz w:val="22"/>
          <w:szCs w:val="22"/>
          <w:u w:val="single" w:color="auto"/>
          <w:color w:val="auto"/>
        </w:rPr>
        <w:t>Subsection 4.4.4</w:t>
      </w:r>
      <w:r>
        <w:rPr>
          <w:rFonts w:ascii="Times New Roman" w:cs="Times New Roman" w:eastAsia="Times New Roman" w:hAnsi="Times New Roman"/>
          <w:sz w:val="22"/>
          <w:szCs w:val="22"/>
          <w:color w:val="auto"/>
        </w:rPr>
        <w:t xml:space="preserve"> or an adjustment to the Series D-1 Conversion Price pursuant to the terms of </w:t>
      </w:r>
      <w:r>
        <w:rPr>
          <w:rFonts w:ascii="Times New Roman" w:cs="Times New Roman" w:eastAsia="Times New Roman" w:hAnsi="Times New Roman"/>
          <w:sz w:val="22"/>
          <w:szCs w:val="22"/>
          <w:u w:val="single" w:color="auto"/>
          <w:color w:val="auto"/>
        </w:rPr>
        <w:t>Subsection 4.4.4</w:t>
      </w:r>
      <w:r>
        <w:rPr>
          <w:rFonts w:ascii="Times New Roman" w:cs="Times New Roman" w:eastAsia="Times New Roman" w:hAnsi="Times New Roman"/>
          <w:sz w:val="22"/>
          <w:szCs w:val="22"/>
          <w:color w:val="auto"/>
        </w:rPr>
        <w:t xml:space="preserve"> (either because the consideration per share (determined pursuant to </w:t>
      </w:r>
      <w:r>
        <w:rPr>
          <w:rFonts w:ascii="Times New Roman" w:cs="Times New Roman" w:eastAsia="Times New Roman" w:hAnsi="Times New Roman"/>
          <w:sz w:val="22"/>
          <w:szCs w:val="22"/>
          <w:u w:val="single" w:color="auto"/>
          <w:color w:val="auto"/>
        </w:rPr>
        <w:t>Subsection 4.4.5</w:t>
      </w:r>
      <w:r>
        <w:rPr>
          <w:rFonts w:ascii="Times New Roman" w:cs="Times New Roman" w:eastAsia="Times New Roman" w:hAnsi="Times New Roman"/>
          <w:sz w:val="22"/>
          <w:szCs w:val="22"/>
          <w:color w:val="auto"/>
        </w:rPr>
        <w:t>) of the Additional Shares of Common Stock subject thereto was equal to or greater than the Series A Conversion Price, Series B Conversion Price, Series C Conversion Price, Series D Conversion Price or Series D-1 Conversion Price, as applicable, then in effect, 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1"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22 -</w:t>
      </w:r>
    </w:p>
    <w:p>
      <w:pPr>
        <w:sectPr>
          <w:pgSz w:w="11900" w:h="16838" w:orient="portrait"/>
          <w:cols w:equalWidth="0" w:num="1">
            <w:col w:w="11220"/>
          </w:cols>
          <w:pgMar w:left="320" w:top="1440" w:right="359" w:bottom="1440" w:gutter="0" w:footer="0" w:header="0"/>
        </w:sectPr>
      </w:pPr>
    </w:p>
    <w:bookmarkStart w:id="309" w:name="page310"/>
    <w:bookmarkEnd w:id="309"/>
    <w:p>
      <w:pPr>
        <w:spacing w:after="0" w:line="19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1"/>
          <w:szCs w:val="21"/>
          <w:color w:val="auto"/>
        </w:rPr>
        <w:t xml:space="preserve">because such Option or Convertible Security was issued before the Series D-1 Original Issue Date), are revised after the Series D-1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21"/>
          <w:szCs w:val="21"/>
          <w:u w:val="single" w:color="auto"/>
          <w:color w:val="auto"/>
        </w:rPr>
        <w:t>Subsection 4.4.3(a))</w:t>
      </w:r>
      <w:r>
        <w:rPr>
          <w:rFonts w:ascii="Times New Roman" w:cs="Times New Roman" w:eastAsia="Times New Roman" w:hAnsi="Times New Roman"/>
          <w:sz w:val="21"/>
          <w:szCs w:val="21"/>
          <w:color w:val="auto"/>
        </w:rPr>
        <w:t xml:space="preserve"> shall be deemed to have been issued effective upon such increase or decrease becoming effective.</w:t>
      </w:r>
    </w:p>
    <w:p>
      <w:pPr>
        <w:spacing w:after="0" w:line="121" w:lineRule="exact"/>
        <w:rPr>
          <w:sz w:val="20"/>
          <w:szCs w:val="20"/>
          <w:color w:val="auto"/>
        </w:rPr>
      </w:pPr>
    </w:p>
    <w:p>
      <w:pPr>
        <w:ind w:left="3900" w:hanging="652"/>
        <w:spacing w:after="0"/>
        <w:tabs>
          <w:tab w:leader="none" w:pos="390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expiration or termination of any unexercised Option or unconverted or</w:t>
      </w:r>
    </w:p>
    <w:p>
      <w:pPr>
        <w:spacing w:after="0" w:line="27" w:lineRule="exact"/>
        <w:rPr>
          <w:rFonts w:ascii="Times New Roman" w:cs="Times New Roman" w:eastAsia="Times New Roman" w:hAnsi="Times New Roman"/>
          <w:sz w:val="22"/>
          <w:szCs w:val="22"/>
          <w:color w:val="auto"/>
        </w:rPr>
      </w:pPr>
    </w:p>
    <w:p>
      <w:pPr>
        <w:ind w:right="16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unexchanged Convertible Security (or portion thereof) which resulted (either upon its original issuance or upon a revision of its terms) in an adjustment to the Series A Conversion Price, Series B Conversion Price, Series C Conversion Price, Series D Conversion Price or Series D-1 Conversion Price pursuant to the terms of </w:t>
      </w:r>
      <w:r>
        <w:rPr>
          <w:rFonts w:ascii="Times New Roman" w:cs="Times New Roman" w:eastAsia="Times New Roman" w:hAnsi="Times New Roman"/>
          <w:sz w:val="22"/>
          <w:szCs w:val="22"/>
          <w:u w:val="single" w:color="auto"/>
          <w:color w:val="auto"/>
        </w:rPr>
        <w:t>Subsection 4.4.4</w:t>
      </w:r>
      <w:r>
        <w:rPr>
          <w:rFonts w:ascii="Times New Roman" w:cs="Times New Roman" w:eastAsia="Times New Roman" w:hAnsi="Times New Roman"/>
          <w:sz w:val="22"/>
          <w:szCs w:val="22"/>
          <w:color w:val="auto"/>
        </w:rPr>
        <w:t>, then such conversion price shall be readjusted to such Series A Conversion Price, Series B Conversion Price, Series C Conversion Price, Series D Conversion Price or Series D-1 Conversion Price as would have obtained had such Option or Convertible Security (or portion thereof) never been issued.</w:t>
      </w:r>
    </w:p>
    <w:p>
      <w:pPr>
        <w:spacing w:after="0" w:line="133" w:lineRule="exact"/>
        <w:rPr>
          <w:rFonts w:ascii="Times New Roman" w:cs="Times New Roman" w:eastAsia="Times New Roman" w:hAnsi="Times New Roman"/>
          <w:sz w:val="22"/>
          <w:szCs w:val="22"/>
          <w:color w:val="auto"/>
        </w:rPr>
      </w:pPr>
    </w:p>
    <w:p>
      <w:pPr>
        <w:ind w:left="3900" w:hanging="652"/>
        <w:spacing w:after="0"/>
        <w:tabs>
          <w:tab w:leader="none" w:pos="390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number of shares of Common Stock issuable upon the exercise, conversion</w:t>
      </w:r>
    </w:p>
    <w:p>
      <w:pPr>
        <w:spacing w:after="0" w:line="27" w:lineRule="exact"/>
        <w:rPr>
          <w:rFonts w:ascii="Times New Roman" w:cs="Times New Roman" w:eastAsia="Times New Roman" w:hAnsi="Times New Roman"/>
          <w:sz w:val="22"/>
          <w:szCs w:val="22"/>
          <w:color w:val="auto"/>
        </w:rPr>
      </w:pPr>
    </w:p>
    <w:p>
      <w:pPr>
        <w:ind w:right="6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Series A Conversion Price, Series B Conversion Price, Series C Conversion Price, Series D Conversion Price or Series D-1 Conversion Price provided for in this </w:t>
      </w:r>
      <w:r>
        <w:rPr>
          <w:rFonts w:ascii="Times New Roman" w:cs="Times New Roman" w:eastAsia="Times New Roman" w:hAnsi="Times New Roman"/>
          <w:sz w:val="22"/>
          <w:szCs w:val="22"/>
          <w:u w:val="single" w:color="auto"/>
          <w:color w:val="auto"/>
        </w:rPr>
        <w:t>Subsection 4.4.3</w:t>
      </w:r>
      <w:r>
        <w:rPr>
          <w:rFonts w:ascii="Times New Roman" w:cs="Times New Roman" w:eastAsia="Times New Roman" w:hAnsi="Times New Roman"/>
          <w:sz w:val="22"/>
          <w:szCs w:val="22"/>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Times New Roman" w:cs="Times New Roman" w:eastAsia="Times New Roman" w:hAnsi="Times New Roman"/>
          <w:sz w:val="22"/>
          <w:szCs w:val="22"/>
          <w:u w:val="single" w:color="auto"/>
          <w:color w:val="auto"/>
        </w:rPr>
        <w:t>Subsection 4.4.3</w:t>
      </w:r>
      <w:r>
        <w:rPr>
          <w:rFonts w:ascii="Times New Roman" w:cs="Times New Roman" w:eastAsia="Times New Roman" w:hAnsi="Times New Roman"/>
          <w:sz w:val="22"/>
          <w:szCs w:val="22"/>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Series A Conversion Price, Series B Conversion Price, Series C Conversion Price, Series D Conversion Price or Series D-1 Conversion Price that would result under the terms of this </w:t>
      </w:r>
      <w:r>
        <w:rPr>
          <w:rFonts w:ascii="Times New Roman" w:cs="Times New Roman" w:eastAsia="Times New Roman" w:hAnsi="Times New Roman"/>
          <w:sz w:val="22"/>
          <w:szCs w:val="22"/>
          <w:u w:val="single" w:color="auto"/>
          <w:color w:val="auto"/>
        </w:rPr>
        <w:t>Subsection 4.4.3</w:t>
      </w:r>
      <w:r>
        <w:rPr>
          <w:rFonts w:ascii="Times New Roman" w:cs="Times New Roman" w:eastAsia="Times New Roman" w:hAnsi="Times New Roman"/>
          <w:sz w:val="22"/>
          <w:szCs w:val="22"/>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Series A Conversion Price, Series B Conversion Price, Series C Conversion Price, Series D Conversion Price or Series D-1 Conversion Price that such issuance or amendment took place at the time such calculation can first be made.</w:t>
      </w:r>
    </w:p>
    <w:p>
      <w:pPr>
        <w:spacing w:after="0" w:line="143" w:lineRule="exact"/>
        <w:rPr>
          <w:sz w:val="20"/>
          <w:szCs w:val="20"/>
          <w:color w:val="auto"/>
        </w:rPr>
      </w:pPr>
    </w:p>
    <w:p>
      <w:pPr>
        <w:ind w:firstLine="2592"/>
        <w:spacing w:after="0" w:line="271" w:lineRule="auto"/>
        <w:rPr>
          <w:sz w:val="20"/>
          <w:szCs w:val="20"/>
          <w:color w:val="auto"/>
        </w:rPr>
      </w:pPr>
      <w:r>
        <w:rPr>
          <w:rFonts w:ascii="Times New Roman" w:cs="Times New Roman" w:eastAsia="Times New Roman" w:hAnsi="Times New Roman"/>
          <w:sz w:val="22"/>
          <w:szCs w:val="22"/>
          <w:color w:val="auto"/>
        </w:rPr>
        <w:t xml:space="preserve">4.4.4 </w:t>
      </w:r>
      <w:r>
        <w:rPr>
          <w:rFonts w:ascii="Times New Roman" w:cs="Times New Roman" w:eastAsia="Times New Roman" w:hAnsi="Times New Roman"/>
          <w:sz w:val="22"/>
          <w:szCs w:val="22"/>
          <w:u w:val="single" w:color="auto"/>
          <w:color w:val="auto"/>
        </w:rPr>
        <w:t>Adjustment of Conversion Prices Upon Issuance of Additional Shares of Common Stock</w:t>
      </w:r>
      <w:r>
        <w:rPr>
          <w:rFonts w:ascii="Times New Roman" w:cs="Times New Roman" w:eastAsia="Times New Roman" w:hAnsi="Times New Roman"/>
          <w:sz w:val="22"/>
          <w:szCs w:val="22"/>
          <w:color w:val="auto"/>
        </w:rPr>
        <w:t>. In the event the Corporation shall at any time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20" w:top="1440" w:right="359" w:bottom="1440" w:gutter="0" w:footer="0" w:header="0"/>
        </w:sectPr>
      </w:pPr>
    </w:p>
    <w:bookmarkStart w:id="310" w:name="page311"/>
    <w:bookmarkEnd w:id="310"/>
    <w:p>
      <w:pPr>
        <w:spacing w:after="0" w:line="198"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1"/>
          <w:szCs w:val="21"/>
          <w:color w:val="auto"/>
        </w:rPr>
        <w:t xml:space="preserve">Series D-1 Original Issue Date issue Additional Shares of Common Stock (including Additional Shares of Common Stock deemed to be issued pursuant to </w:t>
      </w:r>
      <w:r>
        <w:rPr>
          <w:rFonts w:ascii="Times New Roman" w:cs="Times New Roman" w:eastAsia="Times New Roman" w:hAnsi="Times New Roman"/>
          <w:sz w:val="21"/>
          <w:szCs w:val="21"/>
          <w:u w:val="single" w:color="auto"/>
          <w:color w:val="auto"/>
        </w:rPr>
        <w:t>Subsection 4.4.3</w:t>
      </w:r>
      <w:r>
        <w:rPr>
          <w:rFonts w:ascii="Times New Roman" w:cs="Times New Roman" w:eastAsia="Times New Roman" w:hAnsi="Times New Roman"/>
          <w:sz w:val="21"/>
          <w:szCs w:val="21"/>
          <w:color w:val="auto"/>
        </w:rPr>
        <w:t>), without consideration or for a consideration per share less than the Series A Conversion Price, Series B Conversion Price, Series C Conversion Price, Series D Conversion Price or Series D-1 Conversion Price in effect immediately prior to such issue, then the Series A Conversion Price, Series B Conversion Price, Series C Conversion Price, Series D Conversion Price or Series D-1 Conversion Price, as applicable, shall be reduced, concurrently with such issue, to a price (calculated to the nearest one-hundredth of a cent) determined in accordance with the following formula:</w:t>
      </w:r>
    </w:p>
    <w:p>
      <w:pPr>
        <w:spacing w:after="0" w:line="2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CP</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22"/>
          <w:szCs w:val="22"/>
          <w:color w:val="auto"/>
        </w:rPr>
        <w:t xml:space="preserve"> = CP</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(A + B) ÷ (A + 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the foregoing formula, the following definitions shall apply:</w:t>
      </w:r>
    </w:p>
    <w:p>
      <w:pPr>
        <w:spacing w:after="0" w:line="80" w:lineRule="exact"/>
        <w:rPr>
          <w:sz w:val="20"/>
          <w:szCs w:val="20"/>
          <w:color w:val="auto"/>
        </w:rPr>
      </w:pPr>
    </w:p>
    <w:p>
      <w:pPr>
        <w:ind w:left="3900" w:hanging="652"/>
        <w:spacing w:after="0"/>
        <w:tabs>
          <w:tab w:leader="none" w:pos="3900"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“CP</w:t>
      </w:r>
      <w:r>
        <w:rPr>
          <w:rFonts w:ascii="Times New Roman" w:cs="Times New Roman" w:eastAsia="Times New Roman" w:hAnsi="Times New Roman"/>
          <w:sz w:val="27"/>
          <w:szCs w:val="27"/>
          <w:color w:val="auto"/>
          <w:vertAlign w:val="subscript"/>
        </w:rPr>
        <w:t>2</w:t>
      </w:r>
      <w:r>
        <w:rPr>
          <w:rFonts w:ascii="Times New Roman" w:cs="Times New Roman" w:eastAsia="Times New Roman" w:hAnsi="Times New Roman"/>
          <w:sz w:val="21"/>
          <w:szCs w:val="21"/>
          <w:color w:val="auto"/>
        </w:rPr>
        <w:t>” shall mean the Series A Conversion Price, Series B Conversion Price, Series</w:t>
      </w:r>
    </w:p>
    <w:p>
      <w:pPr>
        <w:spacing w:after="0" w:line="55" w:lineRule="exact"/>
        <w:rPr>
          <w:rFonts w:ascii="Times New Roman" w:cs="Times New Roman" w:eastAsia="Times New Roman" w:hAnsi="Times New Roman"/>
          <w:sz w:val="21"/>
          <w:szCs w:val="21"/>
          <w:color w:val="auto"/>
        </w:rPr>
      </w:pPr>
    </w:p>
    <w:p>
      <w:pPr>
        <w:ind w:right="28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Conversion Price, Series D Conversion Price or Series D-1 Conversion Price, as applicable, in effect immediately after such issue of Additional Shares of Common Stock</w:t>
      </w:r>
    </w:p>
    <w:p>
      <w:pPr>
        <w:spacing w:after="0" w:line="42" w:lineRule="exact"/>
        <w:rPr>
          <w:rFonts w:ascii="Times New Roman" w:cs="Times New Roman" w:eastAsia="Times New Roman" w:hAnsi="Times New Roman"/>
          <w:sz w:val="21"/>
          <w:szCs w:val="21"/>
          <w:color w:val="auto"/>
        </w:rPr>
      </w:pPr>
    </w:p>
    <w:p>
      <w:pPr>
        <w:ind w:right="20" w:firstLine="3248"/>
        <w:spacing w:after="0" w:line="262" w:lineRule="auto"/>
        <w:tabs>
          <w:tab w:leader="none" w:pos="3883"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“CP</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shall mean the Series A Conversion Price, Series B Conversion Price, Series C Conversion Price, Series D Conversion Price or Series D-1 Conversion Price, as applicable, in effect immediately prior to such issue of Additional Shares of Common Stock;</w:t>
      </w:r>
    </w:p>
    <w:p>
      <w:pPr>
        <w:spacing w:after="0" w:line="112" w:lineRule="exact"/>
        <w:rPr>
          <w:rFonts w:ascii="Times New Roman" w:cs="Times New Roman" w:eastAsia="Times New Roman" w:hAnsi="Times New Roman"/>
          <w:sz w:val="22"/>
          <w:szCs w:val="22"/>
          <w:color w:val="auto"/>
        </w:rPr>
      </w:pPr>
    </w:p>
    <w:p>
      <w:pPr>
        <w:ind w:left="3900" w:hanging="652"/>
        <w:spacing w:after="0"/>
        <w:tabs>
          <w:tab w:leader="none" w:pos="390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shall mean the number of shares of Common Stock outstanding immediately</w:t>
      </w:r>
    </w:p>
    <w:p>
      <w:pPr>
        <w:spacing w:after="0" w:line="27" w:lineRule="exact"/>
        <w:rPr>
          <w:rFonts w:ascii="Times New Roman" w:cs="Times New Roman" w:eastAsia="Times New Roman" w:hAnsi="Times New Roman"/>
          <w:sz w:val="22"/>
          <w:szCs w:val="22"/>
          <w:color w:val="auto"/>
        </w:rPr>
      </w:pPr>
    </w:p>
    <w:p>
      <w:pPr>
        <w:ind w:right="2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131" w:lineRule="exact"/>
        <w:rPr>
          <w:rFonts w:ascii="Times New Roman" w:cs="Times New Roman" w:eastAsia="Times New Roman" w:hAnsi="Times New Roman"/>
          <w:sz w:val="22"/>
          <w:szCs w:val="22"/>
          <w:color w:val="auto"/>
        </w:rPr>
      </w:pPr>
    </w:p>
    <w:p>
      <w:pPr>
        <w:ind w:left="3900" w:hanging="652"/>
        <w:spacing w:after="0"/>
        <w:tabs>
          <w:tab w:leader="none" w:pos="3900"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 shall mean the number of shares of Common Stock that would have been issued</w:t>
      </w:r>
    </w:p>
    <w:p>
      <w:pPr>
        <w:spacing w:after="0" w:line="39" w:lineRule="exact"/>
        <w:rPr>
          <w:rFonts w:ascii="Times New Roman" w:cs="Times New Roman" w:eastAsia="Times New Roman" w:hAnsi="Times New Roman"/>
          <w:sz w:val="21"/>
          <w:szCs w:val="21"/>
          <w:color w:val="auto"/>
        </w:rPr>
      </w:pPr>
    </w:p>
    <w:p>
      <w:pPr>
        <w:ind w:right="660"/>
        <w:spacing w:after="0" w:line="19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if such Additional Shares of Common Stock had been issued at a price per share equal to CP</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ml:space="preserve"> (determined by dividing the aggregate consideration received by the Corporation in respect of such issue by CP</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and</w:t>
      </w:r>
    </w:p>
    <w:p>
      <w:pPr>
        <w:spacing w:after="0" w:line="133" w:lineRule="exact"/>
        <w:rPr>
          <w:rFonts w:ascii="Times New Roman" w:cs="Times New Roman" w:eastAsia="Times New Roman" w:hAnsi="Times New Roman"/>
          <w:sz w:val="21"/>
          <w:szCs w:val="21"/>
          <w:color w:val="auto"/>
        </w:rPr>
      </w:pPr>
    </w:p>
    <w:p>
      <w:pPr>
        <w:ind w:left="3900" w:hanging="652"/>
        <w:spacing w:after="0"/>
        <w:tabs>
          <w:tab w:leader="none" w:pos="390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 shall mean the number of such Additional Shares of Common Stock issued in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transaction.</w:t>
      </w:r>
    </w:p>
    <w:p>
      <w:pPr>
        <w:spacing w:after="0" w:line="142" w:lineRule="exact"/>
        <w:rPr>
          <w:sz w:val="20"/>
          <w:szCs w:val="20"/>
          <w:color w:val="auto"/>
        </w:rPr>
      </w:pPr>
    </w:p>
    <w:p>
      <w:pPr>
        <w:ind w:right="460" w:firstLine="2592"/>
        <w:spacing w:after="0" w:line="271" w:lineRule="auto"/>
        <w:rPr>
          <w:sz w:val="20"/>
          <w:szCs w:val="20"/>
          <w:color w:val="auto"/>
        </w:rPr>
      </w:pPr>
      <w:r>
        <w:rPr>
          <w:rFonts w:ascii="Times New Roman" w:cs="Times New Roman" w:eastAsia="Times New Roman" w:hAnsi="Times New Roman"/>
          <w:sz w:val="22"/>
          <w:szCs w:val="22"/>
          <w:color w:val="auto"/>
        </w:rPr>
        <w:t xml:space="preserve">4.4.5 </w:t>
      </w:r>
      <w:r>
        <w:rPr>
          <w:rFonts w:ascii="Times New Roman" w:cs="Times New Roman" w:eastAsia="Times New Roman" w:hAnsi="Times New Roman"/>
          <w:sz w:val="22"/>
          <w:szCs w:val="22"/>
          <w:u w:val="single" w:color="auto"/>
          <w:color w:val="auto"/>
        </w:rPr>
        <w:t>Determination of Consideration</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Subsection 4.4</w:t>
      </w:r>
      <w:r>
        <w:rPr>
          <w:rFonts w:ascii="Times New Roman" w:cs="Times New Roman" w:eastAsia="Times New Roman" w:hAnsi="Times New Roman"/>
          <w:sz w:val="22"/>
          <w:szCs w:val="22"/>
          <w:color w:val="auto"/>
        </w:rPr>
        <w:t>, the consideration received by the Corporation for the issue of any Additional Shares of Common Stock shall be computed as follows:</w:t>
      </w:r>
    </w:p>
    <w:p>
      <w:pPr>
        <w:spacing w:after="0" w:line="104" w:lineRule="exact"/>
        <w:rPr>
          <w:sz w:val="20"/>
          <w:szCs w:val="20"/>
          <w:color w:val="auto"/>
        </w:rPr>
      </w:pPr>
    </w:p>
    <w:p>
      <w:pPr>
        <w:ind w:left="3900" w:hanging="652"/>
        <w:spacing w:after="0"/>
        <w:tabs>
          <w:tab w:leader="none" w:pos="390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and Property</w:t>
      </w:r>
      <w:r>
        <w:rPr>
          <w:rFonts w:ascii="Times New Roman" w:cs="Times New Roman" w:eastAsia="Times New Roman" w:hAnsi="Times New Roman"/>
          <w:sz w:val="22"/>
          <w:szCs w:val="22"/>
          <w:color w:val="auto"/>
        </w:rPr>
        <w:t>: Such consideration shall:</w:t>
      </w:r>
    </w:p>
    <w:p>
      <w:pPr>
        <w:spacing w:after="0" w:line="165" w:lineRule="exact"/>
        <w:rPr>
          <w:rFonts w:ascii="Times New Roman" w:cs="Times New Roman" w:eastAsia="Times New Roman" w:hAnsi="Times New Roman"/>
          <w:sz w:val="22"/>
          <w:szCs w:val="22"/>
          <w:color w:val="auto"/>
        </w:rPr>
      </w:pPr>
    </w:p>
    <w:p>
      <w:pPr>
        <w:ind w:left="4540" w:right="240" w:hanging="644"/>
        <w:spacing w:after="0" w:line="271" w:lineRule="auto"/>
        <w:tabs>
          <w:tab w:leader="none" w:pos="4528"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insofar as it consists of cash, be computed at the aggregate amount of cash received by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4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24 -</w:t>
      </w:r>
    </w:p>
    <w:p>
      <w:pPr>
        <w:sectPr>
          <w:pgSz w:w="11900" w:h="16838" w:orient="portrait"/>
          <w:cols w:equalWidth="0" w:num="1">
            <w:col w:w="11200"/>
          </w:cols>
          <w:pgMar w:left="320" w:top="1440" w:right="379" w:bottom="1440" w:gutter="0" w:footer="0" w:header="0"/>
        </w:sectPr>
      </w:pPr>
    </w:p>
    <w:bookmarkStart w:id="311" w:name="page312"/>
    <w:bookmarkEnd w:id="311"/>
    <w:p>
      <w:pPr>
        <w:spacing w:after="0" w:line="19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the Corporation, excluding amounts paid or payable for accrued interest;</w:t>
      </w:r>
    </w:p>
    <w:p>
      <w:pPr>
        <w:spacing w:after="0" w:line="166" w:lineRule="exact"/>
        <w:rPr>
          <w:sz w:val="20"/>
          <w:szCs w:val="20"/>
          <w:color w:val="auto"/>
        </w:rPr>
      </w:pPr>
    </w:p>
    <w:p>
      <w:pPr>
        <w:ind w:left="4540" w:right="40" w:hanging="644"/>
        <w:spacing w:after="0" w:line="257" w:lineRule="auto"/>
        <w:tabs>
          <w:tab w:leader="none" w:pos="4534"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insofar as it consists of property other than cash, be computed at the fair market value thereof at the time of such issue, as determined in good faith by the Board of Directors of the Corporation; and</w:t>
      </w:r>
    </w:p>
    <w:p>
      <w:pPr>
        <w:spacing w:after="0" w:line="118" w:lineRule="exact"/>
        <w:rPr>
          <w:rFonts w:ascii="Times New Roman" w:cs="Times New Roman" w:eastAsia="Times New Roman" w:hAnsi="Times New Roman"/>
          <w:sz w:val="22"/>
          <w:szCs w:val="22"/>
          <w:color w:val="auto"/>
        </w:rPr>
      </w:pPr>
    </w:p>
    <w:p>
      <w:pPr>
        <w:ind w:left="4540" w:right="100" w:hanging="644"/>
        <w:spacing w:after="0" w:line="250" w:lineRule="auto"/>
        <w:tabs>
          <w:tab w:leader="none" w:pos="4540"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 of the Corporation.</w:t>
      </w:r>
    </w:p>
    <w:p>
      <w:pPr>
        <w:spacing w:after="0" w:line="126" w:lineRule="exact"/>
        <w:rPr>
          <w:rFonts w:ascii="Times New Roman" w:cs="Times New Roman" w:eastAsia="Times New Roman" w:hAnsi="Times New Roman"/>
          <w:sz w:val="22"/>
          <w:szCs w:val="22"/>
          <w:color w:val="auto"/>
        </w:rPr>
      </w:pPr>
    </w:p>
    <w:p>
      <w:pPr>
        <w:ind w:left="3900" w:hanging="652"/>
        <w:spacing w:after="0"/>
        <w:tabs>
          <w:tab w:leader="none" w:pos="390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 and Convertible Securities</w:t>
      </w:r>
      <w:r>
        <w:rPr>
          <w:rFonts w:ascii="Times New Roman" w:cs="Times New Roman" w:eastAsia="Times New Roman" w:hAnsi="Times New Roman"/>
          <w:sz w:val="22"/>
          <w:szCs w:val="22"/>
          <w:color w:val="auto"/>
        </w:rPr>
        <w:t>. The consideration per share received by the</w:t>
      </w:r>
    </w:p>
    <w:p>
      <w:pPr>
        <w:spacing w:after="0" w:line="27" w:lineRule="exact"/>
        <w:rPr>
          <w:rFonts w:ascii="Times New Roman" w:cs="Times New Roman" w:eastAsia="Times New Roman" w:hAnsi="Times New Roman"/>
          <w:sz w:val="22"/>
          <w:szCs w:val="22"/>
          <w:color w:val="auto"/>
        </w:rPr>
      </w:pPr>
    </w:p>
    <w:p>
      <w:pPr>
        <w:ind w:right="68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Corporation for Additional Shares of Common Stock deemed to have been issued pursuant to </w:t>
      </w:r>
      <w:r>
        <w:rPr>
          <w:rFonts w:ascii="Times New Roman" w:cs="Times New Roman" w:eastAsia="Times New Roman" w:hAnsi="Times New Roman"/>
          <w:sz w:val="22"/>
          <w:szCs w:val="22"/>
          <w:u w:val="single" w:color="auto"/>
          <w:color w:val="auto"/>
        </w:rPr>
        <w:t>Subsection 4.4.3</w:t>
      </w:r>
      <w:r>
        <w:rPr>
          <w:rFonts w:ascii="Times New Roman" w:cs="Times New Roman" w:eastAsia="Times New Roman" w:hAnsi="Times New Roman"/>
          <w:sz w:val="22"/>
          <w:szCs w:val="22"/>
          <w:color w:val="auto"/>
        </w:rPr>
        <w:t>, relating to Options and Convertible Securities, shall be determined by dividing:</w:t>
      </w:r>
    </w:p>
    <w:p>
      <w:pPr>
        <w:spacing w:after="0" w:line="128" w:lineRule="exact"/>
        <w:rPr>
          <w:rFonts w:ascii="Times New Roman" w:cs="Times New Roman" w:eastAsia="Times New Roman" w:hAnsi="Times New Roman"/>
          <w:sz w:val="22"/>
          <w:szCs w:val="22"/>
          <w:color w:val="auto"/>
        </w:rPr>
      </w:pPr>
    </w:p>
    <w:p>
      <w:pPr>
        <w:ind w:left="4540" w:hanging="644"/>
        <w:spacing w:after="0" w:line="260" w:lineRule="auto"/>
        <w:tabs>
          <w:tab w:leader="none" w:pos="4528" w:val="left"/>
        </w:tabs>
        <w:numPr>
          <w:ilvl w:val="1"/>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16" w:lineRule="exact"/>
        <w:rPr>
          <w:rFonts w:ascii="Times New Roman" w:cs="Times New Roman" w:eastAsia="Times New Roman" w:hAnsi="Times New Roman"/>
          <w:sz w:val="21"/>
          <w:szCs w:val="21"/>
          <w:color w:val="auto"/>
        </w:rPr>
      </w:pPr>
    </w:p>
    <w:p>
      <w:pPr>
        <w:ind w:left="4540" w:right="600" w:hanging="644"/>
        <w:spacing w:after="0" w:line="252" w:lineRule="auto"/>
        <w:tabs>
          <w:tab w:leader="none" w:pos="4534"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of shares of Common Stock (as set forth in the instruments relating thereto, without regard to any provision contained therein for a subsequent adjustment of such number) issuable upon the exercise of such Options or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64"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198" w:lineRule="exact"/>
        <w:rPr>
          <w:sz w:val="20"/>
          <w:szCs w:val="20"/>
          <w:color w:val="auto"/>
        </w:rPr>
      </w:pPr>
    </w:p>
    <w:p>
      <w:pPr>
        <w:ind w:left="4540" w:right="220"/>
        <w:spacing w:after="0" w:line="252" w:lineRule="auto"/>
        <w:rPr>
          <w:sz w:val="20"/>
          <w:szCs w:val="20"/>
          <w:color w:val="auto"/>
        </w:rPr>
      </w:pPr>
      <w:r>
        <w:rPr>
          <w:rFonts w:ascii="Times New Roman" w:cs="Times New Roman" w:eastAsia="Times New Roman" w:hAnsi="Times New Roman"/>
          <w:sz w:val="22"/>
          <w:szCs w:val="22"/>
          <w:color w:val="auto"/>
        </w:rPr>
        <w:t>conversion or exchange of such Convertible Securities, or in the case of Options for Convertible Securities, the exercise of such Options for Convertible Securities and the conversion or exchange of such Convertible Securities.</w:t>
      </w:r>
    </w:p>
    <w:p>
      <w:pPr>
        <w:spacing w:after="0" w:line="125" w:lineRule="exact"/>
        <w:rPr>
          <w:sz w:val="20"/>
          <w:szCs w:val="20"/>
          <w:color w:val="auto"/>
        </w:rPr>
      </w:pPr>
    </w:p>
    <w:p>
      <w:pPr>
        <w:ind w:firstLine="2592"/>
        <w:spacing w:after="0" w:line="247" w:lineRule="auto"/>
        <w:rPr>
          <w:sz w:val="20"/>
          <w:szCs w:val="20"/>
          <w:color w:val="auto"/>
        </w:rPr>
      </w:pPr>
      <w:r>
        <w:rPr>
          <w:rFonts w:ascii="Times New Roman" w:cs="Times New Roman" w:eastAsia="Times New Roman" w:hAnsi="Times New Roman"/>
          <w:sz w:val="22"/>
          <w:szCs w:val="22"/>
          <w:color w:val="auto"/>
        </w:rPr>
        <w:t xml:space="preserve">4.4.6 </w:t>
      </w:r>
      <w:r>
        <w:rPr>
          <w:rFonts w:ascii="Times New Roman" w:cs="Times New Roman" w:eastAsia="Times New Roman" w:hAnsi="Times New Roman"/>
          <w:sz w:val="22"/>
          <w:szCs w:val="22"/>
          <w:u w:val="single" w:color="auto"/>
          <w:color w:val="auto"/>
        </w:rPr>
        <w:t>Multiple Closing Dates</w:t>
      </w:r>
      <w:r>
        <w:rPr>
          <w:rFonts w:ascii="Times New Roman" w:cs="Times New Roman" w:eastAsia="Times New Roman" w:hAnsi="Times New Roman"/>
          <w:sz w:val="22"/>
          <w:szCs w:val="22"/>
          <w:color w:val="auto"/>
        </w:rPr>
        <w:t xml:space="preserve">. In the event the Corporation shall issue on more than one date Additional Shares of Common Stock that are a part of one transaction or a series of related transactions and that would result in an adjustment to the Series A Conversion Price, Series B Conversion Price, Series C Conversion Price, Series D Conversion Price or Series D-1 Conversion Price pursuant to the terms of </w:t>
      </w:r>
      <w:r>
        <w:rPr>
          <w:rFonts w:ascii="Times New Roman" w:cs="Times New Roman" w:eastAsia="Times New Roman" w:hAnsi="Times New Roman"/>
          <w:sz w:val="22"/>
          <w:szCs w:val="22"/>
          <w:u w:val="single" w:color="auto"/>
          <w:color w:val="auto"/>
        </w:rPr>
        <w:t>Subsection 4.4.4</w:t>
      </w:r>
      <w:r>
        <w:rPr>
          <w:rFonts w:ascii="Times New Roman" w:cs="Times New Roman" w:eastAsia="Times New Roman" w:hAnsi="Times New Roman"/>
          <w:sz w:val="22"/>
          <w:szCs w:val="22"/>
          <w:color w:val="auto"/>
        </w:rPr>
        <w:t>, then, upon the final such issuance, the Series A Conversion Price, Series B Conversion Price, Series C Conversion Price, Series D Conversion Price or Series D-1 Conversion Price, as applicable, shall be readjusted to give effect to all such issuances as if they occurred on the date of the first such issuance (and without giving effect to any additional adjustments as a result of any such subsequent issuances within such period).</w:t>
      </w:r>
    </w:p>
    <w:p>
      <w:pPr>
        <w:spacing w:after="0" w:line="131" w:lineRule="exact"/>
        <w:rPr>
          <w:sz w:val="20"/>
          <w:szCs w:val="20"/>
          <w:color w:val="auto"/>
        </w:rPr>
      </w:pPr>
    </w:p>
    <w:p>
      <w:pPr>
        <w:ind w:right="40" w:firstLine="1944"/>
        <w:spacing w:after="0" w:line="245"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Adjustment for Stock Splits and Combinations</w:t>
      </w:r>
      <w:r>
        <w:rPr>
          <w:rFonts w:ascii="Times New Roman" w:cs="Times New Roman" w:eastAsia="Times New Roman" w:hAnsi="Times New Roman"/>
          <w:sz w:val="22"/>
          <w:szCs w:val="22"/>
          <w:color w:val="auto"/>
        </w:rPr>
        <w:t xml:space="preserve">. If the Corporation shall at any time or from time to time after the Series D-1 Original Issue Date effect a subdivision of the outstanding Common Stock, the Series A Conversion Price, the Series B Conversion Price, the Series C Conversion Price, the Series D Conversion Price and the Series D-1 Conversion Price in effect immediately before that subdivision shall be proportionately decreased so that the number of shares of Class A Common Stock issuable on conversion of each share of such series of Preferred Stock shall be increased in proportion to such increase in the aggregate number of shares of Common Stock outstanding. If the Corporation shall at any time or from time to time after the Series D-1 Original Issue Date combine the outstanding shares of Common Stock, the Series A Conversion Price, the Series B Conversion Price, the Series C Conversion Price, the Series D Conversion Price and the Series D-1 Conversion Price in effect immediately before the combination shall be proportionately increased so that the number of shares of Class A Common Stock issuable on conversion of each share of such series of Preferred Stock shall be decreased in proportion to such decrease in the aggregate number of shares of Common Stock outstanding. Any adjustment under this subsection shall become effective at the close of business on the date the subdivision or combination becomes effective. In no event shall the conversion of shares of Class B Common Stock into shares of Class A Common Stock in accordance with Article Fourth, Section A, Subsection 4 be considered a subdivision or combination of the outstanding shares of Common Stock for purposes of this </w:t>
      </w:r>
      <w:r>
        <w:rPr>
          <w:rFonts w:ascii="Times New Roman" w:cs="Times New Roman" w:eastAsia="Times New Roman" w:hAnsi="Times New Roman"/>
          <w:sz w:val="22"/>
          <w:szCs w:val="22"/>
          <w:u w:val="single" w:color="auto"/>
          <w:color w:val="auto"/>
        </w:rPr>
        <w:t>Subsection 4.5</w:t>
      </w:r>
      <w:r>
        <w:rPr>
          <w:rFonts w:ascii="Times New Roman" w:cs="Times New Roman" w:eastAsia="Times New Roman" w:hAnsi="Times New Roman"/>
          <w:sz w:val="22"/>
          <w:szCs w:val="22"/>
          <w:color w:val="auto"/>
        </w:rPr>
        <w:t>.</w:t>
      </w:r>
    </w:p>
    <w:p>
      <w:pPr>
        <w:spacing w:after="0" w:line="136" w:lineRule="exact"/>
        <w:rPr>
          <w:sz w:val="20"/>
          <w:szCs w:val="20"/>
          <w:color w:val="auto"/>
        </w:rPr>
      </w:pPr>
    </w:p>
    <w:p>
      <w:pPr>
        <w:ind w:right="100" w:firstLine="1944"/>
        <w:spacing w:after="0" w:line="248"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Adjustment for Certain Dividends and Distributions</w:t>
      </w:r>
      <w:r>
        <w:rPr>
          <w:rFonts w:ascii="Times New Roman" w:cs="Times New Roman" w:eastAsia="Times New Roman" w:hAnsi="Times New Roman"/>
          <w:sz w:val="22"/>
          <w:szCs w:val="22"/>
          <w:color w:val="auto"/>
        </w:rPr>
        <w:t>. In the event the Corporation at any time or from time to time after the Series D-1 Original Issue Date shall make or issue, or fix a record date for the determination of holders of Common Stock entitled to receive, a dividend or other distribution payable on the Common Stock in additional shares of Common Stock, then and in each such event the Series A Conversion Price, Series B Conversion Price, Series C Conversion Price, Series D Conversion Price and Series D-1 Conversion Price in effect immediately before such event shall be decreased as of the time of such issuance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19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2"/>
          <w:szCs w:val="22"/>
          <w:color w:val="auto"/>
        </w:rPr>
        <w:t>event such a record date shall have been fixed, as of the close of business on such record date, by multiplying the Series A Conversion Price, Series B Conversion Price, Series C Conversion Price, Series D Conversion Price and Series D-1 Conversion Price then in effect by a fraction:</w:t>
      </w:r>
    </w:p>
    <w:p>
      <w:pPr>
        <w:spacing w:after="0" w:line="119" w:lineRule="exact"/>
        <w:rPr>
          <w:sz w:val="20"/>
          <w:szCs w:val="20"/>
          <w:color w:val="auto"/>
        </w:rPr>
      </w:pPr>
    </w:p>
    <w:p>
      <w:pPr>
        <w:ind w:right="280" w:firstLine="2600"/>
        <w:spacing w:after="0" w:line="271" w:lineRule="auto"/>
        <w:tabs>
          <w:tab w:leader="none" w:pos="3235"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numerator of which shall be the total number of shares of Common Stock issued and outstanding immediately prior to the time of such issuance or the close of business on such record date, and</w:t>
      </w:r>
    </w:p>
    <w:p>
      <w:pPr>
        <w:spacing w:after="0" w:line="103" w:lineRule="exact"/>
        <w:rPr>
          <w:rFonts w:ascii="Times New Roman" w:cs="Times New Roman" w:eastAsia="Times New Roman" w:hAnsi="Times New Roman"/>
          <w:sz w:val="22"/>
          <w:szCs w:val="22"/>
          <w:color w:val="auto"/>
        </w:rPr>
      </w:pPr>
    </w:p>
    <w:p>
      <w:pPr>
        <w:jc w:val="both"/>
        <w:ind w:firstLine="2600"/>
        <w:spacing w:after="0" w:line="257" w:lineRule="auto"/>
        <w:tabs>
          <w:tab w:leader="none" w:pos="3235"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1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Notwithstanding the foregoing (a) if such record date shall have been fixed and such dividend is not fully paid or if such distribution is not fully made on the date fixed therefor, the Series A Conversion Price, the Series B Conversion Price, the Series C Conversion Price, the Series D Conversion Price and the Series D-1 Conversion Price shall be recomputed accordingly as of the close of business on such record date and thereafter the Series A Conversion Price, the Series B Conversion Price, the Series C Conversion Price, the Series D Conversion Price and the Series D-1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Class A Common Stock as they would have received if all outstanding shares of Preferred Stock had been converted into Class A Common Stock on the date of such event.</w:t>
      </w:r>
    </w:p>
    <w:p>
      <w:pPr>
        <w:spacing w:after="0" w:line="137" w:lineRule="exact"/>
        <w:rPr>
          <w:sz w:val="20"/>
          <w:szCs w:val="20"/>
          <w:color w:val="auto"/>
        </w:rPr>
      </w:pPr>
    </w:p>
    <w:p>
      <w:pPr>
        <w:ind w:right="20" w:firstLine="1944"/>
        <w:spacing w:after="0" w:line="260" w:lineRule="auto"/>
        <w:rPr>
          <w:sz w:val="20"/>
          <w:szCs w:val="20"/>
          <w:color w:val="auto"/>
        </w:rPr>
      </w:pPr>
      <w:r>
        <w:rPr>
          <w:rFonts w:ascii="Times New Roman" w:cs="Times New Roman" w:eastAsia="Times New Roman" w:hAnsi="Times New Roman"/>
          <w:sz w:val="21"/>
          <w:szCs w:val="21"/>
          <w:color w:val="auto"/>
        </w:rPr>
        <w:t xml:space="preserve">4.7 </w:t>
      </w:r>
      <w:r>
        <w:rPr>
          <w:rFonts w:ascii="Times New Roman" w:cs="Times New Roman" w:eastAsia="Times New Roman" w:hAnsi="Times New Roman"/>
          <w:sz w:val="21"/>
          <w:szCs w:val="21"/>
          <w:u w:val="single" w:color="auto"/>
          <w:color w:val="auto"/>
        </w:rPr>
        <w:t>Adjustments for Other Dividends and Distributions</w:t>
      </w:r>
      <w:r>
        <w:rPr>
          <w:rFonts w:ascii="Times New Roman" w:cs="Times New Roman" w:eastAsia="Times New Roman" w:hAnsi="Times New Roman"/>
          <w:sz w:val="21"/>
          <w:szCs w:val="21"/>
          <w:color w:val="auto"/>
        </w:rPr>
        <w:t xml:space="preserve">. In the event the Corporation at any time or from time to time after the Series D-1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Class A Common Stock on the date of such event.</w:t>
      </w:r>
    </w:p>
    <w:p>
      <w:pPr>
        <w:spacing w:after="0" w:line="121" w:lineRule="exact"/>
        <w:rPr>
          <w:sz w:val="20"/>
          <w:szCs w:val="20"/>
          <w:color w:val="auto"/>
        </w:rPr>
      </w:pPr>
    </w:p>
    <w:p>
      <w:pPr>
        <w:ind w:right="60" w:firstLine="1944"/>
        <w:spacing w:after="0" w:line="248"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Adjustment for Merger or Reorganization, etc</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Subsection 2.3</w:t>
      </w:r>
      <w:r>
        <w:rPr>
          <w:rFonts w:ascii="Times New Roman" w:cs="Times New Roman" w:eastAsia="Times New Roman" w:hAnsi="Times New Roman"/>
          <w:sz w:val="22"/>
          <w:szCs w:val="22"/>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 w:cs="Times New Roman" w:eastAsia="Times New Roman" w:hAnsi="Times New Roman"/>
          <w:sz w:val="22"/>
          <w:szCs w:val="22"/>
          <w:u w:val="single" w:color="auto"/>
          <w:color w:val="auto"/>
        </w:rPr>
        <w:t>Subsections 4.4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4.7</w:t>
      </w:r>
      <w:r>
        <w:rPr>
          <w:rFonts w:ascii="Times New Roman" w:cs="Times New Roman" w:eastAsia="Times New Roman" w:hAnsi="Times New Roman"/>
          <w:sz w:val="22"/>
          <w:szCs w:val="22"/>
          <w:color w:val="auto"/>
        </w:rPr>
        <w:t>), then, following any such reorganization, recapitalization, reclassification, consolidation or merger, each share of Preferred Stock shall thereafter be convertible in lieu of the Class A Common Stock into which it was convertible prior to such event into the kind and amount of securities, cash or other property which a holder of the number of shares of Class A Common Stock of the Corporation issuable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160"/>
          </w:cols>
          <w:pgMar w:left="320" w:top="1440" w:right="419" w:bottom="1440" w:gutter="0" w:footer="0" w:header="0"/>
        </w:sectPr>
      </w:pPr>
    </w:p>
    <w:bookmarkStart w:id="314" w:name="page315"/>
    <w:bookmarkEnd w:id="314"/>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color w:val="auto"/>
        </w:rPr>
        <w:t xml:space="preserve">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with respect to the rights and interests thereafter of the holders of the Preferred Stock, to the end that the provisions set forth in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(including provisions with respect to changes in and other adjustments of the Series A Conversion Price, the Series B Conversion Price, the Series C Conversion Price, the Series D Conversion Price or the Series D-1 Conversion Price, as applicable) shall thereafter be applicable, as nearly as reasonably may be, in relation to any securities or other property thereafter deliverable upon the conversion of the Preferred Stock. For the avoidance of doubt, nothing in this </w:t>
      </w:r>
      <w:r>
        <w:rPr>
          <w:rFonts w:ascii="Times New Roman" w:cs="Times New Roman" w:eastAsia="Times New Roman" w:hAnsi="Times New Roman"/>
          <w:sz w:val="21"/>
          <w:szCs w:val="21"/>
          <w:u w:val="single" w:color="auto"/>
          <w:color w:val="auto"/>
        </w:rPr>
        <w:t>Subsection 4.8</w:t>
      </w:r>
      <w:r>
        <w:rPr>
          <w:rFonts w:ascii="Times New Roman" w:cs="Times New Roman" w:eastAsia="Times New Roman" w:hAnsi="Times New Roman"/>
          <w:sz w:val="21"/>
          <w:szCs w:val="21"/>
          <w:color w:val="auto"/>
        </w:rPr>
        <w:t xml:space="preserve"> shall be construed as preventing the holders of Preferred Stock from seeking any appraisal rights to which they are otherwise entitled under the DGCL in connection with a merger triggering an adjustment hereunder, nor shall this </w:t>
      </w:r>
      <w:r>
        <w:rPr>
          <w:rFonts w:ascii="Times New Roman" w:cs="Times New Roman" w:eastAsia="Times New Roman" w:hAnsi="Times New Roman"/>
          <w:sz w:val="21"/>
          <w:szCs w:val="21"/>
          <w:u w:val="single" w:color="auto"/>
          <w:color w:val="auto"/>
        </w:rPr>
        <w:t>Subsection 4.8</w:t>
      </w:r>
      <w:r>
        <w:rPr>
          <w:rFonts w:ascii="Times New Roman" w:cs="Times New Roman" w:eastAsia="Times New Roman" w:hAnsi="Times New Roman"/>
          <w:sz w:val="21"/>
          <w:szCs w:val="21"/>
          <w:color w:val="auto"/>
        </w:rPr>
        <w:t xml:space="preserve"> be deemed conclusive evidence of the fair value of the shares of Preferred Stock in any such appraisal proceeding.</w:t>
      </w:r>
    </w:p>
    <w:p>
      <w:pPr>
        <w:spacing w:after="0" w:line="128" w:lineRule="exact"/>
        <w:rPr>
          <w:sz w:val="20"/>
          <w:szCs w:val="20"/>
          <w:color w:val="auto"/>
        </w:rPr>
      </w:pPr>
    </w:p>
    <w:p>
      <w:pPr>
        <w:ind w:right="60" w:firstLine="1944"/>
        <w:spacing w:after="0" w:line="245" w:lineRule="auto"/>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u w:val="single" w:color="auto"/>
          <w:color w:val="auto"/>
        </w:rPr>
        <w:t>Certificate as to Adjustments</w:t>
      </w:r>
      <w:r>
        <w:rPr>
          <w:rFonts w:ascii="Times New Roman" w:cs="Times New Roman" w:eastAsia="Times New Roman" w:hAnsi="Times New Roman"/>
          <w:sz w:val="22"/>
          <w:szCs w:val="22"/>
          <w:color w:val="auto"/>
        </w:rPr>
        <w:t xml:space="preserve">. Upon the occurrence of each adjustment or readjustment of the Series A Conversion Price, Series B Conversion Price, Series C Conversion Price, Series D Conversion Price or Series D-1 Conversion Price pursuant to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Corporation at its expense shall, as promptly as reasonably practicable but in any event not later than ten (10)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Series A Conversion Price, Series B Conversion Price, Series C Conversion Price, Series D Conversion Price and Series D-1 Conversion Price then in effect, and (ii) the number of shares of Class A Common Stock and the amount, if any, of other securities, cash or property which then would be received upon the conversion of Preferred Stock.</w:t>
      </w:r>
    </w:p>
    <w:p>
      <w:pPr>
        <w:spacing w:after="0" w:line="141"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4.10</w:t>
      </w:r>
      <w:r>
        <w:rPr>
          <w:sz w:val="20"/>
          <w:szCs w:val="20"/>
          <w:color w:val="auto"/>
        </w:rPr>
        <w:tab/>
      </w:r>
      <w:r>
        <w:rPr>
          <w:rFonts w:ascii="Times New Roman" w:cs="Times New Roman" w:eastAsia="Times New Roman" w:hAnsi="Times New Roman"/>
          <w:sz w:val="21"/>
          <w:szCs w:val="21"/>
          <w:u w:val="single" w:color="auto"/>
          <w:color w:val="auto"/>
        </w:rPr>
        <w:t>Notice of Record Date</w:t>
      </w:r>
      <w:r>
        <w:rPr>
          <w:rFonts w:ascii="Times New Roman" w:cs="Times New Roman" w:eastAsia="Times New Roman" w:hAnsi="Times New Roman"/>
          <w:sz w:val="21"/>
          <w:szCs w:val="21"/>
          <w:color w:val="auto"/>
        </w:rPr>
        <w:t>. In the event:</w:t>
      </w:r>
    </w:p>
    <w:p>
      <w:pPr>
        <w:spacing w:after="0" w:line="166" w:lineRule="exact"/>
        <w:rPr>
          <w:sz w:val="20"/>
          <w:szCs w:val="20"/>
          <w:color w:val="auto"/>
        </w:rPr>
      </w:pPr>
    </w:p>
    <w:p>
      <w:pPr>
        <w:jc w:val="both"/>
        <w:ind w:right="140" w:firstLine="3248"/>
        <w:spacing w:after="0" w:line="252" w:lineRule="auto"/>
        <w:tabs>
          <w:tab w:leader="none" w:pos="3885"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25" w:lineRule="exact"/>
        <w:rPr>
          <w:rFonts w:ascii="Times New Roman" w:cs="Times New Roman" w:eastAsia="Times New Roman" w:hAnsi="Times New Roman"/>
          <w:sz w:val="22"/>
          <w:szCs w:val="22"/>
          <w:color w:val="auto"/>
        </w:rPr>
      </w:pPr>
    </w:p>
    <w:p>
      <w:pPr>
        <w:ind w:right="40" w:firstLine="3248"/>
        <w:spacing w:after="0" w:line="271" w:lineRule="auto"/>
        <w:tabs>
          <w:tab w:leader="none" w:pos="3883"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capital reorganization of the Corporation, any reclassification of the Common Stock of the Corporation, or any Deemed Liquidation Event; or</w:t>
      </w:r>
    </w:p>
    <w:p>
      <w:pPr>
        <w:spacing w:after="0" w:line="103" w:lineRule="exact"/>
        <w:rPr>
          <w:rFonts w:ascii="Times New Roman" w:cs="Times New Roman" w:eastAsia="Times New Roman" w:hAnsi="Times New Roman"/>
          <w:sz w:val="22"/>
          <w:szCs w:val="22"/>
          <w:color w:val="auto"/>
        </w:rPr>
      </w:pPr>
    </w:p>
    <w:p>
      <w:pPr>
        <w:ind w:left="3900" w:hanging="652"/>
        <w:spacing w:after="0"/>
        <w:tabs>
          <w:tab w:leader="none" w:pos="390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voluntary or involuntary dissolution, liquidation or winding-up of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81"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28 -</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19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Class A Common Stock (or such other capital stock or securities at the time issuable upon the conversion of the Preferred Stock) shall be entitled to exchange their shares of Class A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Class A Common Stock. Such notice shall be sent at least ten (10) days prior to the record date or effective date for the event specified in such notice.</w:t>
      </w:r>
    </w:p>
    <w:p>
      <w:pPr>
        <w:spacing w:after="0" w:line="134" w:lineRule="exact"/>
        <w:rPr>
          <w:sz w:val="20"/>
          <w:szCs w:val="20"/>
          <w:color w:val="auto"/>
        </w:rPr>
      </w:pPr>
    </w:p>
    <w:p>
      <w:pPr>
        <w:ind w:left="1960" w:hanging="656"/>
        <w:spacing w:after="0"/>
        <w:tabs>
          <w:tab w:leader="none" w:pos="196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Conversion</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right="140" w:firstLine="1944"/>
        <w:spacing w:after="0" w:line="260"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Trigger Events</w:t>
      </w:r>
      <w:r>
        <w:rPr>
          <w:rFonts w:ascii="Times New Roman" w:cs="Times New Roman" w:eastAsia="Times New Roman" w:hAnsi="Times New Roman"/>
          <w:sz w:val="21"/>
          <w:szCs w:val="21"/>
          <w:color w:val="auto"/>
        </w:rPr>
        <w:t>. Upon either (a) a Qualified Public Offering or (b) the date and time, or the occurrence of an event, specified by vote or written consent of the holders of at least a majority of the then outstanding shares of Preferred Stock voting as a single class on an as-converted basis (the time of such closing or the date and time specified or the time of the event specified in such vote or written consent is referred to herein as the “</w:t>
      </w:r>
      <w:r>
        <w:rPr>
          <w:rFonts w:ascii="Times New Roman" w:cs="Times New Roman" w:eastAsia="Times New Roman" w:hAnsi="Times New Roman"/>
          <w:sz w:val="21"/>
          <w:szCs w:val="21"/>
          <w:b w:val="1"/>
          <w:bCs w:val="1"/>
          <w:color w:val="auto"/>
        </w:rPr>
        <w:t>Mandatory Conversion Time</w:t>
      </w:r>
      <w:r>
        <w:rPr>
          <w:rFonts w:ascii="Times New Roman" w:cs="Times New Roman" w:eastAsia="Times New Roman" w:hAnsi="Times New Roman"/>
          <w:sz w:val="21"/>
          <w:szCs w:val="21"/>
          <w:color w:val="auto"/>
        </w:rPr>
        <w:t>”), then</w:t>
      </w:r>
    </w:p>
    <w:p>
      <w:pPr>
        <w:spacing w:after="0" w:line="4" w:lineRule="exact"/>
        <w:rPr>
          <w:sz w:val="20"/>
          <w:szCs w:val="20"/>
          <w:color w:val="auto"/>
        </w:rPr>
      </w:pPr>
    </w:p>
    <w:p>
      <w:pPr>
        <w:ind w:right="80" w:firstLine="8"/>
        <w:spacing w:after="0" w:line="245" w:lineRule="auto"/>
        <w:tabs>
          <w:tab w:leader="none" w:pos="258"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outstanding shares of Preferred Stock shall automatically be converted into shares of Class A Common Stock, at the then effective conversion rate as calculated pursuant to </w:t>
      </w:r>
      <w:r>
        <w:rPr>
          <w:rFonts w:ascii="Times New Roman" w:cs="Times New Roman" w:eastAsia="Times New Roman" w:hAnsi="Times New Roman"/>
          <w:sz w:val="22"/>
          <w:szCs w:val="22"/>
          <w:u w:val="single" w:color="auto"/>
          <w:color w:val="auto"/>
        </w:rPr>
        <w:t>Subsection 4.1.1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Mandatory Conversion</w:t>
      </w:r>
      <w:r>
        <w:rPr>
          <w:rFonts w:ascii="Times New Roman" w:cs="Times New Roman" w:eastAsia="Times New Roman" w:hAnsi="Times New Roman"/>
          <w:sz w:val="22"/>
          <w:szCs w:val="22"/>
          <w:color w:val="auto"/>
        </w:rPr>
        <w:t>”) and (ii) such shares may not be reissued by the Corporation.</w:t>
      </w:r>
    </w:p>
    <w:p>
      <w:pPr>
        <w:spacing w:after="0" w:line="133" w:lineRule="exact"/>
        <w:rPr>
          <w:sz w:val="20"/>
          <w:szCs w:val="20"/>
          <w:color w:val="auto"/>
        </w:rPr>
      </w:pPr>
    </w:p>
    <w:p>
      <w:pPr>
        <w:ind w:firstLine="1944"/>
        <w:spacing w:after="0" w:line="245"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Procedural Requirements</w:t>
      </w:r>
      <w:r>
        <w:rPr>
          <w:rFonts w:ascii="Times New Roman" w:cs="Times New Roman" w:eastAsia="Times New Roman" w:hAnsi="Times New Roman"/>
          <w:sz w:val="22"/>
          <w:szCs w:val="22"/>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cs="Times New Roman" w:eastAsia="Times New Roman" w:hAnsi="Times New Roman"/>
          <w:sz w:val="22"/>
          <w:szCs w:val="22"/>
          <w:u w:val="single" w:color="auto"/>
          <w:color w:val="auto"/>
        </w:rPr>
        <w:t>Subsection 5.1</w:t>
      </w:r>
      <w:r>
        <w:rPr>
          <w:rFonts w:ascii="Times New Roman" w:cs="Times New Roman" w:eastAsia="Times New Roman" w:hAnsi="Times New Roman"/>
          <w:sz w:val="22"/>
          <w:szCs w:val="22"/>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22"/>
          <w:szCs w:val="22"/>
          <w:u w:val="single" w:color="auto"/>
          <w:color w:val="auto"/>
        </w:rPr>
        <w:t>Subsection 5.2</w:t>
      </w:r>
      <w:r>
        <w:rPr>
          <w:rFonts w:ascii="Times New Roman" w:cs="Times New Roman" w:eastAsia="Times New Roman" w:hAnsi="Times New Roman"/>
          <w:sz w:val="22"/>
          <w:szCs w:val="22"/>
          <w:color w:val="auto"/>
        </w:rPr>
        <w:t>. As soon as practicable after the Mandatory Conversion Time and, if applicable, the surrender of any certificate or certificates (or lost certificate affidavit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19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 xml:space="preserve">agreement) for Preferred Stock, the Corporation shall (a) issue and deliver to such holder, or to his, her or its nominees, a certificate or certificates for the number of full shares of Class A Common Stock issuable on such conversion in accordance with the provisions hereof and (b) pay cash as provided in </w:t>
      </w:r>
      <w:r>
        <w:rPr>
          <w:rFonts w:ascii="Times New Roman" w:cs="Times New Roman" w:eastAsia="Times New Roman" w:hAnsi="Times New Roman"/>
          <w:sz w:val="22"/>
          <w:szCs w:val="22"/>
          <w:u w:val="single" w:color="auto"/>
          <w:color w:val="auto"/>
        </w:rPr>
        <w:t>Subsection 4.2</w:t>
      </w:r>
      <w:r>
        <w:rPr>
          <w:rFonts w:ascii="Times New Roman" w:cs="Times New Roman" w:eastAsia="Times New Roman" w:hAnsi="Times New Roman"/>
          <w:sz w:val="22"/>
          <w:szCs w:val="22"/>
          <w:color w:val="auto"/>
        </w:rPr>
        <w:t xml:space="preserve"> in lieu of any fraction of a share of Class A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28" w:lineRule="exact"/>
        <w:rPr>
          <w:sz w:val="20"/>
          <w:szCs w:val="20"/>
          <w:color w:val="auto"/>
        </w:rPr>
      </w:pPr>
    </w:p>
    <w:p>
      <w:pPr>
        <w:ind w:right="280" w:firstLine="1304"/>
        <w:spacing w:after="0" w:line="275" w:lineRule="auto"/>
        <w:tabs>
          <w:tab w:leader="none" w:pos="1944"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Acquired Shares</w:t>
      </w:r>
      <w:r>
        <w:rPr>
          <w:rFonts w:ascii="Times New Roman" w:cs="Times New Roman" w:eastAsia="Times New Roman" w:hAnsi="Times New Roman"/>
          <w:sz w:val="21"/>
          <w:szCs w:val="21"/>
          <w:color w:val="auto"/>
        </w:rPr>
        <w:t>. Any shares of Preferred Stock that are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w:t>
      </w:r>
    </w:p>
    <w:p>
      <w:pPr>
        <w:spacing w:after="0" w:line="101" w:lineRule="exact"/>
        <w:rPr>
          <w:rFonts w:ascii="Times New Roman" w:cs="Times New Roman" w:eastAsia="Times New Roman" w:hAnsi="Times New Roman"/>
          <w:sz w:val="21"/>
          <w:szCs w:val="21"/>
          <w:color w:val="auto"/>
        </w:rPr>
      </w:pPr>
    </w:p>
    <w:p>
      <w:pPr>
        <w:ind w:right="100" w:firstLine="1304"/>
        <w:spacing w:after="0" w:line="252" w:lineRule="auto"/>
        <w:tabs>
          <w:tab w:leader="none" w:pos="1944"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xml:space="preserve">. Except as otherwise provided in this Amended and Restated Certificate of Incorporation (including, without limitation, </w:t>
      </w:r>
      <w:r>
        <w:rPr>
          <w:rFonts w:ascii="Times New Roman" w:cs="Times New Roman" w:eastAsia="Times New Roman" w:hAnsi="Times New Roman"/>
          <w:sz w:val="22"/>
          <w:szCs w:val="22"/>
          <w:u w:val="single" w:color="auto"/>
          <w:color w:val="auto"/>
        </w:rPr>
        <w:t>Sections 3.4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4.4.2</w:t>
      </w:r>
      <w:r>
        <w:rPr>
          <w:rFonts w:ascii="Times New Roman" w:cs="Times New Roman" w:eastAsia="Times New Roman" w:hAnsi="Times New Roman"/>
          <w:sz w:val="22"/>
          <w:szCs w:val="22"/>
          <w:color w:val="auto"/>
        </w:rPr>
        <w:t>), any of the rights, powers, preferences and other terms of the Preferred Stock set forth herein may be waived on behalf of all holders of Preferred Stock by the affirmative written consent or vote of the holders of at least a majority of the shares of Preferred Stock then outstanding.</w:t>
      </w:r>
    </w:p>
    <w:p>
      <w:pPr>
        <w:spacing w:after="0" w:line="125"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21" w:lineRule="exact"/>
        <w:rPr>
          <w:sz w:val="20"/>
          <w:szCs w:val="20"/>
          <w:color w:val="auto"/>
        </w:rPr>
      </w:pPr>
    </w:p>
    <w:p>
      <w:pPr>
        <w:jc w:val="both"/>
        <w:ind w:right="160"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FIFTH: </w:t>
      </w:r>
      <w:r>
        <w:rPr>
          <w:rFonts w:ascii="Times New Roman" w:cs="Times New Roman" w:eastAsia="Times New Roman" w:hAnsi="Times New Roman"/>
          <w:sz w:val="22"/>
          <w:szCs w:val="22"/>
          <w:color w:val="auto"/>
        </w:rPr>
        <w:t>Subject to any additional vote required by the Certificate of Incorporation or Bylaws, in furtherance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in limitation of the powers conferred by statute, the Board of Directors is expressly authorized to make, repeal, alter, amend and rescind any or all of the Bylaws of the Corporation.</w:t>
      </w:r>
    </w:p>
    <w:p>
      <w:pPr>
        <w:spacing w:after="0" w:line="112" w:lineRule="exact"/>
        <w:rPr>
          <w:sz w:val="20"/>
          <w:szCs w:val="20"/>
          <w:color w:val="auto"/>
        </w:rPr>
      </w:pPr>
    </w:p>
    <w:p>
      <w:pPr>
        <w:ind w:right="8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SIXTH: </w:t>
      </w:r>
      <w:r>
        <w:rPr>
          <w:rFonts w:ascii="Times New Roman" w:cs="Times New Roman" w:eastAsia="Times New Roman" w:hAnsi="Times New Roman"/>
          <w:sz w:val="22"/>
          <w:szCs w:val="22"/>
          <w:color w:val="auto"/>
        </w:rPr>
        <w:t>Subject to any additional vote required by the Certificate of Incorporation, the number of directors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shall be determined in the manner set forth in the Bylaws of the Corporation.</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SEVENTH: </w:t>
      </w:r>
      <w:r>
        <w:rPr>
          <w:rFonts w:ascii="Times New Roman" w:cs="Times New Roman" w:eastAsia="Times New Roman" w:hAnsi="Times New Roman"/>
          <w:sz w:val="22"/>
          <w:szCs w:val="22"/>
          <w:color w:val="auto"/>
        </w:rPr>
        <w:t>Elections of directors need not be by written ballot unless the Bylaws of the Corporation shall so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w:t>
      </w:r>
    </w:p>
    <w:p>
      <w:pPr>
        <w:spacing w:after="0" w:line="138" w:lineRule="exact"/>
        <w:rPr>
          <w:sz w:val="20"/>
          <w:szCs w:val="20"/>
          <w:color w:val="auto"/>
        </w:rPr>
      </w:pPr>
    </w:p>
    <w:p>
      <w:pPr>
        <w:ind w:right="20"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EIGHTH: </w:t>
      </w:r>
      <w:r>
        <w:rPr>
          <w:rFonts w:ascii="Times New Roman" w:cs="Times New Roman" w:eastAsia="Times New Roman" w:hAnsi="Times New Roman"/>
          <w:sz w:val="22"/>
          <w:szCs w:val="22"/>
          <w:color w:val="auto"/>
        </w:rPr>
        <w:t>Meetings of stockholders may be held within or without the State of Delaware, as the Bylaws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may provide. The books of the Corporation may be kept outside the State of Delaware at such place or places as may be designated from time to time by the Board of Directors or in the Bylaws of the Corporation.</w:t>
      </w:r>
    </w:p>
    <w:p>
      <w:pPr>
        <w:spacing w:after="0" w:line="112" w:lineRule="exact"/>
        <w:rPr>
          <w:sz w:val="20"/>
          <w:szCs w:val="20"/>
          <w:color w:val="auto"/>
        </w:rPr>
      </w:pPr>
    </w:p>
    <w:p>
      <w:pPr>
        <w:jc w:val="both"/>
        <w:ind w:right="180"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NINTH: </w:t>
      </w:r>
      <w:r>
        <w:rPr>
          <w:rFonts w:ascii="Times New Roman" w:cs="Times New Roman" w:eastAsia="Times New Roman" w:hAnsi="Times New Roman"/>
          <w:sz w:val="22"/>
          <w:szCs w:val="22"/>
          <w:color w:val="auto"/>
        </w:rPr>
        <w:t>To the fullest extent permitted by law, a director of the Corporation shall not be personally liable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or its stockholders for monetary damages for breach of fiduciary duty as a director. If the General Corporation Law or any other law of the State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19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2"/>
          <w:szCs w:val="22"/>
          <w:color w:val="auto"/>
        </w:rPr>
        <w:t>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19" w:lineRule="exact"/>
        <w:rPr>
          <w:sz w:val="20"/>
          <w:szCs w:val="20"/>
          <w:color w:val="auto"/>
        </w:rPr>
      </w:pPr>
    </w:p>
    <w:p>
      <w:pPr>
        <w:jc w:val="both"/>
        <w:ind w:right="100" w:firstLine="648"/>
        <w:spacing w:after="0" w:line="275" w:lineRule="auto"/>
        <w:rPr>
          <w:sz w:val="20"/>
          <w:szCs w:val="20"/>
          <w:color w:val="auto"/>
        </w:rPr>
      </w:pPr>
      <w:r>
        <w:rPr>
          <w:rFonts w:ascii="Times New Roman" w:cs="Times New Roman" w:eastAsia="Times New Roman" w:hAnsi="Times New Roman"/>
          <w:sz w:val="21"/>
          <w:szCs w:val="21"/>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97" w:lineRule="exact"/>
        <w:rPr>
          <w:sz w:val="20"/>
          <w:szCs w:val="20"/>
          <w:color w:val="auto"/>
        </w:rPr>
      </w:pPr>
    </w:p>
    <w:p>
      <w:pPr>
        <w:ind w:right="20" w:firstLine="1296"/>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TENTH: </w:t>
      </w:r>
      <w:r>
        <w:rPr>
          <w:rFonts w:ascii="Times New Roman" w:cs="Times New Roman" w:eastAsia="Times New Roman" w:hAnsi="Times New Roman"/>
          <w:sz w:val="22"/>
          <w:szCs w:val="22"/>
          <w:color w:val="auto"/>
        </w:rPr>
        <w:t>To the fullest extent permitted by applicable law, the Corporation is authorized to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indemnification of (and advancement 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w:t>
      </w:r>
      <w:r>
        <w:rPr>
          <w:rFonts w:ascii="Times New Roman" w:cs="Times New Roman" w:eastAsia="Times New Roman" w:hAnsi="Times New Roman"/>
          <w:sz w:val="22"/>
          <w:szCs w:val="22"/>
          <w:u w:val="single" w:color="auto"/>
          <w:color w:val="auto"/>
        </w:rPr>
        <w:t>Section 145</w:t>
      </w:r>
      <w:r>
        <w:rPr>
          <w:rFonts w:ascii="Times New Roman" w:cs="Times New Roman" w:eastAsia="Times New Roman" w:hAnsi="Times New Roman"/>
          <w:sz w:val="22"/>
          <w:szCs w:val="22"/>
          <w:color w:val="auto"/>
        </w:rPr>
        <w:t xml:space="preserve"> of the General Corporation Law.</w:t>
      </w:r>
    </w:p>
    <w:p>
      <w:pPr>
        <w:spacing w:after="0" w:line="126"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Any amendment, repeal or modification of the foregoing provisions of this Article Tenth shall not adversely affect any right or protection of any director, officer or other agent of the Corporation existing at the time of such amendment, repeal or modification.</w:t>
      </w:r>
    </w:p>
    <w:p>
      <w:pPr>
        <w:spacing w:after="0" w:line="115"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ELEVENTH: </w:t>
      </w:r>
      <w:r>
        <w:rPr>
          <w:rFonts w:ascii="Times New Roman" w:cs="Times New Roman" w:eastAsia="Times New Roman" w:hAnsi="Times New Roman"/>
          <w:sz w:val="21"/>
          <w:szCs w:val="21"/>
          <w:color w:val="auto"/>
        </w:rPr>
        <w:t>The Corporation renounces, to the fullest extent permitted by law, any interest or expectancy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in, or in being offered an opportunity to participate in, any Excluded Opportunity. An “</w:t>
      </w:r>
      <w:r>
        <w:rPr>
          <w:rFonts w:ascii="Times New Roman" w:cs="Times New Roman" w:eastAsia="Times New Roman" w:hAnsi="Times New Roman"/>
          <w:sz w:val="21"/>
          <w:szCs w:val="21"/>
          <w:b w:val="1"/>
          <w:bCs w:val="1"/>
          <w:color w:val="auto"/>
        </w:rPr>
        <w:t>Excluded Opportunity</w:t>
      </w:r>
      <w:r>
        <w:rPr>
          <w:rFonts w:ascii="Times New Roman" w:cs="Times New Roman" w:eastAsia="Times New Roman" w:hAnsi="Times New Roman"/>
          <w:sz w:val="21"/>
          <w:szCs w:val="21"/>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Times New Roman" w:cs="Times New Roman" w:eastAsia="Times New Roman" w:hAnsi="Times New Roman"/>
          <w:sz w:val="21"/>
          <w:szCs w:val="21"/>
          <w:b w:val="1"/>
          <w:bCs w:val="1"/>
          <w:color w:val="auto"/>
        </w:rPr>
        <w:t>Covered Persons</w:t>
      </w:r>
      <w:r>
        <w:rPr>
          <w:rFonts w:ascii="Times New Roman" w:cs="Times New Roman" w:eastAsia="Times New Roman" w:hAnsi="Times New Roman"/>
          <w:sz w:val="21"/>
          <w:szCs w:val="21"/>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13" w:lineRule="exact"/>
        <w:rPr>
          <w:sz w:val="20"/>
          <w:szCs w:val="20"/>
          <w:color w:val="auto"/>
        </w:rPr>
      </w:pPr>
    </w:p>
    <w:p>
      <w:pPr>
        <w:ind w:firstLine="1296"/>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TWELFTH: </w:t>
      </w:r>
      <w:r>
        <w:rPr>
          <w:rFonts w:ascii="Times New Roman" w:cs="Times New Roman" w:eastAsia="Times New Roman" w:hAnsi="Times New Roman"/>
          <w:sz w:val="22"/>
          <w:szCs w:val="22"/>
          <w:color w:val="auto"/>
        </w:rPr>
        <w:t>Unless the Corporation consents in writing to the selection of an alternative forum, the Court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Chancery in the State 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00"/>
          </w:cols>
          <w:pgMar w:left="320" w:top="1440" w:right="379" w:bottom="1440" w:gutter="0" w:footer="0" w:header="0"/>
        </w:sectPr>
      </w:pPr>
    </w:p>
    <w:bookmarkStart w:id="318" w:name="page319"/>
    <w:bookmarkEnd w:id="318"/>
    <w:p>
      <w:pPr>
        <w:spacing w:after="0" w:line="19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21" w:lineRule="exact"/>
        <w:rPr>
          <w:sz w:val="20"/>
          <w:szCs w:val="20"/>
          <w:color w:val="auto"/>
        </w:rPr>
      </w:pPr>
    </w:p>
    <w:p>
      <w:pPr>
        <w:ind w:left="4860"/>
        <w:spacing w:after="0"/>
        <w:tabs>
          <w:tab w:leader="none" w:pos="5560" w:val="left"/>
          <w:tab w:leader="none" w:pos="626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right="240" w:firstLine="1304"/>
        <w:spacing w:after="0" w:line="271" w:lineRule="auto"/>
        <w:tabs>
          <w:tab w:leader="none" w:pos="1944" w:val="left"/>
        </w:tabs>
        <w:numPr>
          <w:ilvl w:val="0"/>
          <w:numId w:val="2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the foregoing amendment and restatement was approved by the holders of the requisite number of shares of this corporation in accordance with Section 228 of the General Corporation Law.</w:t>
      </w:r>
    </w:p>
    <w:p>
      <w:pPr>
        <w:spacing w:after="0" w:line="103" w:lineRule="exact"/>
        <w:rPr>
          <w:rFonts w:ascii="Times New Roman" w:cs="Times New Roman" w:eastAsia="Times New Roman" w:hAnsi="Times New Roman"/>
          <w:sz w:val="22"/>
          <w:szCs w:val="22"/>
          <w:b w:val="1"/>
          <w:bCs w:val="1"/>
          <w:color w:val="auto"/>
        </w:rPr>
      </w:pPr>
    </w:p>
    <w:p>
      <w:pPr>
        <w:ind w:firstLine="1304"/>
        <w:spacing w:after="0" w:line="257" w:lineRule="auto"/>
        <w:tabs>
          <w:tab w:leader="none" w:pos="1944" w:val="left"/>
        </w:tabs>
        <w:numPr>
          <w:ilvl w:val="0"/>
          <w:numId w:val="2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358" w:lineRule="exact"/>
        <w:rPr>
          <w:rFonts w:ascii="Times New Roman" w:cs="Times New Roman" w:eastAsia="Times New Roman" w:hAnsi="Times New Roman"/>
          <w:sz w:val="22"/>
          <w:szCs w:val="22"/>
          <w:b w:val="1"/>
          <w:bCs w:val="1"/>
          <w:color w:val="auto"/>
        </w:rPr>
      </w:pPr>
    </w:p>
    <w:p>
      <w:pPr>
        <w:ind w:left="5520" w:hanging="130"/>
        <w:spacing w:after="0"/>
        <w:tabs>
          <w:tab w:leader="none" w:pos="5520"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32 -</w:t>
      </w:r>
    </w:p>
    <w:p>
      <w:pPr>
        <w:sectPr>
          <w:pgSz w:w="11900" w:h="16838" w:orient="portrait"/>
          <w:cols w:equalWidth="0" w:num="1">
            <w:col w:w="11100"/>
          </w:cols>
          <w:pgMar w:left="320" w:top="1440" w:right="479" w:bottom="1440" w:gutter="0" w:footer="0" w:header="0"/>
        </w:sectPr>
      </w:pPr>
    </w:p>
    <w:bookmarkStart w:id="319" w:name="page320"/>
    <w:bookmarkEnd w:id="319"/>
    <w:p>
      <w:pPr>
        <w:spacing w:after="0" w:line="19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this Amended and Restated Certificate of Incorporation has been executed by a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officer of this corporation on this 11th day of May, 2020.</w:t>
      </w:r>
    </w:p>
    <w:p>
      <w:pPr>
        <w:spacing w:after="0" w:line="1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SEER, INC.</w:t>
      </w:r>
    </w:p>
    <w:p>
      <w:pPr>
        <w:spacing w:after="0" w:line="58" w:lineRule="exact"/>
        <w:rPr>
          <w:sz w:val="20"/>
          <w:szCs w:val="20"/>
          <w:color w:val="auto"/>
        </w:rPr>
      </w:pPr>
    </w:p>
    <w:p>
      <w:pPr>
        <w:ind w:left="5540"/>
        <w:spacing w:after="0"/>
        <w:tabs>
          <w:tab w:leader="none" w:pos="6120" w:val="left"/>
        </w:tabs>
        <w:rPr>
          <w:sz w:val="20"/>
          <w:szCs w:val="20"/>
          <w:color w:val="auto"/>
        </w:rPr>
      </w:pPr>
      <w:r>
        <w:rPr>
          <w:rFonts w:ascii="Times New Roman" w:cs="Times New Roman" w:eastAsia="Times New Roman" w:hAnsi="Times New Roman"/>
          <w:sz w:val="22"/>
          <w:szCs w:val="22"/>
          <w:color w:val="auto"/>
        </w:rPr>
        <w:t>By:</w:t>
        <w:tab/>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27940</wp:posOffset>
            </wp:positionV>
            <wp:extent cx="23660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Omid Farokhzad, Chief Executive Officer</w:t>
      </w:r>
    </w:p>
    <w:p>
      <w:pPr>
        <w:sectPr>
          <w:pgSz w:w="11900" w:h="16838" w:orient="portrait"/>
          <w:cols w:equalWidth="0" w:num="1">
            <w:col w:w="10500"/>
          </w:cols>
          <w:pgMar w:left="320" w:top="1440" w:right="1079" w:bottom="1440" w:gutter="0" w:footer="0" w:header="0"/>
        </w:sectPr>
      </w:pPr>
    </w:p>
    <w:bookmarkStart w:id="320" w:name="page321"/>
    <w:bookmarkEnd w:id="320"/>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 OF AMENDMENT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CERTIFICATE OF INCORPORATION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SEER, INC.</w:t>
      </w:r>
    </w:p>
    <w:p>
      <w:pPr>
        <w:spacing w:after="0" w:line="200" w:lineRule="exact"/>
        <w:rPr>
          <w:sz w:val="20"/>
          <w:szCs w:val="20"/>
          <w:color w:val="auto"/>
        </w:rPr>
      </w:pPr>
    </w:p>
    <w:p>
      <w:pPr>
        <w:spacing w:after="0" w:line="208"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Seer,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 corporation organized and existing under and by virtue of the provisions of the General Corporation Law of the State of Delaware (the “</w:t>
      </w:r>
      <w:r>
        <w:rPr>
          <w:rFonts w:ascii="Times New Roman" w:cs="Times New Roman" w:eastAsia="Times New Roman" w:hAnsi="Times New Roman"/>
          <w:sz w:val="22"/>
          <w:szCs w:val="22"/>
          <w:b w:val="1"/>
          <w:bCs w:val="1"/>
          <w:color w:val="auto"/>
        </w:rPr>
        <w:t>General Corporation Law</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DOES HEREBY CERTIFY:</w:t>
      </w:r>
    </w:p>
    <w:p>
      <w:pPr>
        <w:spacing w:after="0" w:line="224" w:lineRule="exact"/>
        <w:rPr>
          <w:sz w:val="20"/>
          <w:szCs w:val="20"/>
          <w:color w:val="auto"/>
        </w:rPr>
      </w:pPr>
    </w:p>
    <w:p>
      <w:pPr>
        <w:ind w:firstLine="1304"/>
        <w:spacing w:after="0" w:line="271" w:lineRule="auto"/>
        <w:tabs>
          <w:tab w:leader="none" w:pos="1944" w:val="left"/>
        </w:tabs>
        <w:numPr>
          <w:ilvl w:val="0"/>
          <w:numId w:val="2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the name of this Corporation is Seer, Inc., and that this Corporation was originally incorporated pursuant to the General Corporation Law on March 16, 2017 under the name Seer Biosciences, Inc.</w:t>
      </w:r>
    </w:p>
    <w:p>
      <w:pPr>
        <w:spacing w:after="0" w:line="157"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44" w:val="left"/>
        </w:tabs>
        <w:numPr>
          <w:ilvl w:val="0"/>
          <w:numId w:val="2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Certificate of Amendment to the Amended and Restated Certificate of Incorporation (this “</w:t>
      </w:r>
      <w:r>
        <w:rPr>
          <w:rFonts w:ascii="Times New Roman" w:cs="Times New Roman" w:eastAsia="Times New Roman" w:hAnsi="Times New Roman"/>
          <w:sz w:val="22"/>
          <w:szCs w:val="22"/>
          <w:b w:val="1"/>
          <w:bCs w:val="1"/>
          <w:color w:val="auto"/>
        </w:rPr>
        <w:t>Certificate of Amendment</w:t>
      </w:r>
      <w:r>
        <w:rPr>
          <w:rFonts w:ascii="Times New Roman" w:cs="Times New Roman" w:eastAsia="Times New Roman" w:hAnsi="Times New Roman"/>
          <w:sz w:val="22"/>
          <w:szCs w:val="22"/>
          <w:color w:val="auto"/>
        </w:rPr>
        <w:t>”) has been duly adopted in accordance with Section 242 of the General Corporation Law and amends the provisions of the Corporation’s Amended and Restated Certificate of Incorporation.</w:t>
      </w:r>
    </w:p>
    <w:p>
      <w:pPr>
        <w:spacing w:after="0" w:line="172"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944" w:val="left"/>
        </w:tabs>
        <w:numPr>
          <w:ilvl w:val="0"/>
          <w:numId w:val="2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terms and provisions of this Certificate of Amendment have been duly approved by written consent of the required number of shares of outstanding stock of the Corporation pursuant to Subsection 228(a) of the DGCL.</w:t>
      </w:r>
    </w:p>
    <w:p>
      <w:pPr>
        <w:spacing w:after="0" w:line="157"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944" w:val="left"/>
        </w:tabs>
        <w:numPr>
          <w:ilvl w:val="0"/>
          <w:numId w:val="2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first paragraph of Article FOURTH of the Restated Certificate is hereby amended and restated to read in its entirety as follows: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Reverse Split</w:t>
      </w:r>
      <w:r>
        <w:rPr>
          <w:rFonts w:ascii="Times New Roman" w:cs="Times New Roman" w:eastAsia="Times New Roman" w:hAnsi="Times New Roman"/>
          <w:sz w:val="21"/>
          <w:szCs w:val="21"/>
          <w:color w:val="auto"/>
        </w:rPr>
        <w:t>. Immediately upon the filing of this Certificate of Amendment, each 2.14 outstanding shares of Class A Common Stock, each 2.14 outstanding shares of Class B Common Stock, each 2.14 shares of Series A Preferred Stock, each 2.14 shares of Series B Preferred Stock, each 2.14 shares of Series C Preferred Stock, each 2.14 shares of Series D Preferred Stock and each 2.14 shares of Series D-1 Preferred Stock, will be exchanged and combined, automatically and without further action, into one (1) share of Class A Common Stock, one (1) share of Class B Common Stock, one (1) share of Series A Preferred Stock, one</w:t>
      </w:r>
    </w:p>
    <w:p>
      <w:pPr>
        <w:spacing w:after="0" w:line="4" w:lineRule="exact"/>
        <w:rPr>
          <w:sz w:val="20"/>
          <w:szCs w:val="20"/>
          <w:color w:val="auto"/>
        </w:rPr>
      </w:pPr>
    </w:p>
    <w:p>
      <w:pPr>
        <w:ind w:left="320" w:hanging="312"/>
        <w:spacing w:after="0"/>
        <w:tabs>
          <w:tab w:leader="none" w:pos="320"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 of Series B Preferred Stock, one (1) share of Series C Preferred Stock, one (1) share of Series D Preferred Stock and one</w:t>
      </w:r>
    </w:p>
    <w:p>
      <w:pPr>
        <w:spacing w:after="0" w:line="15" w:lineRule="exact"/>
        <w:rPr>
          <w:rFonts w:ascii="Times New Roman" w:cs="Times New Roman" w:eastAsia="Times New Roman" w:hAnsi="Times New Roman"/>
          <w:sz w:val="21"/>
          <w:szCs w:val="21"/>
          <w:color w:val="auto"/>
        </w:rPr>
      </w:pPr>
    </w:p>
    <w:p>
      <w:pPr>
        <w:jc w:val="both"/>
        <w:ind w:firstLine="8"/>
        <w:spacing w:after="0" w:line="259" w:lineRule="auto"/>
        <w:tabs>
          <w:tab w:leader="none" w:pos="306"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 of Series D-1 Preferred Stock, respectively (the “</w:t>
      </w:r>
      <w:r>
        <w:rPr>
          <w:rFonts w:ascii="Times New Roman" w:cs="Times New Roman" w:eastAsia="Times New Roman" w:hAnsi="Times New Roman"/>
          <w:sz w:val="21"/>
          <w:szCs w:val="21"/>
          <w:b w:val="1"/>
          <w:bCs w:val="1"/>
          <w:color w:val="auto"/>
        </w:rPr>
        <w:t>Reverse Stock Split</w:t>
      </w:r>
      <w:r>
        <w:rPr>
          <w:rFonts w:ascii="Times New Roman" w:cs="Times New Roman" w:eastAsia="Times New Roman" w:hAnsi="Times New Roman"/>
          <w:sz w:val="21"/>
          <w:szCs w:val="21"/>
          <w:color w:val="auto"/>
        </w:rPr>
        <w:t>”). The Reverse Stock Split shall also apply to any outstanding securities or rights convertible into, or exchangeable or exercisable for, Common Stock or Preferred Stock of the Corporation. The Reverse Stock Split shall be effected on a certificate-by-certificate basis and each certificate share number will then be rounded down. In lieu of any fractional shares to which the holder would otherwise be entitled, the Corporation shall pay an amount of cash equal to the product of (i) the fractional share to which the holder would otherwise be entitled and (ii)</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then fair value of a share as determined in good faith by the Board of Directors of the Corporation.</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Immediately following the Reverse Stock Split, the total number of shares of all classes of stock which the Corporation shall have authority to issue is (i) 56,074,766 shares of Class A Common Stock, $0.00001 par value per share (“</w:t>
      </w:r>
      <w:r>
        <w:rPr>
          <w:rFonts w:ascii="Times New Roman" w:cs="Times New Roman" w:eastAsia="Times New Roman" w:hAnsi="Times New Roman"/>
          <w:sz w:val="22"/>
          <w:szCs w:val="22"/>
          <w:b w:val="1"/>
          <w:bCs w:val="1"/>
          <w:color w:val="auto"/>
        </w:rPr>
        <w:t>Class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(ii) 9,345,794 shares of Class B Common Stock, $0.00001 par value per share (“</w:t>
      </w:r>
      <w:r>
        <w:rPr>
          <w:rFonts w:ascii="Times New Roman" w:cs="Times New Roman" w:eastAsia="Times New Roman" w:hAnsi="Times New Roman"/>
          <w:sz w:val="22"/>
          <w:szCs w:val="22"/>
          <w:b w:val="1"/>
          <w:bCs w:val="1"/>
          <w:color w:val="auto"/>
        </w:rPr>
        <w:t>Class B Common Stock</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together with the Class A Common Stock,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and (iii) 29,026,827 shares of Preferred Stock, $0.00001 par value per share (“</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of which 3,087,477 shall be designated “</w:t>
      </w:r>
      <w:r>
        <w:rPr>
          <w:rFonts w:ascii="Times New Roman" w:cs="Times New Roman" w:eastAsia="Times New Roman" w:hAnsi="Times New Roman"/>
          <w:sz w:val="22"/>
          <w:szCs w:val="22"/>
          <w:b w:val="1"/>
          <w:bCs w:val="1"/>
          <w:color w:val="auto"/>
        </w:rPr>
        <w:t>Series A Preferred Stock</w:t>
      </w:r>
      <w:r>
        <w:rPr>
          <w:rFonts w:ascii="Times New Roman" w:cs="Times New Roman" w:eastAsia="Times New Roman" w:hAnsi="Times New Roman"/>
          <w:sz w:val="22"/>
          <w:szCs w:val="22"/>
          <w:color w:val="auto"/>
        </w:rPr>
        <w:t>,” 7,906,761 shall be designated “</w:t>
      </w:r>
      <w:r>
        <w:rPr>
          <w:rFonts w:ascii="Times New Roman" w:cs="Times New Roman" w:eastAsia="Times New Roman" w:hAnsi="Times New Roman"/>
          <w:sz w:val="22"/>
          <w:szCs w:val="22"/>
          <w:b w:val="1"/>
          <w:bCs w:val="1"/>
          <w:color w:val="auto"/>
        </w:rPr>
        <w:t>Series B Preferred Stock</w:t>
      </w:r>
      <w:r>
        <w:rPr>
          <w:rFonts w:ascii="Times New Roman" w:cs="Times New Roman" w:eastAsia="Times New Roman" w:hAnsi="Times New Roman"/>
          <w:sz w:val="22"/>
          <w:szCs w:val="22"/>
          <w:color w:val="auto"/>
        </w:rPr>
        <w:t>,” 3,271,028 shall be designated “</w:t>
      </w:r>
      <w:r>
        <w:rPr>
          <w:rFonts w:ascii="Times New Roman" w:cs="Times New Roman" w:eastAsia="Times New Roman" w:hAnsi="Times New Roman"/>
          <w:sz w:val="22"/>
          <w:szCs w:val="22"/>
          <w:b w:val="1"/>
          <w:bCs w:val="1"/>
          <w:color w:val="auto"/>
        </w:rPr>
        <w:t>Series C Preferred Stock</w:t>
      </w:r>
      <w:r>
        <w:rPr>
          <w:rFonts w:ascii="Times New Roman" w:cs="Times New Roman" w:eastAsia="Times New Roman" w:hAnsi="Times New Roman"/>
          <w:sz w:val="22"/>
          <w:szCs w:val="22"/>
          <w:color w:val="auto"/>
        </w:rPr>
        <w:t>,” 7,907,979 shall be designated “</w:t>
      </w:r>
      <w:r>
        <w:rPr>
          <w:rFonts w:ascii="Times New Roman" w:cs="Times New Roman" w:eastAsia="Times New Roman" w:hAnsi="Times New Roman"/>
          <w:sz w:val="22"/>
          <w:szCs w:val="22"/>
          <w:b w:val="1"/>
          <w:bCs w:val="1"/>
          <w:color w:val="auto"/>
        </w:rPr>
        <w:t>Series D Preferred Stock</w:t>
      </w:r>
      <w:r>
        <w:rPr>
          <w:rFonts w:ascii="Times New Roman" w:cs="Times New Roman" w:eastAsia="Times New Roman" w:hAnsi="Times New Roman"/>
          <w:sz w:val="22"/>
          <w:szCs w:val="22"/>
          <w:color w:val="auto"/>
        </w:rPr>
        <w:t>” and 6,853,582 shall be designated “</w:t>
      </w:r>
      <w:r>
        <w:rPr>
          <w:rFonts w:ascii="Times New Roman" w:cs="Times New Roman" w:eastAsia="Times New Roman" w:hAnsi="Times New Roman"/>
          <w:sz w:val="22"/>
          <w:szCs w:val="22"/>
          <w:b w:val="1"/>
          <w:bCs w:val="1"/>
          <w:color w:val="auto"/>
        </w:rPr>
        <w:t>Series D-1 Preferred Stock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9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Seer, Inc. has caused this Certificate of Amendment to be signed by its Chief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on this 25th day of November, 2020.</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SEER, INC.</w:t>
      </w:r>
    </w:p>
    <w:p>
      <w:pPr>
        <w:spacing w:after="0" w:line="58" w:lineRule="exact"/>
        <w:rPr>
          <w:sz w:val="20"/>
          <w:szCs w:val="20"/>
          <w:color w:val="auto"/>
        </w:rPr>
      </w:pPr>
    </w:p>
    <w:p>
      <w:pPr>
        <w:ind w:left="5540"/>
        <w:spacing w:after="0"/>
        <w:tabs>
          <w:tab w:leader="none" w:pos="6120" w:val="left"/>
        </w:tabs>
        <w:rPr>
          <w:sz w:val="20"/>
          <w:szCs w:val="20"/>
          <w:color w:val="auto"/>
        </w:rPr>
      </w:pPr>
      <w:r>
        <w:rPr>
          <w:rFonts w:ascii="Times New Roman" w:cs="Times New Roman" w:eastAsia="Times New Roman" w:hAnsi="Times New Roman"/>
          <w:sz w:val="22"/>
          <w:szCs w:val="22"/>
          <w:color w:val="auto"/>
        </w:rPr>
        <w:t>By:</w:t>
        <w:tab/>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27940</wp:posOffset>
            </wp:positionV>
            <wp:extent cx="23660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Omid Farokhzad, Chief Executive Officer</w:t>
      </w:r>
    </w:p>
    <w:p>
      <w:pPr>
        <w:sectPr>
          <w:pgSz w:w="11900" w:h="16838" w:orient="portrait"/>
          <w:cols w:equalWidth="0" w:num="1">
            <w:col w:w="11240"/>
          </w:cols>
          <w:pgMar w:left="320" w:top="1440" w:right="33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INCORPORATION OF</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17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Seer, Inc., a corporation organized and existing under the laws of the State of Delaware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does hereby certify as follows:</w:t>
      </w:r>
    </w:p>
    <w:p>
      <w:pPr>
        <w:spacing w:after="0" w:line="104" w:lineRule="exact"/>
        <w:rPr>
          <w:sz w:val="20"/>
          <w:szCs w:val="20"/>
          <w:color w:val="auto"/>
        </w:rPr>
      </w:pPr>
    </w:p>
    <w:p>
      <w:pPr>
        <w:ind w:right="20" w:firstLine="980"/>
        <w:spacing w:after="0" w:line="271" w:lineRule="auto"/>
        <w:tabs>
          <w:tab w:leader="none" w:pos="129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Seer, Inc. The Corporation was originally incorporated pursuant to the General Corporation Law of the State of Delaware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on March 16, 2017 under the name Seer Biosciences, Inc.</w:t>
      </w:r>
    </w:p>
    <w:p>
      <w:pPr>
        <w:spacing w:after="0" w:line="103" w:lineRule="exact"/>
        <w:rPr>
          <w:rFonts w:ascii="Times New Roman" w:cs="Times New Roman" w:eastAsia="Times New Roman" w:hAnsi="Times New Roman"/>
          <w:sz w:val="22"/>
          <w:szCs w:val="22"/>
          <w:color w:val="auto"/>
        </w:rPr>
      </w:pPr>
    </w:p>
    <w:p>
      <w:pPr>
        <w:jc w:val="both"/>
        <w:ind w:firstLine="980"/>
        <w:spacing w:after="0" w:line="252" w:lineRule="auto"/>
        <w:tabs>
          <w:tab w:leader="none" w:pos="1292"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Amended and Restated Certificate of Incorporation (this “</w:t>
      </w:r>
      <w:r>
        <w:rPr>
          <w:rFonts w:ascii="Times New Roman" w:cs="Times New Roman" w:eastAsia="Times New Roman" w:hAnsi="Times New Roman"/>
          <w:sz w:val="22"/>
          <w:szCs w:val="22"/>
          <w:u w:val="single" w:color="auto"/>
          <w:color w:val="auto"/>
        </w:rPr>
        <w:t>Amended and Restated Certificate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Incorporation</w:t>
      </w:r>
      <w:r>
        <w:rPr>
          <w:rFonts w:ascii="Times New Roman" w:cs="Times New Roman" w:eastAsia="Times New Roman" w:hAnsi="Times New Roman"/>
          <w:sz w:val="22"/>
          <w:szCs w:val="22"/>
          <w:color w:val="auto"/>
        </w:rPr>
        <w:t>”) was duly adopted by the Board of Directors of the Corporation (the “</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in accordance with Sections 242 and 245 of the DGCL, and has been duly approved by the written consent of the stockholders of the Corporation in accordance with Section 228 of the DGCL.</w:t>
      </w:r>
    </w:p>
    <w:p>
      <w:pPr>
        <w:spacing w:after="0" w:line="125" w:lineRule="exact"/>
        <w:rPr>
          <w:rFonts w:ascii="Times New Roman" w:cs="Times New Roman" w:eastAsia="Times New Roman" w:hAnsi="Times New Roman"/>
          <w:sz w:val="22"/>
          <w:szCs w:val="22"/>
          <w:color w:val="auto"/>
        </w:rPr>
      </w:pPr>
    </w:p>
    <w:p>
      <w:pPr>
        <w:ind w:firstLine="980"/>
        <w:spacing w:after="0" w:line="271" w:lineRule="auto"/>
        <w:tabs>
          <w:tab w:leader="none" w:pos="1292"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text of the Amended and Restated Certificate of Incorporation is hereby amended and restated in its entirety to read as follows: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name of the Corporation is Seer,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7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address of the Corporation’s registered office in the State of Delaware is 1209 Orange Street, City of Wilmington, County of New Castle, Delaware 19801. The name of its registered agent at such address is The Corporation Trust Company.</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7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nature of the business or purposes to be conducted or promoted by the Corporation is to engage in any lawful act or activity for which corporations may be organized under the DGCL.</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7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total number of shares of all classes of stock that the Corporation is authorized to issue is 105,000,000 shares of stock, consisting of (i) 5,000,000 shares of Preferred Stock, par value $0.00001 per share (“</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(ii) 94,000,000 shares of Class A Common Stock, par value $0.00001 per share (the “</w:t>
      </w:r>
      <w:r>
        <w:rPr>
          <w:rFonts w:ascii="Times New Roman" w:cs="Times New Roman" w:eastAsia="Times New Roman" w:hAnsi="Times New Roman"/>
          <w:sz w:val="22"/>
          <w:szCs w:val="22"/>
          <w:u w:val="single" w:color="auto"/>
          <w:color w:val="auto"/>
        </w:rPr>
        <w:t>Class A Common Stock</w:t>
      </w:r>
      <w:r>
        <w:rPr>
          <w:rFonts w:ascii="Times New Roman" w:cs="Times New Roman" w:eastAsia="Times New Roman" w:hAnsi="Times New Roman"/>
          <w:sz w:val="22"/>
          <w:szCs w:val="22"/>
          <w:color w:val="auto"/>
        </w:rPr>
        <w:t>”), and (iii) 6,000,000 shares of Class B Common Stock, par value $0.00001 per share (the “</w:t>
      </w:r>
      <w:r>
        <w:rPr>
          <w:rFonts w:ascii="Times New Roman" w:cs="Times New Roman" w:eastAsia="Times New Roman" w:hAnsi="Times New Roman"/>
          <w:sz w:val="22"/>
          <w:szCs w:val="22"/>
          <w:u w:val="single" w:color="auto"/>
          <w:color w:val="auto"/>
        </w:rPr>
        <w:t>Class B Common Stock</w:t>
      </w:r>
      <w:r>
        <w:rPr>
          <w:rFonts w:ascii="Times New Roman" w:cs="Times New Roman" w:eastAsia="Times New Roman" w:hAnsi="Times New Roman"/>
          <w:sz w:val="22"/>
          <w:szCs w:val="22"/>
          <w:color w:val="auto"/>
        </w:rPr>
        <w:t>” and, together with the Class A Common Stock,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17" w:right="339" w:bottom="1440" w:gutter="0" w:footer="0" w:header="0"/>
        </w:sectPr>
      </w:pPr>
    </w:p>
    <w:bookmarkStart w:id="324" w:name="page325"/>
    <w:bookmarkEnd w:id="324"/>
    <w:p>
      <w:pPr>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is a statement of the designations and the powers, privileges and rights, and the qualifications, limitations or restrictions thereof in respect of each class of capital stock of the Corporation.</w:t>
      </w:r>
    </w:p>
    <w:p>
      <w:pPr>
        <w:spacing w:after="0" w:line="104" w:lineRule="exact"/>
        <w:rPr>
          <w:sz w:val="20"/>
          <w:szCs w:val="20"/>
          <w:color w:val="auto"/>
        </w:rPr>
      </w:pPr>
    </w:p>
    <w:p>
      <w:pPr>
        <w:ind w:left="1300" w:hanging="644"/>
        <w:spacing w:after="0"/>
        <w:tabs>
          <w:tab w:leader="none" w:pos="130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w:t>
      </w:r>
    </w:p>
    <w:p>
      <w:pPr>
        <w:spacing w:after="0" w:line="165"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Equal Status</w:t>
      </w:r>
      <w:r>
        <w:rPr>
          <w:rFonts w:ascii="Times New Roman" w:cs="Times New Roman" w:eastAsia="Times New Roman" w:hAnsi="Times New Roman"/>
          <w:sz w:val="22"/>
          <w:szCs w:val="22"/>
          <w:color w:val="auto"/>
        </w:rPr>
        <w:t>. Except as otherwise provided in this Amended and Restated Certificate of Incorporation or required by applicable law, shares of Class A Common Stock and Class B Common Stock shall have the same rights and powers, rank equally (including, without limitation, as to any dividends and distributions, and upon any liquidation, dissolution or winding up of the Corporation), share ratably and be identical in all respects and as to all matters, including:</w:t>
      </w:r>
    </w:p>
    <w:p>
      <w:pPr>
        <w:spacing w:after="0" w:line="125" w:lineRule="exact"/>
        <w:rPr>
          <w:sz w:val="20"/>
          <w:szCs w:val="20"/>
          <w:color w:val="auto"/>
        </w:rPr>
      </w:pPr>
    </w:p>
    <w:p>
      <w:pPr>
        <w:jc w:val="both"/>
        <w:ind w:firstLine="1944"/>
        <w:spacing w:after="0" w:line="248" w:lineRule="auto"/>
        <w:rPr>
          <w:sz w:val="20"/>
          <w:szCs w:val="20"/>
          <w:color w:val="auto"/>
        </w:rPr>
      </w:pPr>
      <w:r>
        <w:rPr>
          <w:rFonts w:ascii="Times New Roman" w:cs="Times New Roman" w:eastAsia="Times New Roman" w:hAnsi="Times New Roman"/>
          <w:sz w:val="22"/>
          <w:szCs w:val="22"/>
          <w:color w:val="auto"/>
        </w:rPr>
        <w:t>1.1 Subject to the prior rights of holders of all classes and series of stock at the time outstanding having prior rights as to dividends, the holders of the Common Stock shall be entitled to receive, when, as and if declared by the Board of Directors, out of any assets of the Corporation legally available therefor, such dividends as may be declared from time to time by the Board of Directors. Any dividends paid to the holders of shares of Common Stock shall be paid pro rata, on an equal priority, pari passu basis, unless different treatment of the shares of any such class or series is approved by the affirmative vote of the holders of a majority of the voting power of the outstanding shares of such applicable class or series of Common Stock treated adversely, voting separately as a class.</w:t>
      </w:r>
    </w:p>
    <w:p>
      <w:pPr>
        <w:spacing w:after="0" w:line="128" w:lineRule="exact"/>
        <w:rPr>
          <w:sz w:val="20"/>
          <w:szCs w:val="20"/>
          <w:color w:val="auto"/>
        </w:rPr>
      </w:pPr>
    </w:p>
    <w:p>
      <w:pPr>
        <w:jc w:val="both"/>
        <w:ind w:firstLine="1944"/>
        <w:spacing w:after="0" w:line="245" w:lineRule="auto"/>
        <w:rPr>
          <w:sz w:val="20"/>
          <w:szCs w:val="20"/>
          <w:color w:val="auto"/>
        </w:rPr>
      </w:pPr>
      <w:r>
        <w:rPr>
          <w:rFonts w:ascii="Times New Roman" w:cs="Times New Roman" w:eastAsia="Times New Roman" w:hAnsi="Times New Roman"/>
          <w:sz w:val="22"/>
          <w:szCs w:val="22"/>
          <w:color w:val="auto"/>
        </w:rPr>
        <w:t xml:space="preserve">1.2 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unless different treatment of the shares of Class A Common Stock or Class B Common Stock, as applicable, is approved by the affirmative vote of the holders of a majority of the outstanding shares of Class A Common Stock and Class B Common Stock, each voting separately as a class;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payable in shares of Class B Common Stock, or rights to acquire shares of Class B Common Stock, is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the Class A Common Stock if, and only if, a dividend payable in shares of Class A Common Stock, or rights to acquire shares of Class A Common Stock, is declared and paid to the holders of Class A Common Stock at the same rate and with the same record date and payment date;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nothing in the foregoing shall prevent the Corporation from declaring and paying dividends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distributions payable in shares of one class of Common Stock or rights to acquire one class of Common Stock to holders of all classes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22" w:right="339" w:bottom="1440" w:gutter="0" w:footer="0" w:header="0"/>
        </w:sectPr>
      </w:pPr>
    </w:p>
    <w:bookmarkStart w:id="325" w:name="page326"/>
    <w:bookmarkEnd w:id="325"/>
    <w:p>
      <w:pPr>
        <w:jc w:val="both"/>
        <w:ind w:firstLine="1944"/>
        <w:spacing w:after="0" w:line="250" w:lineRule="auto"/>
        <w:rPr>
          <w:sz w:val="20"/>
          <w:szCs w:val="20"/>
          <w:color w:val="auto"/>
        </w:rPr>
      </w:pPr>
      <w:r>
        <w:rPr>
          <w:rFonts w:ascii="Times New Roman" w:cs="Times New Roman" w:eastAsia="Times New Roman" w:hAnsi="Times New Roman"/>
          <w:sz w:val="22"/>
          <w:szCs w:val="22"/>
          <w:color w:val="auto"/>
        </w:rPr>
        <w:t>1.3 If the Corporation in any manner subdivides or combines the outstanding shares of Class A Common Stock or Class B Common Stock, then the outstanding shares of all Common Stock will be subdivided or combined in the same proportion and manner, unless different treatment of the shares of Class A Common Stock or Class B Common Stock, as applicable, is approved by the affirmative vote of the holders of a majority of the outstanding shares of Class A Common Stock and Class B Common Stock, each voting separately as a class.</w:t>
      </w:r>
    </w:p>
    <w:p>
      <w:pPr>
        <w:spacing w:after="0" w:line="1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Without limiting the generality of the foregoing, (i) in the event of a merger, consolidation or other business combination requiring the approval of the holders of the Corporation’s capital stock entitled to vote thereon (whether or not the Corporation is the surviving entity), the holders of the Class A Common Stock shall have the right to receive, or the right to elect to receive, the same form of consideration, if any, as the holders of the Class B Common Stock and the holders of the Class A Common Stock shall have the right to receive, or the right to elect to receive, at least the same amount of consideration, if any, on a per share basis as the holders of the Class B Common Stock, and (ii) in the event of (x) any tender or exchange offer to acquire any shares of Common Stock by any third party pursuant to an agreement to which the Corporation is a party or (y) any tender or exchange offer by the Corporation to acquire any shares of Common Stock, pursuant to the terms of the applicable tender or exchange offer, the holders of the Class A Common Stock shall have the right to receive, or the right to elect to receive, the same form of consideration as the holders of the Class B Common Stock and the holders of the Class A Common Stock shall have the right to receive, or the right to elect to receive, at least the same amount of consideration on a per share basis as the holders of the Class B Common Stock.</w:t>
      </w:r>
    </w:p>
    <w:p>
      <w:pPr>
        <w:spacing w:after="0" w:line="141" w:lineRule="exact"/>
        <w:rPr>
          <w:sz w:val="20"/>
          <w:szCs w:val="20"/>
          <w:color w:val="auto"/>
        </w:rPr>
      </w:pPr>
    </w:p>
    <w:p>
      <w:pPr>
        <w:jc w:val="both"/>
        <w:ind w:firstLine="1304"/>
        <w:spacing w:after="0" w:line="246" w:lineRule="auto"/>
        <w:tabs>
          <w:tab w:leader="none" w:pos="1944"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 Except as otherwise expressly provided by this Amended and Restated Certificate of Incorporation or as required by law, the holders of shares of Class A Common Stock and Class B Common Stock shall (a) at all times vote together as a single class on all matters (including the election of directors) submitted to a vote or for the consent (provided such action by written consent is first recommended or approved by the Board of Directors) of the stockholders of the Corporation, (b) be entitled to notice of any stockholders’ meeting in accordance with the Bylaws of the Corporation and (c) be entitled to vote upon such matters and in such manner as may be provided by applicable law. Except as otherwise expressly provided herein or required by applicable law, on any matter that is submitted to a vote of stockholders of the Corporation, each holder of Class A Common Stock shall have the right to one (1) vote per share of Class A Common Stock held of record by such holder as of the applicable record date and each holder of Class B Common Stock shall have the right to ten (10) votes per share of Class B Common Stock held of record by such holder as of the applicable record date.</w:t>
      </w:r>
    </w:p>
    <w:p>
      <w:pPr>
        <w:spacing w:after="0" w:line="13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Except as otherwise required by law,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326" w:name="page327"/>
    <w:bookmarkEnd w:id="326"/>
    <w:p>
      <w:pPr>
        <w:ind w:left="1300" w:hanging="656"/>
        <w:spacing w:after="0"/>
        <w:tabs>
          <w:tab w:leader="none" w:pos="130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As used in this Section 3, the following terms shall have the following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meanings:</w:t>
      </w:r>
    </w:p>
    <w:p>
      <w:pPr>
        <w:spacing w:after="0" w:line="142" w:lineRule="exact"/>
        <w:rPr>
          <w:sz w:val="20"/>
          <w:szCs w:val="20"/>
          <w:color w:val="auto"/>
        </w:rPr>
      </w:pPr>
    </w:p>
    <w:p>
      <w:pPr>
        <w:jc w:val="both"/>
        <w:ind w:left="1940" w:hanging="648"/>
        <w:spacing w:after="0" w:line="248" w:lineRule="auto"/>
        <w:tabs>
          <w:tab w:leader="none" w:pos="1928"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with respect to any stockholder of the Corporation, any person, entity or firm which, directly or indirectly, controls, is controlled by or is under common control with such stockholder, including, without limitation, any entity of which the stockholder is a partner or member, any partner, officer, director, member or employee of such stockholder and any venture capital fund now or hereafter existing of which the stockholder is a partner or member which is controlled by or under common control with one or more general partners of such stockholder or shares the same management company with such stockholder.</w:t>
      </w:r>
    </w:p>
    <w:p>
      <w:pPr>
        <w:spacing w:after="0" w:line="127" w:lineRule="exact"/>
        <w:rPr>
          <w:rFonts w:ascii="Times New Roman" w:cs="Times New Roman" w:eastAsia="Times New Roman" w:hAnsi="Times New Roman"/>
          <w:sz w:val="22"/>
          <w:szCs w:val="22"/>
          <w:color w:val="auto"/>
        </w:rPr>
      </w:pPr>
    </w:p>
    <w:p>
      <w:pPr>
        <w:ind w:left="1940" w:hanging="648"/>
        <w:spacing w:after="0" w:line="271" w:lineRule="auto"/>
        <w:tabs>
          <w:tab w:leader="none" w:pos="1934"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Stockholder</w:t>
      </w:r>
      <w:r>
        <w:rPr>
          <w:rFonts w:ascii="Times New Roman" w:cs="Times New Roman" w:eastAsia="Times New Roman" w:hAnsi="Times New Roman"/>
          <w:sz w:val="22"/>
          <w:szCs w:val="22"/>
          <w:color w:val="auto"/>
        </w:rPr>
        <w:t>” shall mean any stockholder that is issued Class B Common Stock by the Corporation.</w:t>
      </w:r>
    </w:p>
    <w:p>
      <w:pPr>
        <w:spacing w:after="0" w:line="103" w:lineRule="exact"/>
        <w:rPr>
          <w:rFonts w:ascii="Times New Roman" w:cs="Times New Roman" w:eastAsia="Times New Roman" w:hAnsi="Times New Roman"/>
          <w:sz w:val="22"/>
          <w:szCs w:val="22"/>
          <w:color w:val="auto"/>
        </w:rPr>
      </w:pPr>
    </w:p>
    <w:p>
      <w:pPr>
        <w:jc w:val="both"/>
        <w:ind w:left="1940" w:hanging="648"/>
        <w:spacing w:after="0" w:line="252" w:lineRule="auto"/>
        <w:tabs>
          <w:tab w:leader="none" w:pos="194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Entity</w:t>
      </w:r>
      <w:r>
        <w:rPr>
          <w:rFonts w:ascii="Times New Roman" w:cs="Times New Roman" w:eastAsia="Times New Roman" w:hAnsi="Times New Roman"/>
          <w:sz w:val="22"/>
          <w:szCs w:val="22"/>
          <w:color w:val="auto"/>
        </w:rPr>
        <w:t xml:space="preserve">” shall mean, with respect to any Class B Stockholder, any trust, account, plan, corporation, partnership, or limited liability company specified in </w:t>
      </w:r>
      <w:r>
        <w:rPr>
          <w:rFonts w:ascii="Times New Roman" w:cs="Times New Roman" w:eastAsia="Times New Roman" w:hAnsi="Times New Roman"/>
          <w:sz w:val="22"/>
          <w:szCs w:val="22"/>
          <w:u w:val="single" w:color="auto"/>
          <w:color w:val="auto"/>
        </w:rPr>
        <w:t>Subsection 3.3</w:t>
      </w:r>
      <w:r>
        <w:rPr>
          <w:rFonts w:ascii="Times New Roman" w:cs="Times New Roman" w:eastAsia="Times New Roman" w:hAnsi="Times New Roman"/>
          <w:sz w:val="22"/>
          <w:szCs w:val="22"/>
          <w:color w:val="auto"/>
        </w:rPr>
        <w:t xml:space="preserve"> established by or for such Class B Stockholder, so long as such entity meets the requirements set forth in </w:t>
      </w:r>
      <w:r>
        <w:rPr>
          <w:rFonts w:ascii="Times New Roman" w:cs="Times New Roman" w:eastAsia="Times New Roman" w:hAnsi="Times New Roman"/>
          <w:sz w:val="22"/>
          <w:szCs w:val="22"/>
          <w:u w:val="single" w:color="auto"/>
          <w:color w:val="auto"/>
        </w:rPr>
        <w:t>Subsection 3.3</w:t>
      </w:r>
      <w:r>
        <w:rPr>
          <w:rFonts w:ascii="Times New Roman" w:cs="Times New Roman" w:eastAsia="Times New Roman" w:hAnsi="Times New Roman"/>
          <w:sz w:val="22"/>
          <w:szCs w:val="22"/>
          <w:color w:val="auto"/>
        </w:rPr>
        <w:t>.</w:t>
      </w:r>
    </w:p>
    <w:p>
      <w:pPr>
        <w:spacing w:after="0" w:line="125" w:lineRule="exact"/>
        <w:rPr>
          <w:rFonts w:ascii="Times New Roman" w:cs="Times New Roman" w:eastAsia="Times New Roman" w:hAnsi="Times New Roman"/>
          <w:sz w:val="22"/>
          <w:szCs w:val="22"/>
          <w:color w:val="auto"/>
        </w:rPr>
      </w:pPr>
    </w:p>
    <w:p>
      <w:pPr>
        <w:jc w:val="both"/>
        <w:ind w:left="1940" w:hanging="648"/>
        <w:spacing w:after="0" w:line="247" w:lineRule="auto"/>
        <w:tabs>
          <w:tab w:leader="none" w:pos="1928"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xml:space="preserve">” shall mean, with respect to a share of Class B Common Stock, any sale, assignment, transfer, conveyance, hypothecation or other transfer or disposition of such share or any legal or beneficial interest in such share, whether or not for value and whether voluntary or involuntary or by operation of law;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the transfer of, or entering into of a binding agreement with respect to the transfer of, Voting Control (as defined below) over such share by proxy or otherwise in connection with a transaction approved by the Board of Directors, or at the request of the Board of Directors in connection with actions to be taken at an annual or special meeting of stockholders of the Corporation, shall not constitute a Transfer.</w:t>
      </w:r>
    </w:p>
    <w:p>
      <w:pPr>
        <w:spacing w:after="0" w:line="131" w:lineRule="exact"/>
        <w:rPr>
          <w:rFonts w:ascii="Times New Roman" w:cs="Times New Roman" w:eastAsia="Times New Roman" w:hAnsi="Times New Roman"/>
          <w:sz w:val="22"/>
          <w:szCs w:val="22"/>
          <w:color w:val="auto"/>
        </w:rPr>
      </w:pPr>
    </w:p>
    <w:p>
      <w:pPr>
        <w:jc w:val="both"/>
        <w:ind w:left="1940" w:hanging="648"/>
        <w:spacing w:after="0" w:line="257" w:lineRule="auto"/>
        <w:tabs>
          <w:tab w:leader="none" w:pos="1935"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Control</w:t>
      </w:r>
      <w:r>
        <w:rPr>
          <w:rFonts w:ascii="Times New Roman" w:cs="Times New Roman" w:eastAsia="Times New Roman" w:hAnsi="Times New Roman"/>
          <w:sz w:val="22"/>
          <w:szCs w:val="22"/>
          <w:color w:val="auto"/>
        </w:rPr>
        <w:t>” shall mean, with respect to a share of capital stock, or other security, the power (whether exclusive or shared) to vote or direct the voting of such security by proxy, voting agreement or otherwise.</w:t>
      </w:r>
    </w:p>
    <w:p>
      <w:pPr>
        <w:spacing w:after="0" w:line="11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Optional Conversion</w:t>
      </w:r>
      <w:r>
        <w:rPr>
          <w:rFonts w:ascii="Times New Roman" w:cs="Times New Roman" w:eastAsia="Times New Roman" w:hAnsi="Times New Roman"/>
          <w:sz w:val="22"/>
          <w:szCs w:val="22"/>
          <w:color w:val="auto"/>
        </w:rPr>
        <w:t>. Each share of Class B Common Stock shall be convertible into one (1) fully paid and nonassessable share of Class A Common Stock at the option of the holder thereof at any time upon written notice or, if later,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580"/>
          </w:cols>
          <w:pgMar w:left="980" w:top="1422" w:right="3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22"/>
          <w:szCs w:val="22"/>
          <w:color w:val="auto"/>
        </w:rPr>
        <w:t>or the happening of a future event specified in such written notice, to the transfer agent of the Corporation.</w:t>
      </w:r>
    </w:p>
    <w:p>
      <w:pPr>
        <w:spacing w:after="0" w:line="16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Automatic Conversion upon Transfer</w:t>
      </w:r>
      <w:r>
        <w:rPr>
          <w:rFonts w:ascii="Times New Roman" w:cs="Times New Roman" w:eastAsia="Times New Roman" w:hAnsi="Times New Roman"/>
          <w:sz w:val="22"/>
          <w:szCs w:val="22"/>
          <w:color w:val="auto"/>
        </w:rPr>
        <w:t xml:space="preserve">. Each share of Class B Common Stock shall automatically, without any further action, convert into one (1) fully paid and nonassessable share of Class A Common Stock upon the Transfer of such share;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the case of a Class B Stockholder that is a single member limited liability company, a Transfer of Class B Common Stock by a Class B Stockholder to the sole member of such Class B Stockholder shall not trigger such automatic conversion;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 Transfer by a Class B Stockholder (including a Class B Stockholder that is a transferee of Class B Common Stock by virtue of a permitted transfer from a single member limited liability company to its sole member as contemplated under this </w:t>
      </w:r>
      <w:r>
        <w:rPr>
          <w:rFonts w:ascii="Times New Roman" w:cs="Times New Roman" w:eastAsia="Times New Roman" w:hAnsi="Times New Roman"/>
          <w:sz w:val="22"/>
          <w:szCs w:val="22"/>
          <w:u w:val="single" w:color="auto"/>
          <w:color w:val="auto"/>
        </w:rPr>
        <w:t>Subsection 3.3</w:t>
      </w:r>
      <w:r>
        <w:rPr>
          <w:rFonts w:ascii="Times New Roman" w:cs="Times New Roman" w:eastAsia="Times New Roman" w:hAnsi="Times New Roman"/>
          <w:sz w:val="22"/>
          <w:szCs w:val="22"/>
          <w:color w:val="auto"/>
        </w:rPr>
        <w:t>) to any of the following Permitted Entities, and from any of the following Permitted Entities back to such Class B Stockholder and/or any other Permitted Entity by or for such Class B Stockholder shall not trigger such automatic conversion:</w:t>
      </w:r>
    </w:p>
    <w:p>
      <w:pPr>
        <w:spacing w:after="0" w:line="134" w:lineRule="exact"/>
        <w:rPr>
          <w:sz w:val="20"/>
          <w:szCs w:val="20"/>
          <w:color w:val="auto"/>
        </w:rPr>
      </w:pPr>
    </w:p>
    <w:p>
      <w:pPr>
        <w:ind w:left="1920" w:hanging="628"/>
        <w:spacing w:after="0"/>
        <w:tabs>
          <w:tab w:leader="none" w:pos="192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Affiliate of such Class B Stockholder;</w:t>
      </w:r>
    </w:p>
    <w:p>
      <w:pPr>
        <w:spacing w:after="0" w:line="165" w:lineRule="exact"/>
        <w:rPr>
          <w:rFonts w:ascii="Times New Roman" w:cs="Times New Roman" w:eastAsia="Times New Roman" w:hAnsi="Times New Roman"/>
          <w:sz w:val="22"/>
          <w:szCs w:val="22"/>
          <w:color w:val="auto"/>
        </w:rPr>
      </w:pPr>
    </w:p>
    <w:p>
      <w:pPr>
        <w:ind w:left="1940" w:hanging="648"/>
        <w:spacing w:after="0" w:line="271" w:lineRule="auto"/>
        <w:tabs>
          <w:tab w:leader="none" w:pos="193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trust for the benefit of such Class B Stockholder or such Class B Stockholder’s spouse, parents or children;</w:t>
      </w:r>
    </w:p>
    <w:p>
      <w:pPr>
        <w:spacing w:after="0" w:line="103" w:lineRule="exact"/>
        <w:rPr>
          <w:rFonts w:ascii="Times New Roman" w:cs="Times New Roman" w:eastAsia="Times New Roman" w:hAnsi="Times New Roman"/>
          <w:sz w:val="22"/>
          <w:szCs w:val="22"/>
          <w:color w:val="auto"/>
        </w:rPr>
      </w:pPr>
    </w:p>
    <w:p>
      <w:pPr>
        <w:jc w:val="both"/>
        <w:ind w:left="1940" w:hanging="648"/>
        <w:spacing w:after="0" w:line="248" w:lineRule="auto"/>
        <w:tabs>
          <w:tab w:leader="none" w:pos="194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trust for the benefit of persons other than those listed in paragraph 3.3(ii) or an Individual Retirement Account, as defined in Section 408(a)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or a pension, profit sharing, stock bonus or other type of plan or trust of which such Class B Stockholder is a participant or beneficiary and which satisfies the requirements for qualification under Section 401 of the Code, in each case so long as the Class B Stockholder has sole dispositive power and exclusive Voting Control with respect to the shares of Class B Common Stock held by such trust;</w:t>
      </w:r>
    </w:p>
    <w:p>
      <w:pPr>
        <w:spacing w:after="0" w:line="127" w:lineRule="exact"/>
        <w:rPr>
          <w:rFonts w:ascii="Times New Roman" w:cs="Times New Roman" w:eastAsia="Times New Roman" w:hAnsi="Times New Roman"/>
          <w:sz w:val="22"/>
          <w:szCs w:val="22"/>
          <w:color w:val="auto"/>
        </w:rPr>
      </w:pPr>
    </w:p>
    <w:p>
      <w:pPr>
        <w:jc w:val="both"/>
        <w:ind w:left="1940" w:hanging="648"/>
        <w:spacing w:after="0" w:line="247" w:lineRule="auto"/>
        <w:tabs>
          <w:tab w:leader="none" w:pos="1928"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limited liability company in which such Class B Stockholder, together with such Class B Stockholder’s spouse or children, or, in the case of a Class B Stockholder that is a single member limited liability company, the sole member of such Class B Stockholder and such sole member’s spouse or children, directly, or indirectly through one or more Permitted Entities, owns membership interests with sufficient Voting Control in the limited liability company, or otherwise has legally enforceable rights, such that the Class B Stockholder retains sole dispositive power and exclusive Voting Control with respect to the shares of Class B Common Stock held by such limited liability company;</w:t>
      </w:r>
    </w:p>
    <w:p>
      <w:pPr>
        <w:spacing w:after="0" w:line="131" w:lineRule="exact"/>
        <w:rPr>
          <w:rFonts w:ascii="Times New Roman" w:cs="Times New Roman" w:eastAsia="Times New Roman" w:hAnsi="Times New Roman"/>
          <w:sz w:val="22"/>
          <w:szCs w:val="22"/>
          <w:color w:val="auto"/>
        </w:rPr>
      </w:pPr>
    </w:p>
    <w:p>
      <w:pPr>
        <w:ind w:left="1940" w:hanging="648"/>
        <w:spacing w:after="0" w:line="271" w:lineRule="auto"/>
        <w:tabs>
          <w:tab w:leader="none" w:pos="1935"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corporation in which such Class B Stockholder directly, or indirectly through one or more Permitted Entities, owns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580"/>
          </w:cols>
          <w:pgMar w:left="980" w:top="1422" w:right="339" w:bottom="1440" w:gutter="0" w:footer="0" w:header="0"/>
        </w:sectPr>
      </w:pPr>
    </w:p>
    <w:bookmarkStart w:id="328" w:name="page329"/>
    <w:bookmarkEnd w:id="328"/>
    <w:p>
      <w:pPr>
        <w:jc w:val="both"/>
        <w:ind w:left="1940"/>
        <w:spacing w:after="0" w:line="257" w:lineRule="auto"/>
        <w:rPr>
          <w:sz w:val="20"/>
          <w:szCs w:val="20"/>
          <w:color w:val="auto"/>
        </w:rPr>
      </w:pPr>
      <w:r>
        <w:rPr>
          <w:rFonts w:ascii="Times New Roman" w:cs="Times New Roman" w:eastAsia="Times New Roman" w:hAnsi="Times New Roman"/>
          <w:sz w:val="22"/>
          <w:szCs w:val="22"/>
          <w:color w:val="auto"/>
        </w:rPr>
        <w:t>with sufficient Voting Control in the corporation, or otherwise has legally enforceable rights, such that the Class B Stockholder retains sole dispositive power and exclusive Voting Control with respect to the shares of Class B Common Stock held by such corporation; or</w:t>
      </w:r>
    </w:p>
    <w:p>
      <w:pPr>
        <w:spacing w:after="0" w:line="119" w:lineRule="exact"/>
        <w:rPr>
          <w:sz w:val="20"/>
          <w:szCs w:val="20"/>
          <w:color w:val="auto"/>
        </w:rPr>
      </w:pPr>
    </w:p>
    <w:p>
      <w:pPr>
        <w:jc w:val="both"/>
        <w:ind w:left="1940" w:hanging="648"/>
        <w:spacing w:after="0" w:line="250" w:lineRule="auto"/>
        <w:tabs>
          <w:tab w:leader="none" w:pos="1928"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partnership in which such Class B Stockholder directly, or indirectly through one or more Permitted Entities, owns partnership interests with sufficient Voting Control in the partnership, or otherwise has legally enforceable rights, such that the Class B Stockholder retains sole dispositive power and exclusive Voting Control with respect to the shares of Class B Common Stock held by such partnership.</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each case such Transfer does not involve any payment of cash, securities, property or other consideration (other than an interest in such trust) to the Class B Stockholder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the event that the requirements of such Permitted Entity as described in paragraphs 3.3(ii)-3.3(iv) above are no longer met, then each share of Class B Common Stock then held by such Permitted Entity shall automatically convert into one (1) fully paid and nonassessable share of Class A Common Stock.</w:t>
      </w:r>
    </w:p>
    <w:p>
      <w:pPr>
        <w:spacing w:after="0" w:line="1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For the avoidance of doubt, to the extent any shares are deemed to be held by a trustee of a trust described in paragraphs 3.3(ii) or 3.3(iii) above, the Transfer shall not trigger such automatic conversion and the trustee shall be deemed a Permitted Entity so long as the other requirements of 3.3(ii) or 3.3(iii) above, as the case may be, are otherwise satisfied.</w:t>
      </w:r>
    </w:p>
    <w:p>
      <w:pPr>
        <w:spacing w:after="0" w:line="1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u w:val="single" w:color="auto"/>
          <w:color w:val="auto"/>
        </w:rPr>
        <w:t>Automatic Conversion</w:t>
      </w:r>
      <w:r>
        <w:rPr>
          <w:rFonts w:ascii="Times New Roman" w:cs="Times New Roman" w:eastAsia="Times New Roman" w:hAnsi="Times New Roman"/>
          <w:sz w:val="21"/>
          <w:szCs w:val="21"/>
          <w:color w:val="auto"/>
        </w:rPr>
        <w:t>. Each share of Class B Common Stock held of record by a Class B Stockholder, or by such Class B Stockholder’s Permitted Entities, shall automatically, without any further action, convert into one (1) fully paid and nonassessable share of Class A Common Stock upon (i) the death or permanent disability of such Class B Stockholder, or, in the case of a Class B Stockholder that is a single-member limited liability company, the death or permanent disability of the individual who is the sole member of such Class B Stockholder at the time of the original issuance of such shares of Class B Common Stock, (ii) the close of business on the first day following any period of 90 consecutive days during which such Class B Stockholder does not directly, or, in the case of a Class B Stockholder that is not a natural person, through a member, nominee or designee, provide services to the Corporation as an employee, consultant or director, (iii) the time, including a time determined by the happening of a future event, specified in a written consent or agreement of holders of at least fifty percent (50%) of the then outstanding shares of Class B Common Stock or (iv) the earlier of (x) the close of business on the first day following the fifth anniversary of the closing of the first firm-commitment underwritten public offering pursuant to an effective registration statement under the Securities Act of 1933, as amended, resulting in the listing of shares of the Corporation’s capital stock on a securities exchange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580"/>
          </w:cols>
          <w:pgMar w:left="980" w:top="1422" w:right="339" w:bottom="1440" w:gutter="0" w:footer="0" w:header="0"/>
        </w:sectPr>
      </w:pPr>
    </w:p>
    <w:bookmarkStart w:id="329" w:name="page330"/>
    <w:bookmarkEnd w:id="329"/>
    <w:p>
      <w:pPr>
        <w:jc w:val="both"/>
        <w:ind w:left="660"/>
        <w:spacing w:after="0" w:line="271" w:lineRule="auto"/>
        <w:rPr>
          <w:sz w:val="20"/>
          <w:szCs w:val="20"/>
          <w:color w:val="auto"/>
        </w:rPr>
      </w:pPr>
      <w:r>
        <w:rPr>
          <w:rFonts w:ascii="Times New Roman" w:cs="Times New Roman" w:eastAsia="Times New Roman" w:hAnsi="Times New Roman"/>
          <w:sz w:val="22"/>
          <w:szCs w:val="22"/>
          <w:color w:val="auto"/>
        </w:rPr>
        <w:t>with the U.S. Securities and Exchange Commission as a national securities exchange pursuant to Section 6(a) of the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and (y) the close of business on December 31, 2025.</w:t>
      </w:r>
    </w:p>
    <w:p>
      <w:pPr>
        <w:spacing w:after="0" w:line="104" w:lineRule="exact"/>
        <w:rPr>
          <w:sz w:val="20"/>
          <w:szCs w:val="20"/>
          <w:color w:val="auto"/>
        </w:rPr>
      </w:pPr>
    </w:p>
    <w:p>
      <w:pPr>
        <w:jc w:val="both"/>
        <w:ind w:left="660" w:firstLine="1296"/>
        <w:spacing w:after="0" w:line="246"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Effect of Conversion</w:t>
      </w:r>
      <w:r>
        <w:rPr>
          <w:rFonts w:ascii="Times New Roman" w:cs="Times New Roman" w:eastAsia="Times New Roman" w:hAnsi="Times New Roman"/>
          <w:sz w:val="22"/>
          <w:szCs w:val="22"/>
          <w:color w:val="auto"/>
        </w:rPr>
        <w:t xml:space="preserve">. In the event of a conversion of shares of Class B Common Stock to shares of Class A Common Stock pursuant to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such conversion shall be deemed to have been made at the time that the Corporation’s transfer agent receives the written notice required pursuant to </w:t>
      </w:r>
      <w:r>
        <w:rPr>
          <w:rFonts w:ascii="Times New Roman" w:cs="Times New Roman" w:eastAsia="Times New Roman" w:hAnsi="Times New Roman"/>
          <w:sz w:val="22"/>
          <w:szCs w:val="22"/>
          <w:u w:val="single" w:color="auto"/>
          <w:color w:val="auto"/>
        </w:rPr>
        <w:t>Subsection 3.2</w:t>
      </w:r>
      <w:r>
        <w:rPr>
          <w:rFonts w:ascii="Times New Roman" w:cs="Times New Roman" w:eastAsia="Times New Roman" w:hAnsi="Times New Roman"/>
          <w:sz w:val="22"/>
          <w:szCs w:val="22"/>
          <w:color w:val="auto"/>
        </w:rPr>
        <w:t xml:space="preserve"> (or, if later, the time or happening of a future event specified in such written notice), the time that the Transfer of such shares occurred or the death or permanent disability of the Class B Stockholder (or its sole member), as applicable or as otherwise provided in Article IV, Part A, Section 3.4. Upon any conversion of Class B Common Stock to Class A Common Stock, all rights of the holder of such shares of Class B Common Stock shall cease and the person or persons in whose names or names the certificate or certificates representing the shares of Class B Common Stock are to be issued, if any, shall be treated for all purposes as having become the record holder or holders of such number of shares of Class A Common Stock into which such Class B Common Stock were convertible. Shares of Class B Common Stock that are converted into shares of Class A Common Stock as provided in this Section 3 shall be retired and shall not be reissued.</w:t>
      </w:r>
    </w:p>
    <w:p>
      <w:pPr>
        <w:spacing w:after="0" w:line="131" w:lineRule="exact"/>
        <w:rPr>
          <w:sz w:val="20"/>
          <w:szCs w:val="20"/>
          <w:color w:val="auto"/>
        </w:rPr>
      </w:pPr>
    </w:p>
    <w:p>
      <w:pPr>
        <w:jc w:val="both"/>
        <w:ind w:firstLine="1304"/>
        <w:spacing w:after="0" w:line="252" w:lineRule="auto"/>
        <w:tabs>
          <w:tab w:leader="none" w:pos="1944"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Stock</w:t>
      </w:r>
      <w:r>
        <w:rPr>
          <w:rFonts w:ascii="Times New Roman" w:cs="Times New Roman" w:eastAsia="Times New Roman" w:hAnsi="Times New Roman"/>
          <w:sz w:val="22"/>
          <w:szCs w:val="22"/>
          <w:color w:val="auto"/>
        </w:rPr>
        <w:t>. The Corporation shall at all times reserve and keep available out of its authorized but unissued shares of Class A Common Stock, solely for the purpose of effecting the conversion of the shares of Class B Common Stock, such number of its shares of Class A Common Stock as shall from time to time be sufficient to effect the conversion of all outstanding shares of Class B Common Stock into shares of Class A Common Stock.</w:t>
      </w:r>
    </w:p>
    <w:p>
      <w:pPr>
        <w:spacing w:after="0" w:line="125"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4"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in Authorized Class A Common Stock and Class B Common Stock</w:t>
      </w:r>
      <w:r>
        <w:rPr>
          <w:rFonts w:ascii="Times New Roman" w:cs="Times New Roman" w:eastAsia="Times New Roman" w:hAnsi="Times New Roman"/>
          <w:sz w:val="22"/>
          <w:szCs w:val="22"/>
          <w:color w:val="auto"/>
        </w:rPr>
        <w:t>. The number of authorized shares of Class A Common Stock may be increased or decreased (but not below the number of shares of Class A Common Stock then outstanding plus the number of shares reserved for issuance pursuant to Section 4 of this Article IV, Part A) by an affirmative vote of the holders of a majority of the outstanding voting power of the Corporation entitled to vote thereon, irrespective of the provisions of Section 242(b)(2) of the DGCL. The number of authorized shares of Class B Common Stock may be increased or decreased (but not below the number of shares of Class B Common Stock then outstanding) by an affirmative vote of the holders of a majority of the outstanding shares of Class B Common Stock, voting as a separate class, irrespective of the provisions of Section 242(b)(2) of the DGCL.</w:t>
      </w:r>
    </w:p>
    <w:p>
      <w:pPr>
        <w:spacing w:after="0" w:line="131"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4"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The Corporation may, from time to time, establish such policies and procedures relating to the conversion of the Class B Common Stock into Class A Common Stock and the general administration of this dual-class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Board of Directors made in good faith as to whether or not a Transfer has occurred and results in a conversion to Class A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22" w:right="339" w:bottom="1440" w:gutter="0" w:footer="0" w:header="0"/>
        </w:sectPr>
      </w:pPr>
    </w:p>
    <w:bookmarkStart w:id="330" w:name="page331"/>
    <w:bookmarkEnd w:id="330"/>
    <w:p>
      <w:pPr>
        <w:spacing w:after="0" w:line="271" w:lineRule="auto"/>
        <w:rPr>
          <w:sz w:val="20"/>
          <w:szCs w:val="20"/>
          <w:color w:val="auto"/>
        </w:rPr>
      </w:pPr>
      <w:r>
        <w:rPr>
          <w:rFonts w:ascii="Times New Roman" w:cs="Times New Roman" w:eastAsia="Times New Roman" w:hAnsi="Times New Roman"/>
          <w:sz w:val="22"/>
          <w:szCs w:val="22"/>
          <w:color w:val="auto"/>
        </w:rPr>
        <w:t>as to whether or not another conversion contemplated in the foregoing Section 3 of Part A of this Article IV has occurred, shall be conclusive and binding.</w:t>
      </w:r>
    </w:p>
    <w:p>
      <w:pPr>
        <w:spacing w:after="0" w:line="104" w:lineRule="exact"/>
        <w:rPr>
          <w:sz w:val="20"/>
          <w:szCs w:val="20"/>
          <w:color w:val="auto"/>
        </w:rPr>
      </w:pPr>
    </w:p>
    <w:p>
      <w:pPr>
        <w:ind w:left="1300" w:hanging="644"/>
        <w:spacing w:after="0"/>
        <w:tabs>
          <w:tab w:leader="none" w:pos="130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PREFERRED STOCK.</w:t>
      </w:r>
    </w:p>
    <w:p>
      <w:pPr>
        <w:spacing w:after="0" w:line="165"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the number of which was fixed by it, subject to the powers, preferences and rights, and the qualifications, limitations and restrictions thereof stated in this Amended and Restated Certificate of Incorporation or the resolution of the Board of Directors originally fixing the number of shares of such series and to applicable law. Except as may be otherwise specified by the terms of any series of Preferred Stock, if the number of shares of any series is so decreased, then the Corporation shall take all such steps as are necessary to cause the shares constituting such decrease to resume the status which they had prior to the adoption of the resolution originally fixing the number of shares of such series. The number of authorized shares of Preferred Stock may be increased or decreased (but not below the number of shares thereof then outstanding) by an affirmative vote of the holders of a majority of the outstanding voting power of the Corporation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7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Section 1. Subject to the rights of holders of Preferred Stock, the number of directors that constitutes the entire Board of Directors of the Corporation shall be fixed only by resolution of the Board of Directors acting pursuant to a resolution adopted by a majority of the Whole Board. For purposes of this Amended and Restated Certificate of Incorporation, “</w:t>
      </w:r>
      <w:r>
        <w:rPr>
          <w:rFonts w:ascii="Times New Roman" w:cs="Times New Roman" w:eastAsia="Times New Roman" w:hAnsi="Times New Roman"/>
          <w:sz w:val="22"/>
          <w:szCs w:val="22"/>
          <w:b w:val="1"/>
          <w:bCs w:val="1"/>
          <w:color w:val="auto"/>
        </w:rPr>
        <w:t>Whole Board</w:t>
      </w:r>
      <w:r>
        <w:rPr>
          <w:rFonts w:ascii="Times New Roman" w:cs="Times New Roman" w:eastAsia="Times New Roman" w:hAnsi="Times New Roman"/>
          <w:sz w:val="22"/>
          <w:szCs w:val="22"/>
          <w:color w:val="auto"/>
        </w:rPr>
        <w:t>” shall mean the total number of authorized directorships whether or not there exist any vacancies or other unfilled seats in previously authorized directorships. At each annual meeting of stockholders, directors of the Corporation whose terms are expiring at such meeting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22" w:right="339" w:bottom="1440" w:gutter="0" w:footer="0" w:header="0"/>
        </w:sectPr>
      </w:pPr>
    </w:p>
    <w:bookmarkStart w:id="331" w:name="page332"/>
    <w:bookmarkEnd w:id="331"/>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2. From and after the effectiveness of this Amended and Restated Certificate of Incorporation, the directors of the Corporation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no decrease in the number of directors constituting the Board of Directors shall shorten the term of any incumbent director.</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7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Section 1. From and after the effectiveness of this Amended and Restated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a majority of the voting power of the issued and outstanding capital stock of the Corporation entitled to vote in the election of directors.</w:t>
      </w:r>
    </w:p>
    <w:p>
      <w:pPr>
        <w:spacing w:after="0" w:line="12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Corporation,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13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7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color w:val="auto"/>
        </w:rPr>
        <w:t>The Corporation is to have perpetual existence.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22" w:right="339" w:bottom="1440" w:gutter="0" w:footer="0" w:header="0"/>
        </w:sectPr>
      </w:pPr>
    </w:p>
    <w:bookmarkStart w:id="332" w:name="page333"/>
    <w:bookmarkEnd w:id="332"/>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Section 2. The business and affairs of the Corporation shall be managed by or under the direction of the Board of Directors. In addition to the powers and authority expressly conferred upon them by statute or by this Amended and Restated Certificate of Incorporation or the Bylaws of the Corporation, the directors are hereby empowered to exercise all such powers and do all such acts and things as may be exercised or done by the Corporation.</w:t>
      </w:r>
    </w:p>
    <w:p>
      <w:pPr>
        <w:spacing w:after="0" w:line="12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Section 3. In furtherance and not in limitation of the powers conferred by statute, the Board of Directors is expressly authorized to adopt, alter, amend or repeal the Bylaws of the Corporation. The affirmative vote of at least a majority of the Whole Board then in office shall be required in order for the Board of Directors to adopt, amend, alter or repeal the Corporation’s Bylaws. The Corporation’s Bylaws may also be adopted, amended, altered or repealed by the stockholders of the Corporation. Notwithstanding the above or any other provision of this Amended and Restated Certificate of Incorporation, the Bylaws of the Corporation may not be amended, altered or repealed except in accordance with the provisions of the Bylaws relating to amendments to the Bylaws. No Bylaw hereafter legally adopted, amended, altered or repealed shall invalidate any prior act of the directors or officers of the Corporation that would have been valid if such Bylaw had not been adopted, amended, altered or repealed.</w:t>
      </w:r>
    </w:p>
    <w:p>
      <w:pPr>
        <w:spacing w:after="0" w:line="13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Section 4. The election of directors need not be by written ballot unless the Bylaws of the Corporation shall so provide.</w:t>
      </w: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color w:val="auto"/>
        </w:rPr>
        <w:t>No stockholder will be permitted to cumulate votes at any election of directors.</w:t>
      </w:r>
    </w:p>
    <w:p>
      <w:pPr>
        <w:spacing w:after="0" w:line="16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7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Section 1. Subject to the terms of any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1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Section 2. Subject to the terms of any series of Preferred Stock, special meetings of stockholders of the Corporation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Section 3. Advance notice of stockholder nominations for the election of directors and of business to be brought by stockholders before any meeting of the stockholders of the Corporation shall be given in the manner and to the extent provided in the Bylaws of the Corporation.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7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Section 1. To the fullest extent permitted by the DGCL as the same exists or as may hereafter be amended from time to time, a director of the Corporation shall not be personally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22" w:right="339" w:bottom="1440" w:gutter="0" w:footer="0" w:header="0"/>
        </w:sectPr>
      </w:pPr>
    </w:p>
    <w:bookmarkStart w:id="333" w:name="page334"/>
    <w:bookmarkEnd w:id="333"/>
    <w:p>
      <w:pPr>
        <w:jc w:val="both"/>
        <w:spacing w:after="0" w:line="257" w:lineRule="auto"/>
        <w:rPr>
          <w:sz w:val="20"/>
          <w:szCs w:val="20"/>
          <w:color w:val="auto"/>
        </w:rPr>
      </w:pPr>
      <w:r>
        <w:rPr>
          <w:rFonts w:ascii="Times New Roman" w:cs="Times New Roman" w:eastAsia="Times New Roman" w:hAnsi="Times New Roman"/>
          <w:sz w:val="22"/>
          <w:szCs w:val="22"/>
          <w:color w:val="auto"/>
        </w:rPr>
        <w:t>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1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Section 2. 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(or part thereof) initiated by such person only if the Proceeding (or part thereof) was authorized by the Board of Directors.</w:t>
      </w:r>
    </w:p>
    <w:p>
      <w:pPr>
        <w:spacing w:after="0" w:line="13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Section 3. The Corporation shall have the power to indemnify, to the extent permitted by applicable law,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Section 4. Neither any amendment, repeal nor elimination of any Section of this Article IX, nor the adoption of any provision of this Amended and Restated Certificate of Incorporation or the Bylaws of the Corporation inconsistent with this Article IX, shall eliminate or reduce the effect of this Article IX in respect of any matter occurring, or any cause of action, suit, claim or proceeding accruing or arising or that, but for this Article IX, would accrue or arise, prior to such amendment, repeal, elimination or adoption of an inconsistent provision.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7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Meetings of stockholders may be held within or outside of the State of Delaware, as the Bylaws may provide. The books of the Corporation may be kept (subject to any provision of applicable law) outside of the State of Delaware at such place or places or in such manner or manners as may be designated from time to time by the Board of Directors or in the Bylaws of the Corporation.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17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Corporation reserves the right to amend or repeal any provision contained in this Amended and Restated Certificate of Incorporation in the manner prescribed by the laws of the State of Delaware and all rights conferred upon stockholders are granted subject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22" w:right="339" w:bottom="1440" w:gutter="0" w:footer="0" w:header="0"/>
        </w:sectPr>
      </w:pPr>
    </w:p>
    <w:bookmarkStart w:id="334" w:name="page335"/>
    <w:bookmarkEnd w:id="334"/>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reservation;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notwithstanding any other provision of this Amended and Restated Certificate of Incorporation or any provision of law that might otherwise permit a lesser vote, the Board of Directors acting pursuant to a resolution adopted by a majority of the Whole Board and the affirmative vote of sixty-six and two-thirds percent (66 2/3%) of the voting power of the then outstanding voting securities of the Corporation, voting together as a single class, shall be required for the amendment, repeal or modification of the provisions of Part B of Article IV, Section 2 of Article V, Article VI, Section 5 of Article VII, Article VIII or Article XI of this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8" w:right="339" w:bottom="1440" w:gutter="0" w:footer="0" w:header="0"/>
        </w:sectPr>
      </w:pPr>
    </w:p>
    <w:bookmarkStart w:id="335" w:name="page336"/>
    <w:bookmarkEnd w:id="335"/>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Seer, Inc. has caused this Amended and Restated Certificate of Incorporation to be signed by Omid Farokhzad, a duly authorized officer of the Corporation, on this [ ] day of [ ], 2020.</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27940</wp:posOffset>
            </wp:positionV>
            <wp:extent cx="3566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Omid Farokhzad, M.D.</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Chief Executive Officer and Chair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20"/>
          </w:cols>
          <w:pgMar w:left="320" w:top="1422" w:right="359" w:bottom="1440" w:gutter="0" w:footer="0" w:header="0"/>
        </w:sectPr>
      </w:pPr>
    </w:p>
    <w:bookmarkStart w:id="336" w:name="page337"/>
    <w:bookmarkEnd w:id="336"/>
    <w:p>
      <w:pPr>
        <w:ind w:left="10340"/>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337185</wp:posOffset>
            </wp:positionV>
            <wp:extent cx="1071245" cy="411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1071245" cy="41148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color w:val="auto"/>
        </w:rPr>
        <w:t>Wilson Sonsini Goodrich &amp; Rosati</w:t>
      </w:r>
    </w:p>
    <w:p>
      <w:pPr>
        <w:spacing w:after="0" w:line="26"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6"/>
          <w:szCs w:val="16"/>
          <w:color w:val="auto"/>
        </w:rPr>
        <w:t>Professional Corporation</w:t>
      </w:r>
    </w:p>
    <w:p>
      <w:pPr>
        <w:spacing w:after="0" w:line="19"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6"/>
          <w:szCs w:val="16"/>
          <w:color w:val="auto"/>
        </w:rPr>
        <w:t>650 Page Mill Road</w:t>
      </w:r>
    </w:p>
    <w:p>
      <w:pPr>
        <w:spacing w:after="0" w:line="15"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6"/>
          <w:szCs w:val="16"/>
          <w:color w:val="auto"/>
        </w:rPr>
        <w:t>Palo Alto, California 94304-1050</w:t>
      </w:r>
    </w:p>
    <w:p>
      <w:pPr>
        <w:spacing w:after="0" w:line="8"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4"/>
          <w:szCs w:val="14"/>
          <w:b w:val="1"/>
          <w:bCs w:val="1"/>
          <w:color w:val="auto"/>
        </w:rPr>
        <w:t>o: 650.493.9300</w:t>
      </w:r>
    </w:p>
    <w:p>
      <w:pPr>
        <w:spacing w:after="0" w:line="24"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4"/>
          <w:szCs w:val="14"/>
          <w:b w:val="1"/>
          <w:bCs w:val="1"/>
          <w:color w:val="auto"/>
        </w:rPr>
        <w:t>f: 650.493.6811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November 30, 2020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Seer,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3800 Bridge Parkway, Suite 102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Redwood City, CA 94065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This opinion is furnished to you in connection with the Registration Statement on Form S-1 (Registration No. 333-250035), as amended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filed by Seer,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with the Securities and Exchange Commission in connection with the registration under the Securities Act of 1933, as amended, of up to 10,148,750 shares (including up to 1,323,750 shares issuable upon exercise of an option granted to the underwriters by the Company) of the Company’s Class A Common Stock, $0.00001 par value per share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to be issued and sold by the Company. We understand that the Shares are to be sold to the underwriters for resale to the public as described in the Registration Statement and pursuant to an underwriting agreement, substantially in the form filed as an exhibit to the Registration Statement, to be entered into by and among the Company and the underwriters (the “</w:t>
      </w:r>
      <w:r>
        <w:rPr>
          <w:rFonts w:ascii="Times New Roman" w:cs="Times New Roman" w:eastAsia="Times New Roman" w:hAnsi="Times New Roman"/>
          <w:sz w:val="22"/>
          <w:szCs w:val="22"/>
          <w:b w:val="1"/>
          <w:bCs w:val="1"/>
          <w:color w:val="auto"/>
        </w:rPr>
        <w:t>Underwriting Agreement</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We are acting as counsel for the Company in connection with the sale of the Shares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On the basis of the foregoing, we are of the opinion that upon the effectiveness of the Company’s Amended and Restated Certificate of Incorporation, a form of which has been filed as Exhibit 3.2 to the Registration Statement, the Shares to be issued and sold by the Company have been duly authorized and, when such Shares are issued and paid for in accordance with the terms of the Underwriting Agreement, will be validly issued,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tabs>
          <w:tab w:leader="none" w:pos="160" w:val="left"/>
          <w:tab w:leader="none" w:pos="160" w:val="left"/>
          <w:tab w:leader="none" w:pos="160" w:val="left"/>
          <w:tab w:leader="none" w:pos="160" w:val="left"/>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4"/>
          <w:szCs w:val="14"/>
          <w:b w:val="1"/>
          <w:bCs w:val="1"/>
          <w:color w:val="auto"/>
        </w:rPr>
        <w:t>AUSTIN</w:t>
        <w:tab/>
        <w:t>BEIJING</w:t>
        <w:tab/>
        <w:t>BOSTON</w:t>
        <w:tab/>
        <w:t>BRUSSELS</w:t>
        <w:tab/>
        <w:t>HONG KONG</w:t>
        <w:tab/>
        <w:t>LONDON</w:t>
        <w:tab/>
        <w:t>LOS ANGELES</w:t>
        <w:tab/>
        <w:t>NEW YORK</w:t>
      </w:r>
      <w:r>
        <w:rPr>
          <w:sz w:val="20"/>
          <w:szCs w:val="20"/>
          <w:color w:val="auto"/>
        </w:rPr>
        <w:tab/>
      </w:r>
      <w:r>
        <w:rPr>
          <w:rFonts w:ascii="Times New Roman" w:cs="Times New Roman" w:eastAsia="Times New Roman" w:hAnsi="Times New Roman"/>
          <w:sz w:val="13"/>
          <w:szCs w:val="13"/>
          <w:b w:val="1"/>
          <w:bCs w:val="1"/>
          <w:color w:val="auto"/>
        </w:rPr>
        <w:t>PALO ALTO</w:t>
      </w:r>
    </w:p>
    <w:p>
      <w:pPr>
        <w:spacing w:after="0" w:line="42" w:lineRule="exact"/>
        <w:rPr>
          <w:sz w:val="20"/>
          <w:szCs w:val="20"/>
          <w:color w:val="auto"/>
        </w:rPr>
      </w:pPr>
    </w:p>
    <w:p>
      <w:pPr>
        <w:jc w:val="center"/>
        <w:spacing w:after="0"/>
        <w:tabs>
          <w:tab w:leader="none" w:pos="160" w:val="left"/>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4"/>
          <w:szCs w:val="14"/>
          <w:b w:val="1"/>
          <w:bCs w:val="1"/>
          <w:color w:val="auto"/>
        </w:rPr>
        <w:t>SAN DIEGO</w:t>
        <w:tab/>
        <w:t>SAN FRANCISCO</w:t>
        <w:tab/>
        <w:t>SEATTLE</w:t>
        <w:tab/>
        <w:t>SHANGHAI</w:t>
        <w:tab/>
        <w:t>WASHINGTON, DC</w:t>
        <w:tab/>
        <w:t>WILMINGTON, DE</w:t>
      </w:r>
    </w:p>
    <w:p>
      <w:pPr>
        <w:sectPr>
          <w:pgSz w:w="11900" w:h="16838" w:orient="portrait"/>
          <w:cols w:equalWidth="0" w:num="1">
            <w:col w:w="11240"/>
          </w:cols>
          <w:pgMar w:left="320" w:top="117" w:right="3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14350" cy="196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514350" cy="196850"/>
                    </a:xfrm>
                    <a:prstGeom prst="rect">
                      <a:avLst/>
                    </a:prstGeom>
                    <a:noFill/>
                  </pic:spPr>
                </pic:pic>
              </a:graphicData>
            </a:graphic>
          </wp:anchor>
        </w:drawing>
        <w:t>November 30, 2020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We consent to the use of this opinion as an exhibit to the Registration Statement, and we consent to the reference of our name under the caption “Legal Matters” in the prospectus forming part of the Registration Statement.</w:t>
      </w:r>
    </w:p>
    <w:p>
      <w:pPr>
        <w:spacing w:after="0" w:line="21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/S/ WILSON SONSINI GOODRICH &amp; ROSATI, P.C.</w:t>
      </w:r>
    </w:p>
    <w:p>
      <w:pPr>
        <w:spacing w:after="0" w:line="200" w:lineRule="exact"/>
        <w:rPr>
          <w:sz w:val="20"/>
          <w:szCs w:val="20"/>
          <w:color w:val="auto"/>
        </w:rPr>
      </w:pPr>
    </w:p>
    <w:p>
      <w:pPr>
        <w:spacing w:after="0" w:line="39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WILSON SONSINI GOODRICH &amp; ROSATI</w:t>
      </w:r>
    </w:p>
    <w:p>
      <w:pPr>
        <w:spacing w:after="0" w:line="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Professional Corporation</w:t>
      </w:r>
    </w:p>
    <w:p>
      <w:pPr>
        <w:sectPr>
          <w:pgSz w:w="11900" w:h="16838" w:orient="portrait"/>
          <w:cols w:equalWidth="0" w:num="1">
            <w:col w:w="11240"/>
          </w:cols>
          <w:pgMar w:left="320" w:top="747" w:right="339" w:bottom="1440" w:gutter="0" w:footer="0" w:header="0"/>
        </w:sectPr>
      </w:pPr>
    </w:p>
    <w:bookmarkStart w:id="338" w:name="page339"/>
    <w:bookmarkEnd w:id="33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20" w:lineRule="exact"/>
        <w:rPr>
          <w:sz w:val="20"/>
          <w:szCs w:val="20"/>
          <w:color w:val="auto"/>
        </w:rPr>
      </w:pPr>
    </w:p>
    <w:p>
      <w:pPr>
        <w:ind w:left="1300" w:hanging="644"/>
        <w:spacing w:after="0"/>
        <w:tabs>
          <w:tab w:leader="none" w:pos="130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Purposes of the Plan</w:t>
      </w:r>
      <w:r>
        <w:rPr>
          <w:rFonts w:ascii="Times New Roman" w:cs="Times New Roman" w:eastAsia="Times New Roman" w:hAnsi="Times New Roman"/>
          <w:sz w:val="22"/>
          <w:szCs w:val="22"/>
          <w:color w:val="auto"/>
        </w:rPr>
        <w:t>. The purposes of this Plan are:</w:t>
      </w:r>
    </w:p>
    <w:p>
      <w:pPr>
        <w:spacing w:after="0" w:line="22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attract and retain the best available personnel for positions of substantial responsibility,</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additional incentive to Employees, Directors and Consultants, and</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promote the success of the Company’s business.</w:t>
      </w:r>
    </w:p>
    <w:p>
      <w:pPr>
        <w:spacing w:after="0" w:line="220"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The Plan permits the grant of Incentive Stock Options, Nonstatutory Stock Options, Stock Appreciation Rights, Restricted Stock, Restricted Stock Units and Performance Awards.</w:t>
      </w:r>
    </w:p>
    <w:p>
      <w:pPr>
        <w:spacing w:after="0" w:line="154" w:lineRule="exact"/>
        <w:rPr>
          <w:sz w:val="20"/>
          <w:szCs w:val="20"/>
          <w:color w:val="auto"/>
        </w:rPr>
      </w:pPr>
    </w:p>
    <w:p>
      <w:pPr>
        <w:ind w:left="1300" w:hanging="644"/>
        <w:spacing w:after="0"/>
        <w:tabs>
          <w:tab w:leader="none" w:pos="130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As used herein, the following definitions will apply:</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the Board or any of its Committees as will be administering the Plan, in accordance with Section 4 of the Plan.</w:t>
      </w:r>
    </w:p>
    <w:p>
      <w:pPr>
        <w:spacing w:after="0" w:line="14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2.2 “</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7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2.3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means, individually or collectively, a grant under the Plan of Options, Stock Appreciation Rights, Restricted Stock, Restricted Stock Units or Performance Awards.</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2.4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means the written or electronic agreement setting forth the terms and provisions applicable to each Award granted under the Plan. The Award Agreement is subject to the terms and conditions of the Plan.</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of the Company.</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2.6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means (i) any material breach by a Participant of any agreement to which the Participant and the Company are both parties, (ii) any act (other than retirement) or omission to act by the Participant which may have a material and adverse effect on the Company’s business or on the Participant’s ability to perform services for the Company, including, without limitation, the commission of any crime (other than minor traffic violations), or (iii) any material misconduct or material neglect of duties by the Participant in connection with the business or affairs of the Company.</w:t>
      </w:r>
    </w:p>
    <w:p>
      <w:pPr>
        <w:sectPr>
          <w:pgSz w:w="11900" w:h="16838" w:orient="portrait"/>
          <w:cols w:equalWidth="0" w:num="1">
            <w:col w:w="11240"/>
          </w:cols>
          <w:pgMar w:left="320" w:top="117" w:right="339" w:bottom="1440" w:gutter="0" w:footer="0" w:header="0"/>
        </w:sectPr>
      </w:pPr>
    </w:p>
    <w:bookmarkStart w:id="339" w:name="page340"/>
    <w:bookmarkEnd w:id="339"/>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means the occurrence of any of the following events:</w:t>
      </w:r>
    </w:p>
    <w:p>
      <w:pPr>
        <w:spacing w:after="0" w:line="220" w:lineRule="exact"/>
        <w:rPr>
          <w:sz w:val="20"/>
          <w:szCs w:val="20"/>
          <w:color w:val="auto"/>
        </w:rPr>
      </w:pPr>
    </w:p>
    <w:p>
      <w:pPr>
        <w:jc w:val="both"/>
        <w:ind w:firstLine="1952"/>
        <w:spacing w:after="0" w:line="258" w:lineRule="auto"/>
        <w:tabs>
          <w:tab w:leader="none" w:pos="2589" w:val="left"/>
        </w:tabs>
        <w:numPr>
          <w:ilvl w:val="1"/>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 in Ownership of the Company</w:t>
      </w:r>
      <w:r>
        <w:rPr>
          <w:rFonts w:ascii="Times New Roman" w:cs="Times New Roman" w:eastAsia="Times New Roman" w:hAnsi="Times New Roman"/>
          <w:sz w:val="21"/>
          <w:szCs w:val="21"/>
          <w:color w:val="auto"/>
        </w:rPr>
        <w:t>. A change in the ownership of the Company which occurs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the date that any one person, or more than one person acting as a group (“</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2" w:lineRule="exact"/>
        <w:rPr>
          <w:rFonts w:ascii="Times New Roman" w:cs="Times New Roman" w:eastAsia="Times New Roman" w:hAnsi="Times New Roman"/>
          <w:sz w:val="21"/>
          <w:szCs w:val="21"/>
          <w:color w:val="auto"/>
        </w:rPr>
      </w:pPr>
    </w:p>
    <w:p>
      <w:pPr>
        <w:jc w:val="both"/>
        <w:ind w:firstLine="1952"/>
        <w:spacing w:after="0" w:line="249" w:lineRule="auto"/>
        <w:tabs>
          <w:tab w:leader="none" w:pos="2587"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Effective Control of the Company</w:t>
      </w:r>
      <w:r>
        <w:rPr>
          <w:rFonts w:ascii="Times New Roman" w:cs="Times New Roman" w:eastAsia="Times New Roman" w:hAnsi="Times New Roman"/>
          <w:sz w:val="22"/>
          <w:szCs w:val="22"/>
          <w:color w:val="auto"/>
        </w:rPr>
        <w:t>. If the Company has a class of securities registered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80" w:lineRule="exact"/>
        <w:rPr>
          <w:rFonts w:ascii="Times New Roman" w:cs="Times New Roman" w:eastAsia="Times New Roman" w:hAnsi="Times New Roman"/>
          <w:sz w:val="22"/>
          <w:szCs w:val="22"/>
          <w:color w:val="auto"/>
        </w:rPr>
      </w:pPr>
    </w:p>
    <w:p>
      <w:pPr>
        <w:jc w:val="both"/>
        <w:ind w:firstLine="1952"/>
        <w:spacing w:after="0" w:line="259" w:lineRule="auto"/>
        <w:tabs>
          <w:tab w:leader="none" w:pos="2589" w:val="left"/>
        </w:tabs>
        <w:numPr>
          <w:ilvl w:val="1"/>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 in Ownership of a Substantial Portion of the Company’s Assets</w:t>
      </w:r>
      <w:r>
        <w:rPr>
          <w:rFonts w:ascii="Times New Roman" w:cs="Times New Roman" w:eastAsia="Times New Roman" w:hAnsi="Times New Roman"/>
          <w:sz w:val="21"/>
          <w:szCs w:val="21"/>
          <w:color w:val="auto"/>
        </w:rPr>
        <w:t>. A change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w:t>
      </w:r>
    </w:p>
    <w:p>
      <w:pPr>
        <w:spacing w:after="0" w:line="3" w:lineRule="exact"/>
        <w:rPr>
          <w:rFonts w:ascii="Times New Roman" w:cs="Times New Roman" w:eastAsia="Times New Roman" w:hAnsi="Times New Roman"/>
          <w:sz w:val="21"/>
          <w:szCs w:val="21"/>
          <w:color w:val="auto"/>
        </w:rPr>
      </w:pPr>
    </w:p>
    <w:p>
      <w:pPr>
        <w:jc w:val="both"/>
        <w:ind w:firstLine="8"/>
        <w:spacing w:after="0" w:line="245" w:lineRule="auto"/>
        <w:tabs>
          <w:tab w:leader="none" w:pos="284"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340" w:name="page341"/>
    <w:bookmarkEnd w:id="340"/>
    <w:p>
      <w:pPr>
        <w:jc w:val="both"/>
        <w:spacing w:after="0" w:line="250" w:lineRule="auto"/>
        <w:rPr>
          <w:sz w:val="20"/>
          <w:szCs w:val="20"/>
          <w:color w:val="auto"/>
        </w:rPr>
      </w:pPr>
      <w:r>
        <w:rPr>
          <w:rFonts w:ascii="Times New Roman" w:cs="Times New Roman" w:eastAsia="Times New Roman" w:hAnsi="Times New Roman"/>
          <w:sz w:val="22"/>
          <w:szCs w:val="22"/>
          <w:color w:val="auto"/>
        </w:rPr>
        <w:t>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1"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22"/>
          <w:szCs w:val="22"/>
          <w:color w:val="auto"/>
        </w:rPr>
        <w:t>For purposes of this Section 2.7,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jc w:val="both"/>
        <w:ind w:firstLine="1944"/>
        <w:spacing w:after="0" w:line="271"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Code Section 409A.</w:t>
      </w:r>
    </w:p>
    <w:p>
      <w:pPr>
        <w:spacing w:after="0" w:line="158"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22"/>
          <w:szCs w:val="22"/>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2.8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7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2.9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a committee of Directors or of other individuals satisfying Applicable Laws appointed by the Board, or by a duly authorized committee of the Board, in accordance with Section 4 hereof.</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means the Class A common stock of the Company.</w:t>
      </w:r>
    </w:p>
    <w:p>
      <w:pPr>
        <w:spacing w:after="0" w:line="22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means Seer, Inc., a Delaware corporation, or any successor thereto.</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2.12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8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Director</w:t>
      </w:r>
      <w:r>
        <w:rPr>
          <w:rFonts w:ascii="Times New Roman" w:cs="Times New Roman" w:eastAsia="Times New Roman" w:hAnsi="Times New Roman"/>
          <w:sz w:val="21"/>
          <w:szCs w:val="21"/>
          <w:color w:val="auto"/>
        </w:rPr>
        <w:t>” means a member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341" w:name="page342"/>
    <w:bookmarkEnd w:id="341"/>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2.14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2.15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6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2.16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 including the rules and regulations promulgated thereunder.</w:t>
      </w:r>
    </w:p>
    <w:p>
      <w:pPr>
        <w:spacing w:after="0" w:line="149"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21"/>
          <w:szCs w:val="21"/>
          <w:color w:val="auto"/>
        </w:rPr>
        <w:t>2.17 “</w:t>
      </w:r>
      <w:r>
        <w:rPr>
          <w:rFonts w:ascii="Times New Roman" w:cs="Times New Roman" w:eastAsia="Times New Roman" w:hAnsi="Times New Roman"/>
          <w:sz w:val="21"/>
          <w:szCs w:val="21"/>
          <w:b w:val="1"/>
          <w:bCs w:val="1"/>
          <w:color w:val="auto"/>
        </w:rPr>
        <w:t>Exchange Program</w:t>
      </w:r>
      <w:r>
        <w:rPr>
          <w:rFonts w:ascii="Times New Roman" w:cs="Times New Roman" w:eastAsia="Times New Roman" w:hAnsi="Times New Roman"/>
          <w:sz w:val="21"/>
          <w:szCs w:val="21"/>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spacing w:after="0" w:line="16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2.18 “</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means, as of any date and unless the Administrator determines otherwise, the value of Common Stock determined as follows:</w:t>
      </w:r>
    </w:p>
    <w:p>
      <w:pPr>
        <w:spacing w:after="0" w:line="153" w:lineRule="exact"/>
        <w:rPr>
          <w:sz w:val="20"/>
          <w:szCs w:val="20"/>
          <w:color w:val="auto"/>
        </w:rPr>
      </w:pPr>
    </w:p>
    <w:p>
      <w:pPr>
        <w:jc w:val="both"/>
        <w:ind w:firstLine="1952"/>
        <w:spacing w:after="0" w:line="248" w:lineRule="auto"/>
        <w:tabs>
          <w:tab w:leader="none" w:pos="2589"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86" w:lineRule="exact"/>
        <w:rPr>
          <w:rFonts w:ascii="Times New Roman" w:cs="Times New Roman" w:eastAsia="Times New Roman" w:hAnsi="Times New Roman"/>
          <w:sz w:val="22"/>
          <w:szCs w:val="22"/>
          <w:color w:val="auto"/>
        </w:rPr>
      </w:pPr>
    </w:p>
    <w:p>
      <w:pPr>
        <w:jc w:val="both"/>
        <w:ind w:firstLine="1952"/>
        <w:spacing w:after="0" w:line="268" w:lineRule="auto"/>
        <w:tabs>
          <w:tab w:leader="none" w:pos="2587"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21"/>
          <w:szCs w:val="21"/>
          <w:i w:val="1"/>
          <w:iCs w:val="1"/>
          <w:color w:val="auto"/>
        </w:rPr>
        <w:t>The Wall Street Journal</w:t>
      </w:r>
      <w:r>
        <w:rPr>
          <w:rFonts w:ascii="Times New Roman" w:cs="Times New Roman" w:eastAsia="Times New Roman" w:hAnsi="Times New Roman"/>
          <w:sz w:val="21"/>
          <w:szCs w:val="21"/>
          <w:color w:val="auto"/>
        </w:rPr>
        <w:t xml:space="preserve"> or such other source as the Administrator deems reliable;</w:t>
      </w:r>
    </w:p>
    <w:p>
      <w:pPr>
        <w:spacing w:after="0" w:line="163" w:lineRule="exact"/>
        <w:rPr>
          <w:rFonts w:ascii="Times New Roman" w:cs="Times New Roman" w:eastAsia="Times New Roman" w:hAnsi="Times New Roman"/>
          <w:sz w:val="21"/>
          <w:szCs w:val="21"/>
          <w:color w:val="auto"/>
        </w:rPr>
      </w:pPr>
    </w:p>
    <w:p>
      <w:pPr>
        <w:jc w:val="both"/>
        <w:ind w:right="20" w:firstLine="1952"/>
        <w:spacing w:after="0" w:line="257" w:lineRule="auto"/>
        <w:tabs>
          <w:tab w:leader="none" w:pos="2589"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any Awards granted on the Registration Date, the Fair Market Value will be the initial price to the public as set forth in the final prospectus included within the registration statement on Form S-1 filed with the Securities and Exchange Commission for the initial public offering of the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8" w:right="339" w:bottom="1440" w:gutter="0" w:footer="0" w:header="0"/>
        </w:sectPr>
      </w:pPr>
    </w:p>
    <w:bookmarkStart w:id="342" w:name="page343"/>
    <w:bookmarkEnd w:id="342"/>
    <w:p>
      <w:pPr>
        <w:ind w:firstLine="1952"/>
        <w:spacing w:after="0" w:line="271" w:lineRule="auto"/>
        <w:tabs>
          <w:tab w:leader="none" w:pos="2587"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 established market for the Common Stock, the Fair Market Value will be determined in good faith by the Administrator.</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7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Fiscal Year</w:t>
      </w:r>
      <w:r>
        <w:rPr>
          <w:rFonts w:ascii="Times New Roman" w:cs="Times New Roman" w:eastAsia="Times New Roman" w:hAnsi="Times New Roman"/>
          <w:sz w:val="21"/>
          <w:szCs w:val="21"/>
          <w:color w:val="auto"/>
        </w:rPr>
        <w:t>” means the fiscal year of the Company.</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2.20 “</w:t>
      </w:r>
      <w:r>
        <w:rPr>
          <w:rFonts w:ascii="Times New Roman" w:cs="Times New Roman" w:eastAsia="Times New Roman" w:hAnsi="Times New Roman"/>
          <w:sz w:val="22"/>
          <w:szCs w:val="22"/>
          <w:b w:val="1"/>
          <w:bCs w:val="1"/>
          <w:color w:val="auto"/>
        </w:rPr>
        <w:t>Incentive Stock Option</w:t>
      </w:r>
      <w:r>
        <w:rPr>
          <w:rFonts w:ascii="Times New Roman" w:cs="Times New Roman" w:eastAsia="Times New Roman" w:hAnsi="Times New Roman"/>
          <w:sz w:val="22"/>
          <w:szCs w:val="22"/>
          <w:color w:val="auto"/>
        </w:rPr>
        <w:t>” means an Option that by its terms qualifies and is otherwise intended to qualify as an incentive stock option within the meaning of Code Section 422 and the regulations promulgated thereunder.</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Inside Director</w:t>
      </w:r>
      <w:r>
        <w:rPr>
          <w:rFonts w:ascii="Times New Roman" w:cs="Times New Roman" w:eastAsia="Times New Roman" w:hAnsi="Times New Roman"/>
          <w:sz w:val="21"/>
          <w:szCs w:val="21"/>
          <w:color w:val="auto"/>
        </w:rPr>
        <w:t>” means a Director who is an Employee.</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2.22 “</w:t>
      </w:r>
      <w:r>
        <w:rPr>
          <w:rFonts w:ascii="Times New Roman" w:cs="Times New Roman" w:eastAsia="Times New Roman" w:hAnsi="Times New Roman"/>
          <w:sz w:val="22"/>
          <w:szCs w:val="22"/>
          <w:b w:val="1"/>
          <w:bCs w:val="1"/>
          <w:color w:val="auto"/>
        </w:rPr>
        <w:t>Nonstatutory Stock Option</w:t>
      </w:r>
      <w:r>
        <w:rPr>
          <w:rFonts w:ascii="Times New Roman" w:cs="Times New Roman" w:eastAsia="Times New Roman" w:hAnsi="Times New Roman"/>
          <w:sz w:val="22"/>
          <w:szCs w:val="22"/>
          <w:color w:val="auto"/>
        </w:rPr>
        <w:t>” means an Option that by its terms does not qualify or is not intended to qualify as an Incentive Stock Option.</w:t>
      </w:r>
    </w:p>
    <w:p>
      <w:pPr>
        <w:spacing w:after="0" w:line="149"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2.23 “</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a person who is an officer of the Company within the meaning of Section 16 of the Exchange Act and the rules and regulations promulgated thereunder.</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means a stock option granted pursuant to the Plan.</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Outside Director</w:t>
      </w:r>
      <w:r>
        <w:rPr>
          <w:rFonts w:ascii="Times New Roman" w:cs="Times New Roman" w:eastAsia="Times New Roman" w:hAnsi="Times New Roman"/>
          <w:sz w:val="21"/>
          <w:szCs w:val="21"/>
          <w:color w:val="auto"/>
        </w:rPr>
        <w:t>” means a Director who is not an Employee.</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2.26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means a “parent corporation,” whether now or hereafter existing, as defined in Code Section 424(e).</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means the holder of an outstanding Award.</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2.28 “</w:t>
      </w:r>
      <w:r>
        <w:rPr>
          <w:rFonts w:ascii="Times New Roman" w:cs="Times New Roman" w:eastAsia="Times New Roman" w:hAnsi="Times New Roman"/>
          <w:sz w:val="22"/>
          <w:szCs w:val="22"/>
          <w:b w:val="1"/>
          <w:bCs w:val="1"/>
          <w:color w:val="auto"/>
        </w:rPr>
        <w:t>Performance Awards</w:t>
      </w:r>
      <w:r>
        <w:rPr>
          <w:rFonts w:ascii="Times New Roman" w:cs="Times New Roman" w:eastAsia="Times New Roman" w:hAnsi="Times New Roman"/>
          <w:sz w:val="22"/>
          <w:szCs w:val="22"/>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Performance Period</w:t>
      </w:r>
      <w:r>
        <w:rPr>
          <w:rFonts w:ascii="Times New Roman" w:cs="Times New Roman" w:eastAsia="Times New Roman" w:hAnsi="Times New Roman"/>
          <w:sz w:val="21"/>
          <w:szCs w:val="21"/>
          <w:color w:val="auto"/>
        </w:rPr>
        <w:t>” means Performance Period as defined in Section 10.1.</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2.30 “</w:t>
      </w:r>
      <w:r>
        <w:rPr>
          <w:rFonts w:ascii="Times New Roman" w:cs="Times New Roman" w:eastAsia="Times New Roman" w:hAnsi="Times New Roman"/>
          <w:sz w:val="22"/>
          <w:szCs w:val="22"/>
          <w:b w:val="1"/>
          <w:bCs w:val="1"/>
          <w:color w:val="auto"/>
        </w:rPr>
        <w:t>Period of Restriction</w:t>
      </w:r>
      <w:r>
        <w:rPr>
          <w:rFonts w:ascii="Times New Roman" w:cs="Times New Roman" w:eastAsia="Times New Roman" w:hAnsi="Times New Roman"/>
          <w:sz w:val="22"/>
          <w:szCs w:val="22"/>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343" w:name="page344"/>
    <w:bookmarkEnd w:id="343"/>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2.31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means this 2020 Equity Incentive Plan.</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2.32 “</w:t>
      </w:r>
      <w:r>
        <w:rPr>
          <w:rFonts w:ascii="Times New Roman" w:cs="Times New Roman" w:eastAsia="Times New Roman" w:hAnsi="Times New Roman"/>
          <w:sz w:val="22"/>
          <w:szCs w:val="22"/>
          <w:b w:val="1"/>
          <w:bCs w:val="1"/>
          <w:color w:val="auto"/>
        </w:rPr>
        <w:t>Registration Date</w:t>
      </w:r>
      <w:r>
        <w:rPr>
          <w:rFonts w:ascii="Times New Roman" w:cs="Times New Roman" w:eastAsia="Times New Roman" w:hAnsi="Times New Roman"/>
          <w:sz w:val="22"/>
          <w:szCs w:val="22"/>
          <w:color w:val="auto"/>
        </w:rPr>
        <w:t>” means the effective date of the first registration statement that is filed by the Company and declared effective pursuant to Section 12(b) of the Exchange Act, with respect to any class of the Company’s securities.</w:t>
      </w:r>
    </w:p>
    <w:p>
      <w:pPr>
        <w:spacing w:after="0" w:line="16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2.33 “</w:t>
      </w: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 means Shares issued pursuant to an Award of Restricted Stock under Section 8 of the Plan, or issued pursuant to the early exercise of an Option.</w:t>
      </w:r>
    </w:p>
    <w:p>
      <w:pPr>
        <w:spacing w:after="0" w:line="14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2.34 “</w:t>
      </w:r>
      <w:r>
        <w:rPr>
          <w:rFonts w:ascii="Times New Roman" w:cs="Times New Roman" w:eastAsia="Times New Roman" w:hAnsi="Times New Roman"/>
          <w:sz w:val="22"/>
          <w:szCs w:val="22"/>
          <w:b w:val="1"/>
          <w:bCs w:val="1"/>
          <w:color w:val="auto"/>
        </w:rPr>
        <w:t>Restricted Stock Unit</w:t>
      </w:r>
      <w:r>
        <w:rPr>
          <w:rFonts w:ascii="Times New Roman" w:cs="Times New Roman" w:eastAsia="Times New Roman" w:hAnsi="Times New Roman"/>
          <w:sz w:val="22"/>
          <w:szCs w:val="22"/>
          <w:color w:val="auto"/>
        </w:rPr>
        <w:t>” means a bookkeeping entry representing an amount equal to the Fair Market Value of one Share, granted pursuant to Section 9. Each Restricted Stock Unit represents an unfunded and unsecured obligation of the Company.</w:t>
      </w:r>
    </w:p>
    <w:p>
      <w:pPr>
        <w:spacing w:after="0" w:line="166"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2.35 “</w:t>
      </w:r>
      <w:r>
        <w:rPr>
          <w:rFonts w:ascii="Times New Roman" w:cs="Times New Roman" w:eastAsia="Times New Roman" w:hAnsi="Times New Roman"/>
          <w:sz w:val="22"/>
          <w:szCs w:val="22"/>
          <w:b w:val="1"/>
          <w:bCs w:val="1"/>
          <w:color w:val="auto"/>
        </w:rPr>
        <w:t>Rule 16b-3</w:t>
      </w:r>
      <w:r>
        <w:rPr>
          <w:rFonts w:ascii="Times New Roman" w:cs="Times New Roman" w:eastAsia="Times New Roman" w:hAnsi="Times New Roman"/>
          <w:sz w:val="22"/>
          <w:szCs w:val="22"/>
          <w:color w:val="auto"/>
        </w:rPr>
        <w:t>” means Rule 16b-3 of the Exchange Act or any successor to Rule 16b-3, as in effect when discretion is being exercised with respect to the Plan.</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Section 16b</w:t>
      </w:r>
      <w:r>
        <w:rPr>
          <w:rFonts w:ascii="Times New Roman" w:cs="Times New Roman" w:eastAsia="Times New Roman" w:hAnsi="Times New Roman"/>
          <w:sz w:val="21"/>
          <w:szCs w:val="21"/>
          <w:color w:val="auto"/>
        </w:rPr>
        <w:t>” means Section 16(b) of the Exchange Act.</w:t>
      </w:r>
    </w:p>
    <w:p>
      <w:pPr>
        <w:spacing w:after="0" w:line="220"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2.37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Code Section 409A and the U.S. Treasury Regulations and guidance thereunder, and any applicable state law equivalent, as each may be promulgated, amended or modified from time to time.</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2.38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 including the rules and regulations promulgated thereunder.</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Service Provider</w:t>
      </w:r>
      <w:r>
        <w:rPr>
          <w:rFonts w:ascii="Times New Roman" w:cs="Times New Roman" w:eastAsia="Times New Roman" w:hAnsi="Times New Roman"/>
          <w:sz w:val="21"/>
          <w:szCs w:val="21"/>
          <w:color w:val="auto"/>
        </w:rPr>
        <w:t>” means an Employee, Director or Consultant.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Share</w:t>
      </w:r>
      <w:r>
        <w:rPr>
          <w:rFonts w:ascii="Times New Roman" w:cs="Times New Roman" w:eastAsia="Times New Roman" w:hAnsi="Times New Roman"/>
          <w:sz w:val="21"/>
          <w:szCs w:val="21"/>
          <w:color w:val="auto"/>
        </w:rPr>
        <w:t>” means a share of the Common Stock, as adjusted in accordance with Section 15 of the Plan.</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2.41 “</w:t>
      </w:r>
      <w:r>
        <w:rPr>
          <w:rFonts w:ascii="Times New Roman" w:cs="Times New Roman" w:eastAsia="Times New Roman" w:hAnsi="Times New Roman"/>
          <w:sz w:val="22"/>
          <w:szCs w:val="22"/>
          <w:b w:val="1"/>
          <w:bCs w:val="1"/>
          <w:color w:val="auto"/>
        </w:rPr>
        <w:t>Stock Appreciation Right</w:t>
      </w:r>
      <w:r>
        <w:rPr>
          <w:rFonts w:ascii="Times New Roman" w:cs="Times New Roman" w:eastAsia="Times New Roman" w:hAnsi="Times New Roman"/>
          <w:sz w:val="22"/>
          <w:szCs w:val="22"/>
          <w:color w:val="auto"/>
        </w:rPr>
        <w:t>” means an Award, granted alone or in connection with an Option, that pursuant to Section 7 is designated as a Stock Appreciation Right.</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2.42</w:t>
        <w:tab/>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 “subsidiary corporation,” whether now or hereafter existing, as defined in Code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424(f).</w:t>
      </w:r>
    </w:p>
    <w:p>
      <w:pPr>
        <w:spacing w:after="0" w:line="19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2.43 “</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6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2.44 “</w:t>
      </w:r>
      <w:r>
        <w:rPr>
          <w:rFonts w:ascii="Times New Roman" w:cs="Times New Roman" w:eastAsia="Times New Roman" w:hAnsi="Times New Roman"/>
          <w:sz w:val="22"/>
          <w:szCs w:val="22"/>
          <w:b w:val="1"/>
          <w:bCs w:val="1"/>
          <w:color w:val="auto"/>
        </w:rPr>
        <w:t>U.S. Treasury Regulations</w:t>
      </w:r>
      <w:r>
        <w:rPr>
          <w:rFonts w:ascii="Times New Roman" w:cs="Times New Roman" w:eastAsia="Times New Roman" w:hAnsi="Times New Roman"/>
          <w:sz w:val="22"/>
          <w:szCs w:val="22"/>
          <w:color w:val="auto"/>
        </w:rPr>
        <w:t>” means the Treasury Regulations of the Code. Reference to a specific Treasury Regulation or Section of the Code will include such Treasury Regulation or Section, any valid regulation promulgated under such Section,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8" w:right="33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21"/>
          <w:szCs w:val="21"/>
          <w:color w:val="auto"/>
        </w:rPr>
        <w:t>comparable provision of any future legislation or regulation amending, supplementing or superseding such Section or regulation.</w:t>
      </w:r>
    </w:p>
    <w:p>
      <w:pPr>
        <w:spacing w:after="0" w:line="227" w:lineRule="exact"/>
        <w:rPr>
          <w:sz w:val="20"/>
          <w:szCs w:val="20"/>
          <w:color w:val="auto"/>
        </w:rPr>
      </w:pPr>
    </w:p>
    <w:p>
      <w:pPr>
        <w:ind w:left="1300" w:hanging="644"/>
        <w:spacing w:after="0"/>
        <w:tabs>
          <w:tab w:leader="none" w:pos="130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Subject to the Plan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b w:val="1"/>
          <w:bCs w:val="1"/>
          <w:color w:val="auto"/>
        </w:rPr>
        <w:t>Stock Subject to the Plan</w:t>
      </w:r>
      <w:r>
        <w:rPr>
          <w:rFonts w:ascii="Times New Roman" w:cs="Times New Roman" w:eastAsia="Times New Roman" w:hAnsi="Times New Roman"/>
          <w:sz w:val="21"/>
          <w:szCs w:val="21"/>
          <w:color w:val="auto"/>
        </w:rPr>
        <w:t>. Subject to adjustment upon changes in capitalization of the Company as provided in Section 15 and the automatic increase set forth in Section 3.2, the maximum aggregate number of Shares that may be subject to Awards and sold under the Plan will be equal to (a) 4,819,859 Shares plus (b) (i) a number of Shares equal to any shares of the Company’s common stock (whether Class A common stock, Class B common stock or other class of Company common stock) subject to awards granted under the Company’s 2020 RSU Equity Incentive Plan or 2017 Stock Incentive Plan (each, a “</w:t>
      </w:r>
      <w:r>
        <w:rPr>
          <w:rFonts w:ascii="Times New Roman" w:cs="Times New Roman" w:eastAsia="Times New Roman" w:hAnsi="Times New Roman"/>
          <w:sz w:val="21"/>
          <w:szCs w:val="21"/>
          <w:b w:val="1"/>
          <w:bCs w:val="1"/>
          <w:color w:val="auto"/>
        </w:rPr>
        <w:t>Prior Plan</w:t>
      </w:r>
      <w:r>
        <w:rPr>
          <w:rFonts w:ascii="Times New Roman" w:cs="Times New Roman" w:eastAsia="Times New Roman" w:hAnsi="Times New Roman"/>
          <w:sz w:val="21"/>
          <w:szCs w:val="21"/>
          <w:color w:val="auto"/>
        </w:rPr>
        <w:t>”) that, after the date the applicable Prior Plan is terminated, are cancelled, expire or otherwise terminate without having been exercised in full, are tendered to or withheld by the Company for payment of an exercise price or for tax withholding obligations, or are forfeited to or repurchased by the Company due to failure to vest, and (ii) a number of Shares equal to that number of shares of the Company’s common stock (whether Class A common stock, Class B common stock or other class of Company common stock) that, as of immediately prior to the termination of each Prior Plan, have been reserved but not issued pursuant to any awards granted under each Prior Plan and are not subject to any awards thereunder, with the maximum number of Shares to be added to the Plan pursuant to clause (b) equal to 14,687,016 Shares. In addition, Shares may become available for issuance under Sections 3.2 and 3.3. The Shares may be authorized but unissued, or reacquired Common Stock.</w:t>
      </w:r>
    </w:p>
    <w:p>
      <w:pPr>
        <w:spacing w:after="0" w:line="17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Automatic Share Reserve Increase</w:t>
      </w:r>
      <w:r>
        <w:rPr>
          <w:rFonts w:ascii="Times New Roman" w:cs="Times New Roman" w:eastAsia="Times New Roman" w:hAnsi="Times New Roman"/>
          <w:sz w:val="22"/>
          <w:szCs w:val="22"/>
          <w:color w:val="auto"/>
        </w:rPr>
        <w:t>. Subject to adjustment upon changes in capitalization of the Company as provided in Section 15, the number of Shares available for issuance under the Plan will be increased on the first day of each Fiscal Year beginning with the 2021 Fiscal Year, in an amount equal to the least of (a) 9,037,149 Shares, (b) a number of Shares equal to five percent (5%) of the total number of shares of all classes of common stock of the Company (whether Class A common stock, Class B common stock, or other class of Company common stock) outstanding on the last day of the immediately preceding Fiscal Year, or (c) such number of Shares determined by the Administrator no later than the last day of the immediately preceding Fiscal Year.</w:t>
      </w:r>
    </w:p>
    <w:p>
      <w:pPr>
        <w:spacing w:after="0" w:line="182"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color w:val="auto"/>
        </w:rPr>
        <w:t>Lapsed Awards</w:t>
      </w:r>
      <w:r>
        <w:rPr>
          <w:rFonts w:ascii="Times New Roman" w:cs="Times New Roman" w:eastAsia="Times New Roman" w:hAnsi="Times New Roman"/>
          <w:sz w:val="22"/>
          <w:szCs w:val="22"/>
          <w:color w:val="auto"/>
        </w:rPr>
        <w:t>.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345" w:name="page346"/>
    <w:bookmarkEnd w:id="345"/>
    <w:p>
      <w:pPr>
        <w:jc w:val="both"/>
        <w:spacing w:after="0" w:line="246" w:lineRule="auto"/>
        <w:rPr>
          <w:sz w:val="20"/>
          <w:szCs w:val="20"/>
          <w:color w:val="auto"/>
        </w:rPr>
      </w:pPr>
      <w:r>
        <w:rPr>
          <w:rFonts w:ascii="Times New Roman" w:cs="Times New Roman" w:eastAsia="Times New Roman" w:hAnsi="Times New Roman"/>
          <w:sz w:val="22"/>
          <w:szCs w:val="22"/>
          <w:color w:val="auto"/>
        </w:rPr>
        <w:t>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Sections 3.2 and 3.3.</w:t>
      </w:r>
    </w:p>
    <w:p>
      <w:pPr>
        <w:spacing w:after="0" w:line="187"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color w:val="auto"/>
        </w:rPr>
        <w:t>Share Reserve</w:t>
      </w:r>
      <w:r>
        <w:rPr>
          <w:rFonts w:ascii="Times New Roman" w:cs="Times New Roman" w:eastAsia="Times New Roman" w:hAnsi="Times New Roman"/>
          <w:sz w:val="22"/>
          <w:szCs w:val="22"/>
          <w:color w:val="auto"/>
        </w:rPr>
        <w:t>. The Company, during the term of this Plan, will at all times reserve and keep available such number of Shares as will be sufficient to satisfy the requirements of the Plan.</w:t>
      </w:r>
    </w:p>
    <w:p>
      <w:pPr>
        <w:spacing w:after="0" w:line="149" w:lineRule="exact"/>
        <w:rPr>
          <w:sz w:val="20"/>
          <w:szCs w:val="20"/>
          <w:color w:val="auto"/>
        </w:rPr>
      </w:pPr>
    </w:p>
    <w:p>
      <w:pPr>
        <w:ind w:left="1300" w:right="7420" w:hanging="644"/>
        <w:spacing w:after="0" w:line="448" w:lineRule="auto"/>
        <w:tabs>
          <w:tab w:leader="none" w:pos="130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Administration of the Plan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Procedure</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1944"/>
        <w:spacing w:after="0" w:line="275"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b w:val="1"/>
          <w:bCs w:val="1"/>
          <w:color w:val="auto"/>
        </w:rPr>
        <w:t>Multiple Administrative Bodies</w:t>
      </w:r>
      <w:r>
        <w:rPr>
          <w:rFonts w:ascii="Times New Roman" w:cs="Times New Roman" w:eastAsia="Times New Roman" w:hAnsi="Times New Roman"/>
          <w:sz w:val="22"/>
          <w:szCs w:val="22"/>
          <w:color w:val="auto"/>
        </w:rPr>
        <w:t>. Different Committees with respect to different groups of Service Providers may administer the Plan.</w:t>
      </w:r>
    </w:p>
    <w:p>
      <w:pPr>
        <w:spacing w:after="0" w:line="149" w:lineRule="exact"/>
        <w:rPr>
          <w:sz w:val="20"/>
          <w:szCs w:val="20"/>
          <w:color w:val="auto"/>
        </w:rPr>
      </w:pPr>
    </w:p>
    <w:p>
      <w:pPr>
        <w:jc w:val="both"/>
        <w:ind w:firstLine="1944"/>
        <w:spacing w:after="0" w:line="275"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b w:val="1"/>
          <w:bCs w:val="1"/>
          <w:color w:val="auto"/>
        </w:rPr>
        <w:t>Rule 16b-3</w:t>
      </w:r>
      <w:r>
        <w:rPr>
          <w:rFonts w:ascii="Times New Roman" w:cs="Times New Roman" w:eastAsia="Times New Roman" w:hAnsi="Times New Roman"/>
          <w:sz w:val="22"/>
          <w:szCs w:val="22"/>
          <w:color w:val="auto"/>
        </w:rPr>
        <w:t>. To the extent desirable to qualify transactions hereunder as exempt under Rule 16b-3, the transactions contemplated hereunder will be structured to satisfy the requirements for exemption under Rule 16b-3.</w:t>
      </w:r>
    </w:p>
    <w:p>
      <w:pPr>
        <w:spacing w:after="0" w:line="149" w:lineRule="exact"/>
        <w:rPr>
          <w:sz w:val="20"/>
          <w:szCs w:val="20"/>
          <w:color w:val="auto"/>
        </w:rPr>
      </w:pPr>
    </w:p>
    <w:p>
      <w:pPr>
        <w:jc w:val="both"/>
        <w:ind w:firstLine="1944"/>
        <w:spacing w:after="0" w:line="275"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b w:val="1"/>
          <w:bCs w:val="1"/>
          <w:color w:val="auto"/>
        </w:rPr>
        <w:t>Other Administration</w:t>
      </w:r>
      <w:r>
        <w:rPr>
          <w:rFonts w:ascii="Times New Roman" w:cs="Times New Roman" w:eastAsia="Times New Roman" w:hAnsi="Times New Roman"/>
          <w:sz w:val="22"/>
          <w:szCs w:val="22"/>
          <w:color w:val="auto"/>
        </w:rPr>
        <w:t>. Other than as provided above, the Plan will be administered by (A) the Board or (B) a Committee, which Committee will be constituted to comply with Applicable Laws.</w:t>
      </w:r>
    </w:p>
    <w:p>
      <w:pPr>
        <w:spacing w:after="0" w:line="14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Powers of the Administrator</w:t>
      </w:r>
      <w:r>
        <w:rPr>
          <w:rFonts w:ascii="Times New Roman" w:cs="Times New Roman" w:eastAsia="Times New Roman" w:hAnsi="Times New Roman"/>
          <w:sz w:val="22"/>
          <w:szCs w:val="22"/>
          <w:color w:val="auto"/>
        </w:rPr>
        <w:t>. Subject to the provisions of the Plan, and in the case of a Committee, subject to the specific duties delegated by the Board to such Committee, the Administrator will have the authority, in its discretion:</w:t>
      </w:r>
    </w:p>
    <w:p>
      <w:pPr>
        <w:spacing w:after="0" w:line="200" w:lineRule="exact"/>
        <w:rPr>
          <w:sz w:val="20"/>
          <w:szCs w:val="20"/>
          <w:color w:val="auto"/>
        </w:rPr>
      </w:pPr>
    </w:p>
    <w:p>
      <w:pPr>
        <w:spacing w:after="0" w:line="231" w:lineRule="exact"/>
        <w:rPr>
          <w:sz w:val="20"/>
          <w:szCs w:val="20"/>
          <w:color w:val="auto"/>
        </w:rPr>
      </w:pPr>
    </w:p>
    <w:p>
      <w:pPr>
        <w:ind w:left="2600" w:hanging="648"/>
        <w:spacing w:after="0"/>
        <w:tabs>
          <w:tab w:leader="none" w:pos="260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Fair Market Value;</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the Service Providers to whom Awards may be granted hereunder;</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number of Shares or dollar amounts to be covered by each Award granted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hereunder;</w:t>
      </w:r>
    </w:p>
    <w:p>
      <w:pPr>
        <w:spacing w:after="0" w:line="196" w:lineRule="exact"/>
        <w:rPr>
          <w:sz w:val="20"/>
          <w:szCs w:val="20"/>
          <w:color w:val="auto"/>
        </w:rPr>
      </w:pPr>
    </w:p>
    <w:p>
      <w:pPr>
        <w:ind w:left="2600" w:hanging="648"/>
        <w:spacing w:after="0"/>
        <w:tabs>
          <w:tab w:leader="none" w:pos="260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forms of Award Agreements for use under the Plan;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5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346" w:name="page347"/>
    <w:bookmarkEnd w:id="346"/>
    <w:p>
      <w:pPr>
        <w:jc w:val="both"/>
        <w:ind w:firstLine="1952"/>
        <w:spacing w:after="0" w:line="247" w:lineRule="auto"/>
        <w:tabs>
          <w:tab w:leader="none" w:pos="2589"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185" w:lineRule="exact"/>
        <w:rPr>
          <w:rFonts w:ascii="Times New Roman" w:cs="Times New Roman" w:eastAsia="Times New Roman" w:hAnsi="Times New Roman"/>
          <w:sz w:val="22"/>
          <w:szCs w:val="22"/>
          <w:color w:val="auto"/>
        </w:rPr>
      </w:pPr>
    </w:p>
    <w:p>
      <w:pPr>
        <w:ind w:firstLine="1952"/>
        <w:spacing w:after="0" w:line="271" w:lineRule="auto"/>
        <w:tabs>
          <w:tab w:leader="none" w:pos="2592"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institute and determine the terms and conditions of an Exchange Program, including, subject to Section 20.3, to unilaterally implement an Exchange Program without the consent of the applicable Award holder;</w:t>
      </w:r>
    </w:p>
    <w:p>
      <w:pPr>
        <w:spacing w:after="0" w:line="15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terms of the Plan and Awards granted pursuant to the Plan;</w:t>
      </w:r>
    </w:p>
    <w:p>
      <w:pPr>
        <w:spacing w:after="0" w:line="219"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prescribe, amend and rescind rules and regulations relating to the Plan, including rules and regulations relating to sub-plans established for the purpose of satisfying applicable non-U.S. laws or for qualifying for favorable tax treatment under applicable non-U.S. laws;</w:t>
      </w:r>
    </w:p>
    <w:p>
      <w:pPr>
        <w:spacing w:after="0" w:line="172"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spacing w:after="0" w:line="17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Participants to satisfy withholding tax obligations in a manner prescribed in Section 16;</w:t>
      </w:r>
    </w:p>
    <w:p>
      <w:pPr>
        <w:spacing w:after="0" w:line="219"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any person to execute on behalf of the Company any instrument required to effect the grant of an Award previously granted by the Administrator;</w:t>
      </w:r>
    </w:p>
    <w:p>
      <w:pPr>
        <w:spacing w:after="0" w:line="157"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a Participant to defer the receipt of the payment of cash or the delivery of Shares that otherwise would be due to such Participant under an Award; and</w:t>
      </w:r>
    </w:p>
    <w:p>
      <w:pPr>
        <w:spacing w:after="0" w:line="15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all other determinations deemed necessary or advisable for administering the Plan.</w:t>
      </w:r>
    </w:p>
    <w:p>
      <w:pPr>
        <w:spacing w:after="0" w:line="21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b w:val="1"/>
          <w:bCs w:val="1"/>
          <w:color w:val="auto"/>
        </w:rPr>
        <w:t>Effect of Administrator’s Decision</w:t>
      </w:r>
      <w:r>
        <w:rPr>
          <w:rFonts w:ascii="Times New Roman" w:cs="Times New Roman" w:eastAsia="Times New Roman" w:hAnsi="Times New Roman"/>
          <w:sz w:val="22"/>
          <w:szCs w:val="22"/>
          <w:color w:val="auto"/>
        </w:rPr>
        <w:t>. The Administrator’s decisions, determinations and interpretations will be final and binding on all Participants and any other holders of Awards and will be given the maximum deference permitted by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347" w:name="page348"/>
    <w:bookmarkEnd w:id="347"/>
    <w:p>
      <w:pPr>
        <w:ind w:firstLine="656"/>
        <w:spacing w:after="0" w:line="275" w:lineRule="auto"/>
        <w:tabs>
          <w:tab w:leader="none" w:pos="1296"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Eligibility</w:t>
      </w:r>
      <w:r>
        <w:rPr>
          <w:rFonts w:ascii="Times New Roman" w:cs="Times New Roman" w:eastAsia="Times New Roman" w:hAnsi="Times New Roman"/>
          <w:sz w:val="22"/>
          <w:szCs w:val="22"/>
          <w:color w:val="auto"/>
        </w:rPr>
        <w:t>. Nonstatutory Stock Options, Stock Appreciation Rights, Restricted Stock, Restricted Stock Units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Awards may be granted to Service Providers. Incentive Stock Options may be granted only to Employees.</w:t>
      </w:r>
    </w:p>
    <w:p>
      <w:pPr>
        <w:spacing w:after="0" w:line="14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Options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b w:val="1"/>
          <w:bCs w:val="1"/>
          <w:color w:val="auto"/>
        </w:rPr>
        <w:t>Grant of Options</w:t>
      </w:r>
      <w:r>
        <w:rPr>
          <w:rFonts w:ascii="Times New Roman" w:cs="Times New Roman" w:eastAsia="Times New Roman" w:hAnsi="Times New Roman"/>
          <w:sz w:val="21"/>
          <w:szCs w:val="21"/>
          <w:color w:val="auto"/>
        </w:rPr>
        <w:t>. Subject to the terms and provisions of the Plan, the Administrator, at any time and from time to time, may grant Options to Service Providers in such amounts as the Administrator, in its sole discretion, will determine.</w:t>
      </w:r>
    </w:p>
    <w:p>
      <w:pPr>
        <w:spacing w:after="0" w:line="12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Option Agreement</w:t>
      </w:r>
      <w:r>
        <w:rPr>
          <w:rFonts w:ascii="Times New Roman" w:cs="Times New Roman" w:eastAsia="Times New Roman" w:hAnsi="Times New Roman"/>
          <w:sz w:val="22"/>
          <w:szCs w:val="22"/>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6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Limitations</w:t>
      </w:r>
      <w:r>
        <w:rPr>
          <w:rFonts w:ascii="Times New Roman" w:cs="Times New Roman" w:eastAsia="Times New Roman" w:hAnsi="Times New Roman"/>
          <w:sz w:val="22"/>
          <w:szCs w:val="22"/>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8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b w:val="1"/>
          <w:bCs w:val="1"/>
          <w:color w:val="auto"/>
        </w:rPr>
        <w:t>Term of Option</w:t>
      </w:r>
      <w:r>
        <w:rPr>
          <w:rFonts w:ascii="Times New Roman" w:cs="Times New Roman" w:eastAsia="Times New Roman" w:hAnsi="Times New Roman"/>
          <w:sz w:val="22"/>
          <w:szCs w:val="22"/>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7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b w:val="1"/>
          <w:bCs w:val="1"/>
          <w:color w:val="auto"/>
        </w:rPr>
        <w:t>Option Exercise Price and Consideration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44"/>
        <w:spacing w:after="0" w:line="248" w:lineRule="auto"/>
        <w:rPr>
          <w:sz w:val="20"/>
          <w:szCs w:val="20"/>
          <w:color w:val="auto"/>
        </w:rPr>
      </w:pPr>
      <w:r>
        <w:rPr>
          <w:rFonts w:ascii="Times New Roman" w:cs="Times New Roman" w:eastAsia="Times New Roman" w:hAnsi="Times New Roman"/>
          <w:sz w:val="22"/>
          <w:szCs w:val="22"/>
          <w:color w:val="auto"/>
        </w:rPr>
        <w:t xml:space="preserve">6.5.1 </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18" w:right="33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22"/>
          <w:szCs w:val="22"/>
          <w:color w:val="auto"/>
        </w:rPr>
        <w:t>Share on the date of grant pursuant to a transaction described in, and in a manner consistent with, Code Section 424(a).</w:t>
      </w:r>
    </w:p>
    <w:p>
      <w:pPr>
        <w:spacing w:after="0" w:line="216"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22"/>
          <w:szCs w:val="22"/>
          <w:color w:val="auto"/>
        </w:rPr>
        <w:t xml:space="preserve">6.5.2 </w:t>
      </w:r>
      <w:r>
        <w:rPr>
          <w:rFonts w:ascii="Times New Roman" w:cs="Times New Roman" w:eastAsia="Times New Roman" w:hAnsi="Times New Roman"/>
          <w:sz w:val="22"/>
          <w:szCs w:val="22"/>
          <w:b w:val="1"/>
          <w:bCs w:val="1"/>
          <w:color w:val="auto"/>
        </w:rPr>
        <w:t>Waiting Period and Exercise Dates</w:t>
      </w:r>
      <w:r>
        <w:rPr>
          <w:rFonts w:ascii="Times New Roman" w:cs="Times New Roman" w:eastAsia="Times New Roman" w:hAnsi="Times New Roman"/>
          <w:sz w:val="22"/>
          <w:szCs w:val="22"/>
          <w:color w:val="auto"/>
        </w:rPr>
        <w:t>. At the time an Option is granted, the Administrator will fix the period within which the Option may be exercised and will determine any conditions that must be satisfied before the Option may be exercised.</w:t>
      </w:r>
    </w:p>
    <w:p>
      <w:pPr>
        <w:spacing w:after="0" w:line="166" w:lineRule="exact"/>
        <w:rPr>
          <w:sz w:val="20"/>
          <w:szCs w:val="20"/>
          <w:color w:val="auto"/>
        </w:rPr>
      </w:pPr>
    </w:p>
    <w:p>
      <w:pPr>
        <w:jc w:val="both"/>
        <w:ind w:firstLine="1944"/>
        <w:spacing w:after="0" w:line="246" w:lineRule="auto"/>
        <w:rPr>
          <w:sz w:val="20"/>
          <w:szCs w:val="20"/>
          <w:color w:val="auto"/>
        </w:rPr>
      </w:pPr>
      <w:r>
        <w:rPr>
          <w:rFonts w:ascii="Times New Roman" w:cs="Times New Roman" w:eastAsia="Times New Roman" w:hAnsi="Times New Roman"/>
          <w:sz w:val="22"/>
          <w:szCs w:val="22"/>
          <w:color w:val="auto"/>
        </w:rPr>
        <w:t xml:space="preserve">6.5.3 </w:t>
      </w:r>
      <w:r>
        <w:rPr>
          <w:rFonts w:ascii="Times New Roman" w:cs="Times New Roman" w:eastAsia="Times New Roman" w:hAnsi="Times New Roman"/>
          <w:sz w:val="22"/>
          <w:szCs w:val="22"/>
          <w:b w:val="1"/>
          <w:bCs w:val="1"/>
          <w:color w:val="auto"/>
        </w:rPr>
        <w:t>Form of Consideration</w:t>
      </w:r>
      <w:r>
        <w:rPr>
          <w:rFonts w:ascii="Times New Roman" w:cs="Times New Roman" w:eastAsia="Times New Roman" w:hAnsi="Times New Roman"/>
          <w:sz w:val="22"/>
          <w:szCs w:val="22"/>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8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b w:val="1"/>
          <w:bCs w:val="1"/>
          <w:color w:val="auto"/>
        </w:rPr>
        <w:t>Exercise of Option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22"/>
          <w:szCs w:val="22"/>
          <w:color w:val="auto"/>
        </w:rPr>
        <w:t xml:space="preserve">6.6.1 </w:t>
      </w:r>
      <w:r>
        <w:rPr>
          <w:rFonts w:ascii="Times New Roman" w:cs="Times New Roman" w:eastAsia="Times New Roman" w:hAnsi="Times New Roman"/>
          <w:sz w:val="22"/>
          <w:szCs w:val="22"/>
          <w:b w:val="1"/>
          <w:bCs w:val="1"/>
          <w:color w:val="auto"/>
        </w:rPr>
        <w:t>Procedure for Exercise; Rights as a Stockholder</w:t>
      </w:r>
      <w:r>
        <w:rPr>
          <w:rFonts w:ascii="Times New Roman" w:cs="Times New Roman" w:eastAsia="Times New Roman" w:hAnsi="Times New Roman"/>
          <w:sz w:val="22"/>
          <w:szCs w:val="22"/>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0"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21"/>
          <w:szCs w:val="21"/>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349" w:name="page350"/>
    <w:bookmarkEnd w:id="349"/>
    <w:p>
      <w:pPr>
        <w:jc w:val="both"/>
        <w:ind w:firstLine="1944"/>
        <w:spacing w:after="0" w:line="271" w:lineRule="auto"/>
        <w:rPr>
          <w:sz w:val="20"/>
          <w:szCs w:val="20"/>
          <w:color w:val="auto"/>
        </w:rPr>
      </w:pPr>
      <w:r>
        <w:rPr>
          <w:rFonts w:ascii="Times New Roman" w:cs="Times New Roman" w:eastAsia="Times New Roman" w:hAnsi="Times New Roman"/>
          <w:sz w:val="22"/>
          <w:szCs w:val="22"/>
          <w:color w:val="auto"/>
        </w:rPr>
        <w:t>Exercising an Option in any manner will decrease the number of Shares thereafter available, both for purposes of the Plan and for sale under the Option, by the number of Shares as to which the Option is exercised.</w:t>
      </w:r>
    </w:p>
    <w:p>
      <w:pPr>
        <w:spacing w:after="0" w:line="154" w:lineRule="exact"/>
        <w:rPr>
          <w:sz w:val="20"/>
          <w:szCs w:val="20"/>
          <w:color w:val="auto"/>
        </w:rPr>
      </w:pPr>
    </w:p>
    <w:p>
      <w:pPr>
        <w:jc w:val="both"/>
        <w:ind w:firstLine="1944"/>
        <w:spacing w:after="0" w:line="247" w:lineRule="auto"/>
        <w:rPr>
          <w:sz w:val="20"/>
          <w:szCs w:val="20"/>
          <w:color w:val="auto"/>
        </w:rPr>
      </w:pPr>
      <w:r>
        <w:rPr>
          <w:rFonts w:ascii="Times New Roman" w:cs="Times New Roman" w:eastAsia="Times New Roman" w:hAnsi="Times New Roman"/>
          <w:sz w:val="22"/>
          <w:szCs w:val="22"/>
          <w:color w:val="auto"/>
        </w:rPr>
        <w:t xml:space="preserve">6.6.2 </w:t>
      </w:r>
      <w:r>
        <w:rPr>
          <w:rFonts w:ascii="Times New Roman" w:cs="Times New Roman" w:eastAsia="Times New Roman" w:hAnsi="Times New Roman"/>
          <w:sz w:val="22"/>
          <w:szCs w:val="22"/>
          <w:b w:val="1"/>
          <w:bCs w:val="1"/>
          <w:color w:val="auto"/>
        </w:rPr>
        <w:t>Termination of Relationship as a Service Provider</w:t>
      </w:r>
      <w:r>
        <w:rPr>
          <w:rFonts w:ascii="Times New Roman" w:cs="Times New Roman" w:eastAsia="Times New Roman" w:hAnsi="Times New Roman"/>
          <w:sz w:val="22"/>
          <w:szCs w:val="22"/>
          <w:color w:val="auto"/>
        </w:rPr>
        <w:t>. If a Participant ceases to be a Service Provider, other than upon the Participant’s termination as the result of the Participant’s death or Disability, the Participant may exercise his or her Option, to the extent that the Option is vested on the date of termination, within ninety (90) days of termination, or such shorter or longer period of time, as is specified in the Award Agreement or in writing by the Administrator, in each case, in no event later than the expiration 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1" w:lineRule="exact"/>
        <w:rPr>
          <w:sz w:val="20"/>
          <w:szCs w:val="20"/>
          <w:color w:val="auto"/>
        </w:rPr>
      </w:pPr>
    </w:p>
    <w:p>
      <w:pPr>
        <w:jc w:val="both"/>
        <w:ind w:firstLine="1944"/>
        <w:spacing w:after="0" w:line="247" w:lineRule="auto"/>
        <w:rPr>
          <w:sz w:val="20"/>
          <w:szCs w:val="20"/>
          <w:color w:val="auto"/>
        </w:rPr>
      </w:pPr>
      <w:r>
        <w:rPr>
          <w:rFonts w:ascii="Times New Roman" w:cs="Times New Roman" w:eastAsia="Times New Roman" w:hAnsi="Times New Roman"/>
          <w:sz w:val="22"/>
          <w:szCs w:val="22"/>
          <w:color w:val="auto"/>
        </w:rPr>
        <w:t xml:space="preserve">6.6.3 </w:t>
      </w:r>
      <w:r>
        <w:rPr>
          <w:rFonts w:ascii="Times New Roman" w:cs="Times New Roman" w:eastAsia="Times New Roman" w:hAnsi="Times New Roman"/>
          <w:sz w:val="22"/>
          <w:szCs w:val="22"/>
          <w:b w:val="1"/>
          <w:bCs w:val="1"/>
          <w:color w:val="auto"/>
        </w:rPr>
        <w:t>Disability of Participant</w:t>
      </w:r>
      <w:r>
        <w:rPr>
          <w:rFonts w:ascii="Times New Roman" w:cs="Times New Roman" w:eastAsia="Times New Roman" w:hAnsi="Times New Roman"/>
          <w:sz w:val="22"/>
          <w:szCs w:val="22"/>
          <w:color w:val="auto"/>
        </w:rPr>
        <w:t>. If a Participant ceases to be a Service Provider as a result of the Participant’s Disability, the Participant may exercise his or her Option within six (6)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5"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21"/>
          <w:szCs w:val="21"/>
          <w:color w:val="auto"/>
        </w:rPr>
        <w:t xml:space="preserve">6.6.4 </w:t>
      </w:r>
      <w:r>
        <w:rPr>
          <w:rFonts w:ascii="Times New Roman" w:cs="Times New Roman" w:eastAsia="Times New Roman" w:hAnsi="Times New Roman"/>
          <w:sz w:val="21"/>
          <w:szCs w:val="21"/>
          <w:b w:val="1"/>
          <w:bCs w:val="1"/>
          <w:color w:val="auto"/>
        </w:rPr>
        <w:t>Death of Participant</w:t>
      </w:r>
      <w:r>
        <w:rPr>
          <w:rFonts w:ascii="Times New Roman" w:cs="Times New Roman" w:eastAsia="Times New Roman" w:hAnsi="Times New Roman"/>
          <w:sz w:val="21"/>
          <w:szCs w:val="21"/>
          <w:color w:val="auto"/>
        </w:rPr>
        <w:t>. If a Participant dies while a Service Provider, the Option may be exercised within six (6) months following the Participant’s death, or within such longer or shorter period of time as is specified in the Award Agreement or in writing by the Administrator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“Legal Representative”).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Shares covered by the unvested portion of the Option will immediately revert to the Plan.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350" w:name="page351"/>
    <w:bookmarkEnd w:id="350"/>
    <w:p>
      <w:pPr>
        <w:spacing w:after="0" w:line="271" w:lineRule="auto"/>
        <w:rPr>
          <w:sz w:val="20"/>
          <w:szCs w:val="20"/>
          <w:color w:val="auto"/>
        </w:rPr>
      </w:pPr>
      <w:r>
        <w:rPr>
          <w:rFonts w:ascii="Times New Roman" w:cs="Times New Roman" w:eastAsia="Times New Roman" w:hAnsi="Times New Roman"/>
          <w:sz w:val="22"/>
          <w:szCs w:val="22"/>
          <w:color w:val="auto"/>
        </w:rPr>
        <w:t>Option is not so exercised within the time specified herein, the Option will terminate, and the Shares covered by such Option will revert to the Plan.</w:t>
      </w:r>
    </w:p>
    <w:p>
      <w:pPr>
        <w:spacing w:after="0" w:line="154"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22"/>
          <w:szCs w:val="22"/>
          <w:color w:val="auto"/>
        </w:rPr>
        <w:t>6.6.5</w:t>
      </w:r>
      <w:r>
        <w:rPr>
          <w:sz w:val="20"/>
          <w:szCs w:val="20"/>
          <w:color w:val="auto"/>
        </w:rPr>
        <w:tab/>
      </w:r>
      <w:r>
        <w:rPr>
          <w:rFonts w:ascii="Times New Roman" w:cs="Times New Roman" w:eastAsia="Times New Roman" w:hAnsi="Times New Roman"/>
          <w:sz w:val="21"/>
          <w:szCs w:val="21"/>
          <w:b w:val="1"/>
          <w:bCs w:val="1"/>
          <w:color w:val="auto"/>
        </w:rPr>
        <w:t>Tolling Expiration</w:t>
      </w:r>
      <w:r>
        <w:rPr>
          <w:rFonts w:ascii="Times New Roman" w:cs="Times New Roman" w:eastAsia="Times New Roman" w:hAnsi="Times New Roman"/>
          <w:sz w:val="21"/>
          <w:szCs w:val="21"/>
          <w:color w:val="auto"/>
        </w:rPr>
        <w:t>. A Participant’s Award Agreement may also provide that:</w:t>
      </w:r>
    </w:p>
    <w:p>
      <w:pPr>
        <w:spacing w:after="0" w:line="224" w:lineRule="exact"/>
        <w:rPr>
          <w:sz w:val="20"/>
          <w:szCs w:val="20"/>
          <w:color w:val="auto"/>
        </w:rPr>
      </w:pPr>
    </w:p>
    <w:p>
      <w:pPr>
        <w:jc w:val="both"/>
        <w:ind w:firstLine="2600"/>
        <w:spacing w:after="0" w:line="233" w:lineRule="auto"/>
        <w:tabs>
          <w:tab w:leader="none" w:pos="3237"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the last date on which such exercise would result in liability under Section 16b; or</w:t>
      </w:r>
    </w:p>
    <w:p>
      <w:pPr>
        <w:spacing w:after="0" w:line="192" w:lineRule="exact"/>
        <w:rPr>
          <w:rFonts w:ascii="Times New Roman" w:cs="Times New Roman" w:eastAsia="Times New Roman" w:hAnsi="Times New Roman"/>
          <w:sz w:val="22"/>
          <w:szCs w:val="22"/>
          <w:color w:val="auto"/>
        </w:rPr>
      </w:pPr>
    </w:p>
    <w:p>
      <w:pPr>
        <w:jc w:val="both"/>
        <w:ind w:firstLine="2600"/>
        <w:spacing w:after="0" w:line="265" w:lineRule="auto"/>
        <w:tabs>
          <w:tab w:leader="none" w:pos="3235" w:val="left"/>
        </w:tabs>
        <w:numPr>
          <w:ilvl w:val="1"/>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16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Appreciation Rights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Grant of Stock Appreciation Rights</w:t>
      </w:r>
      <w:r>
        <w:rPr>
          <w:rFonts w:ascii="Times New Roman" w:cs="Times New Roman" w:eastAsia="Times New Roman" w:hAnsi="Times New Roman"/>
          <w:sz w:val="22"/>
          <w:szCs w:val="22"/>
          <w:color w:val="auto"/>
        </w:rPr>
        <w:t>. Subject to the terms and conditions of the Plan, a Stock Appreciation Right may be granted to Service Providers at any time and from time to time as will be determined by the Administrator, in its sole discretion.</w:t>
      </w:r>
    </w:p>
    <w:p>
      <w:pPr>
        <w:spacing w:after="0" w:line="16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Number of Shares</w:t>
      </w:r>
      <w:r>
        <w:rPr>
          <w:rFonts w:ascii="Times New Roman" w:cs="Times New Roman" w:eastAsia="Times New Roman" w:hAnsi="Times New Roman"/>
          <w:sz w:val="22"/>
          <w:szCs w:val="22"/>
          <w:color w:val="auto"/>
        </w:rPr>
        <w:t>. The Administrator will have complete discretion to determine the number of Shares subject to any Award of Stock Appreciation Rights.</w:t>
      </w:r>
    </w:p>
    <w:p>
      <w:pPr>
        <w:spacing w:after="0" w:line="14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color w:val="auto"/>
        </w:rPr>
        <w:t>Exercise Price and Other Terms</w:t>
      </w:r>
      <w:r>
        <w:rPr>
          <w:rFonts w:ascii="Times New Roman" w:cs="Times New Roman" w:eastAsia="Times New Roman" w:hAnsi="Times New Roman"/>
          <w:sz w:val="22"/>
          <w:szCs w:val="22"/>
          <w:color w:val="auto"/>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b w:val="1"/>
          <w:bCs w:val="1"/>
          <w:color w:val="auto"/>
        </w:rPr>
        <w:t>Stock Appreciation Right Agreement</w:t>
      </w:r>
      <w:r>
        <w:rPr>
          <w:rFonts w:ascii="Times New Roman" w:cs="Times New Roman" w:eastAsia="Times New Roman" w:hAnsi="Times New Roman"/>
          <w:sz w:val="22"/>
          <w:szCs w:val="22"/>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6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b w:val="1"/>
          <w:bCs w:val="1"/>
          <w:color w:val="auto"/>
        </w:rPr>
        <w:t>Expiration of Stock Appreciation Rights</w:t>
      </w:r>
      <w:r>
        <w:rPr>
          <w:rFonts w:ascii="Times New Roman" w:cs="Times New Roman" w:eastAsia="Times New Roman" w:hAnsi="Times New Roman"/>
          <w:sz w:val="22"/>
          <w:szCs w:val="22"/>
          <w:color w:val="auto"/>
        </w:rPr>
        <w:t>. A Stock Appreciation Right granted under the Plan will expire upon the date determined by the Administrator, in its sole discretion, and set forth in the Award Agreement. Notwithstanding the foregoing, the rules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22"/>
          <w:szCs w:val="22"/>
          <w:color w:val="auto"/>
        </w:rPr>
        <w:t>Section 6.4 relating to the maximum term and Section 6.6 relating to exercise also will apply to Stock Appreciation Rights.</w:t>
      </w:r>
    </w:p>
    <w:p>
      <w:pPr>
        <w:spacing w:after="0" w:line="21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2"/>
          <w:szCs w:val="22"/>
          <w:b w:val="1"/>
          <w:bCs w:val="1"/>
          <w:color w:val="auto"/>
        </w:rPr>
        <w:t>Payment of Stock Appreciation Right Amount</w:t>
      </w:r>
      <w:r>
        <w:rPr>
          <w:rFonts w:ascii="Times New Roman" w:cs="Times New Roman" w:eastAsia="Times New Roman" w:hAnsi="Times New Roman"/>
          <w:sz w:val="22"/>
          <w:szCs w:val="22"/>
          <w:color w:val="auto"/>
        </w:rPr>
        <w:t>. Upon exercise of a Stock Appreciation Right,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will be entitled to receive payment from the Company in an amount determined by multiplying:</w:t>
      </w:r>
    </w:p>
    <w:p>
      <w:pPr>
        <w:spacing w:after="0" w:line="196" w:lineRule="exact"/>
        <w:rPr>
          <w:sz w:val="20"/>
          <w:szCs w:val="20"/>
          <w:color w:val="auto"/>
        </w:rPr>
      </w:pPr>
    </w:p>
    <w:p>
      <w:pPr>
        <w:ind w:left="2600" w:hanging="648"/>
        <w:spacing w:after="0"/>
        <w:tabs>
          <w:tab w:leader="none" w:pos="260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difference between the Fair Market Value of a Share on the date of exercise over the exercise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price; times</w:t>
      </w:r>
    </w:p>
    <w:p>
      <w:pPr>
        <w:spacing w:after="0" w:line="196" w:lineRule="exact"/>
        <w:rPr>
          <w:sz w:val="20"/>
          <w:szCs w:val="20"/>
          <w:color w:val="auto"/>
        </w:rPr>
      </w:pPr>
    </w:p>
    <w:p>
      <w:pPr>
        <w:ind w:left="2600" w:hanging="648"/>
        <w:spacing w:after="0"/>
        <w:tabs>
          <w:tab w:leader="none" w:pos="260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with respect to which the Stock Appreciation Right is exercised.</w:t>
      </w:r>
    </w:p>
    <w:p>
      <w:pPr>
        <w:spacing w:after="0" w:line="220" w:lineRule="exact"/>
        <w:rPr>
          <w:sz w:val="20"/>
          <w:szCs w:val="20"/>
          <w:color w:val="auto"/>
        </w:rPr>
      </w:pPr>
    </w:p>
    <w:p>
      <w:pPr>
        <w:ind w:firstLine="1944"/>
        <w:spacing w:after="0" w:line="271" w:lineRule="auto"/>
        <w:rPr>
          <w:sz w:val="20"/>
          <w:szCs w:val="20"/>
          <w:color w:val="auto"/>
        </w:rPr>
      </w:pPr>
      <w:r>
        <w:rPr>
          <w:rFonts w:ascii="Times New Roman" w:cs="Times New Roman" w:eastAsia="Times New Roman" w:hAnsi="Times New Roman"/>
          <w:sz w:val="22"/>
          <w:szCs w:val="22"/>
          <w:color w:val="auto"/>
        </w:rPr>
        <w:t>At the discretion of the Administrator, the payment upon Stock Appreciation Right exercise may be in cash, in Shares of equivalent value, or in some combination thereof.</w:t>
      </w:r>
    </w:p>
    <w:p>
      <w:pPr>
        <w:spacing w:after="0" w:line="154" w:lineRule="exact"/>
        <w:rPr>
          <w:sz w:val="20"/>
          <w:szCs w:val="20"/>
          <w:color w:val="auto"/>
        </w:rPr>
      </w:pPr>
    </w:p>
    <w:p>
      <w:pPr>
        <w:ind w:left="1300" w:hanging="644"/>
        <w:spacing w:after="0"/>
        <w:tabs>
          <w:tab w:leader="none" w:pos="1300" w:val="left"/>
        </w:tabs>
        <w:numPr>
          <w:ilvl w:val="0"/>
          <w:numId w:val="2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Grant of Restricted Stock</w:t>
      </w:r>
      <w:r>
        <w:rPr>
          <w:rFonts w:ascii="Times New Roman" w:cs="Times New Roman" w:eastAsia="Times New Roman" w:hAnsi="Times New Roman"/>
          <w:sz w:val="22"/>
          <w:szCs w:val="22"/>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color w:val="auto"/>
        </w:rPr>
        <w:t>Restricted Stock Agreement</w:t>
      </w:r>
      <w:r>
        <w:rPr>
          <w:rFonts w:ascii="Times New Roman" w:cs="Times New Roman" w:eastAsia="Times New Roman" w:hAnsi="Times New Roman"/>
          <w:sz w:val="22"/>
          <w:szCs w:val="22"/>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7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color w:val="auto"/>
        </w:rPr>
        <w:t>Transferability</w:t>
      </w:r>
      <w:r>
        <w:rPr>
          <w:rFonts w:ascii="Times New Roman" w:cs="Times New Roman" w:eastAsia="Times New Roman" w:hAnsi="Times New Roman"/>
          <w:sz w:val="22"/>
          <w:szCs w:val="22"/>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6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b w:val="1"/>
          <w:bCs w:val="1"/>
          <w:color w:val="auto"/>
        </w:rPr>
        <w:t>Other Restrictions</w:t>
      </w:r>
      <w:r>
        <w:rPr>
          <w:rFonts w:ascii="Times New Roman" w:cs="Times New Roman" w:eastAsia="Times New Roman" w:hAnsi="Times New Roman"/>
          <w:sz w:val="22"/>
          <w:szCs w:val="22"/>
          <w:color w:val="auto"/>
        </w:rPr>
        <w:t>. The Administrator, in its sole discretion, may impose such other restrictions on Shares of Restricted Stock as it may deem advisable or appropriate.</w:t>
      </w:r>
    </w:p>
    <w:p>
      <w:pPr>
        <w:spacing w:after="0" w:line="149" w:lineRule="exact"/>
        <w:rPr>
          <w:sz w:val="20"/>
          <w:szCs w:val="20"/>
          <w:color w:val="auto"/>
        </w:rPr>
      </w:pPr>
    </w:p>
    <w:p>
      <w:pPr>
        <w:jc w:val="both"/>
        <w:ind w:right="2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b w:val="1"/>
          <w:bCs w:val="1"/>
          <w:color w:val="auto"/>
        </w:rPr>
        <w:t>Removal of Restrictions</w:t>
      </w:r>
      <w:r>
        <w:rPr>
          <w:rFonts w:ascii="Times New Roman" w:cs="Times New Roman" w:eastAsia="Times New Roman" w:hAnsi="Times New Roman"/>
          <w:sz w:val="22"/>
          <w:szCs w:val="22"/>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b w:val="1"/>
          <w:bCs w:val="1"/>
          <w:color w:val="auto"/>
        </w:rPr>
        <w:t>Voting Rights</w:t>
      </w:r>
      <w:r>
        <w:rPr>
          <w:rFonts w:ascii="Times New Roman" w:cs="Times New Roman" w:eastAsia="Times New Roman" w:hAnsi="Times New Roman"/>
          <w:sz w:val="22"/>
          <w:szCs w:val="22"/>
          <w:color w:val="auto"/>
        </w:rPr>
        <w:t>. During the Period of Restriction, Service Providers holding Shares of Restricted Stock granted hereunder may exercise full voting rights with respect to those Shares, unless the Administrator determines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352" w:name="page353"/>
    <w:bookmarkEnd w:id="352"/>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b w:val="1"/>
          <w:bCs w:val="1"/>
          <w:color w:val="auto"/>
        </w:rPr>
        <w:t>Dividends and Other Distributions</w:t>
      </w:r>
      <w:r>
        <w:rPr>
          <w:rFonts w:ascii="Times New Roman" w:cs="Times New Roman" w:eastAsia="Times New Roman" w:hAnsi="Times New Roman"/>
          <w:sz w:val="22"/>
          <w:szCs w:val="22"/>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75"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21"/>
          <w:szCs w:val="21"/>
          <w:color w:val="auto"/>
        </w:rPr>
        <w:t xml:space="preserve">8.8 </w:t>
      </w:r>
      <w:r>
        <w:rPr>
          <w:rFonts w:ascii="Times New Roman" w:cs="Times New Roman" w:eastAsia="Times New Roman" w:hAnsi="Times New Roman"/>
          <w:sz w:val="21"/>
          <w:szCs w:val="21"/>
          <w:b w:val="1"/>
          <w:bCs w:val="1"/>
          <w:color w:val="auto"/>
        </w:rPr>
        <w:t>Return of Restricted Stock to Company</w:t>
      </w:r>
      <w:r>
        <w:rPr>
          <w:rFonts w:ascii="Times New Roman" w:cs="Times New Roman" w:eastAsia="Times New Roman" w:hAnsi="Times New Roman"/>
          <w:sz w:val="21"/>
          <w:szCs w:val="21"/>
          <w:color w:val="auto"/>
        </w:rPr>
        <w:t>. On the date set forth in the Award Agreement, the Restricted Stock for which restrictions have not lapsed will revert to the Company and again will become available for grant under the Plan.</w:t>
      </w:r>
    </w:p>
    <w:p>
      <w:pPr>
        <w:spacing w:after="0" w:line="127" w:lineRule="exact"/>
        <w:rPr>
          <w:sz w:val="20"/>
          <w:szCs w:val="20"/>
          <w:color w:val="auto"/>
        </w:rPr>
      </w:pPr>
    </w:p>
    <w:p>
      <w:pPr>
        <w:ind w:left="1300" w:hanging="644"/>
        <w:spacing w:after="0"/>
        <w:tabs>
          <w:tab w:leader="none" w:pos="130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Restricted Stock Units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b w:val="1"/>
          <w:bCs w:val="1"/>
          <w:color w:val="auto"/>
        </w:rPr>
        <w:t>Grant</w:t>
      </w:r>
      <w:r>
        <w:rPr>
          <w:rFonts w:ascii="Times New Roman" w:cs="Times New Roman" w:eastAsia="Times New Roman" w:hAnsi="Times New Roman"/>
          <w:sz w:val="21"/>
          <w:szCs w:val="21"/>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4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color w:val="auto"/>
        </w:rPr>
        <w:t>Vesting Criteria and Other Terms</w:t>
      </w:r>
      <w:r>
        <w:rPr>
          <w:rFonts w:ascii="Times New Roman" w:cs="Times New Roman" w:eastAsia="Times New Roman" w:hAnsi="Times New Roman"/>
          <w:sz w:val="22"/>
          <w:szCs w:val="22"/>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b w:val="1"/>
          <w:bCs w:val="1"/>
          <w:color w:val="auto"/>
        </w:rPr>
        <w:t>Earning Restricted Stock Units</w:t>
      </w:r>
      <w:r>
        <w:rPr>
          <w:rFonts w:ascii="Times New Roman" w:cs="Times New Roman" w:eastAsia="Times New Roman" w:hAnsi="Times New Roman"/>
          <w:sz w:val="22"/>
          <w:szCs w:val="22"/>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5" w:lineRule="exact"/>
        <w:rPr>
          <w:sz w:val="20"/>
          <w:szCs w:val="20"/>
          <w:color w:val="auto"/>
        </w:rPr>
      </w:pPr>
    </w:p>
    <w:p>
      <w:pPr>
        <w:jc w:val="both"/>
        <w:ind w:right="20" w:firstLine="1296"/>
        <w:spacing w:after="0" w:line="259"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b w:val="1"/>
          <w:bCs w:val="1"/>
          <w:color w:val="auto"/>
        </w:rPr>
        <w:t>Form and Timing of Payment</w:t>
      </w:r>
      <w:r>
        <w:rPr>
          <w:rFonts w:ascii="Times New Roman" w:cs="Times New Roman" w:eastAsia="Times New Roman" w:hAnsi="Times New Roman"/>
          <w:sz w:val="22"/>
          <w:szCs w:val="22"/>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6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b w:val="1"/>
          <w:bCs w:val="1"/>
          <w:color w:val="auto"/>
        </w:rPr>
        <w:t>Cancellation</w:t>
      </w:r>
      <w:r>
        <w:rPr>
          <w:rFonts w:ascii="Times New Roman" w:cs="Times New Roman" w:eastAsia="Times New Roman" w:hAnsi="Times New Roman"/>
          <w:sz w:val="22"/>
          <w:szCs w:val="22"/>
          <w:color w:val="auto"/>
        </w:rPr>
        <w:t>. On the date set forth in the Award Agreement, all unearned Restricted Stock Units will be forfeited to the Company.</w:t>
      </w:r>
    </w:p>
    <w:p>
      <w:pPr>
        <w:spacing w:after="0" w:line="149" w:lineRule="exact"/>
        <w:rPr>
          <w:sz w:val="20"/>
          <w:szCs w:val="20"/>
          <w:color w:val="auto"/>
        </w:rPr>
      </w:pPr>
    </w:p>
    <w:p>
      <w:pPr>
        <w:ind w:left="1300" w:hanging="644"/>
        <w:spacing w:after="0"/>
        <w:tabs>
          <w:tab w:leader="none" w:pos="130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Performance Awards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Each Performance Award will be evidenced by an Award Agreement that will specify any time period during which any performance objectives or other vesting provisions will be measured (“Performance Period”), and such other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18" w:right="339" w:bottom="1440" w:gutter="0" w:footer="0" w:header="0"/>
        </w:sectPr>
      </w:pPr>
    </w:p>
    <w:bookmarkStart w:id="353" w:name="page354"/>
    <w:bookmarkEnd w:id="353"/>
    <w:p>
      <w:pPr>
        <w:jc w:val="both"/>
        <w:spacing w:after="0" w:line="271" w:lineRule="auto"/>
        <w:rPr>
          <w:sz w:val="20"/>
          <w:szCs w:val="20"/>
          <w:color w:val="auto"/>
        </w:rPr>
      </w:pPr>
      <w:r>
        <w:rPr>
          <w:rFonts w:ascii="Times New Roman" w:cs="Times New Roman" w:eastAsia="Times New Roman" w:hAnsi="Times New Roman"/>
          <w:sz w:val="22"/>
          <w:szCs w:val="22"/>
          <w:color w:val="auto"/>
        </w:rPr>
        <w:t>conditions as the Administrator determines. Each Performance Award will have an initial value that is determined by the Administrator on or before its date of grant.</w:t>
      </w:r>
    </w:p>
    <w:p>
      <w:pPr>
        <w:spacing w:after="0" w:line="15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color w:val="auto"/>
        </w:rPr>
        <w:t>Objectives or Vesting Provisions and Other Terms.</w:t>
      </w:r>
      <w:r>
        <w:rPr>
          <w:rFonts w:ascii="Times New Roman" w:cs="Times New Roman" w:eastAsia="Times New Roman" w:hAnsi="Times New Roman"/>
          <w:sz w:val="22"/>
          <w:szCs w:val="22"/>
          <w:color w:val="auto"/>
        </w:rPr>
        <w:t xml:space="preserve">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b w:val="1"/>
          <w:bCs w:val="1"/>
          <w:color w:val="auto"/>
        </w:rPr>
        <w:t>Earning Performance Awards</w:t>
      </w:r>
      <w:r>
        <w:rPr>
          <w:rFonts w:ascii="Times New Roman" w:cs="Times New Roman" w:eastAsia="Times New Roman" w:hAnsi="Times New Roman"/>
          <w:sz w:val="22"/>
          <w:szCs w:val="22"/>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7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b w:val="1"/>
          <w:bCs w:val="1"/>
          <w:color w:val="auto"/>
        </w:rPr>
        <w:t>Form and Timing of Payment</w:t>
      </w:r>
      <w:r>
        <w:rPr>
          <w:rFonts w:ascii="Times New Roman" w:cs="Times New Roman" w:eastAsia="Times New Roman" w:hAnsi="Times New Roman"/>
          <w:sz w:val="22"/>
          <w:szCs w:val="22"/>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166"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b w:val="1"/>
          <w:bCs w:val="1"/>
          <w:color w:val="auto"/>
        </w:rPr>
        <w:t>Cancellation of Performance Awards</w:t>
      </w:r>
      <w:r>
        <w:rPr>
          <w:rFonts w:ascii="Times New Roman" w:cs="Times New Roman" w:eastAsia="Times New Roman" w:hAnsi="Times New Roman"/>
          <w:sz w:val="22"/>
          <w:szCs w:val="22"/>
          <w:color w:val="auto"/>
        </w:rPr>
        <w:t>. On the date set forth in the Award Agreement, all unearned or unvested Performance Awards will be forfeited to the Company, and again will be available for grant under the Plan.</w:t>
      </w:r>
    </w:p>
    <w:p>
      <w:pPr>
        <w:spacing w:after="0" w:line="149" w:lineRule="exact"/>
        <w:rPr>
          <w:sz w:val="20"/>
          <w:szCs w:val="20"/>
          <w:color w:val="auto"/>
        </w:rPr>
      </w:pPr>
    </w:p>
    <w:p>
      <w:pPr>
        <w:jc w:val="both"/>
        <w:ind w:firstLine="656"/>
        <w:spacing w:after="0" w:line="248" w:lineRule="auto"/>
        <w:tabs>
          <w:tab w:leader="none" w:pos="1288"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Outside Director Award Limitations</w:t>
      </w:r>
      <w:r>
        <w:rPr>
          <w:rFonts w:ascii="Times New Roman" w:cs="Times New Roman" w:eastAsia="Times New Roman" w:hAnsi="Times New Roman"/>
          <w:sz w:val="22"/>
          <w:szCs w:val="22"/>
          <w:color w:val="auto"/>
        </w:rPr>
        <w:t>. No Outside Director may be granted, in any Fiscal Year, Awards (the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which will be based on their grant date fair value determined in accordance with U.S. generally accepted accounting principles) and be provided any other compensation (including without limitation any cash retainers or fees) in amounts that, in the aggregate, exceed $750,000, provided that such amount is increased to $1,000,000 in the Fiscal Year of his or her initial service as an Outside Director. Any Awards or other compensation provided to an individual (a) for his or her services as an Employee, or for his or her services as a Consultant other than as an Outside Director, or (b) prior to the Registration Date, will be excluded for purposes of this Section 11.</w:t>
      </w:r>
    </w:p>
    <w:p>
      <w:pPr>
        <w:spacing w:after="0" w:line="181"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Compliance With Section 409A</w:t>
      </w:r>
      <w:r>
        <w:rPr>
          <w:rFonts w:ascii="Times New Roman" w:cs="Times New Roman" w:eastAsia="Times New Roman" w:hAnsi="Times New Roman"/>
          <w:sz w:val="22"/>
          <w:szCs w:val="22"/>
          <w:color w:val="auto"/>
        </w:rPr>
        <w:t>. Awards will be designed and operated in such a manner that they are 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354" w:name="page355"/>
    <w:bookmarkEnd w:id="354"/>
    <w:p>
      <w:pPr>
        <w:jc w:val="both"/>
        <w:spacing w:after="0" w:line="250" w:lineRule="auto"/>
        <w:rPr>
          <w:sz w:val="20"/>
          <w:szCs w:val="20"/>
          <w:color w:val="auto"/>
        </w:rPr>
      </w:pPr>
      <w:r>
        <w:rPr>
          <w:rFonts w:ascii="Times New Roman" w:cs="Times New Roman" w:eastAsia="Times New Roman" w:hAnsi="Times New Roman"/>
          <w:sz w:val="22"/>
          <w:szCs w:val="22"/>
          <w:color w:val="auto"/>
        </w:rPr>
        <w:t>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77" w:lineRule="exact"/>
        <w:rPr>
          <w:sz w:val="20"/>
          <w:szCs w:val="20"/>
          <w:color w:val="auto"/>
        </w:rPr>
      </w:pPr>
    </w:p>
    <w:p>
      <w:pPr>
        <w:jc w:val="both"/>
        <w:ind w:firstLine="656"/>
        <w:spacing w:after="0" w:line="238" w:lineRule="auto"/>
        <w:tabs>
          <w:tab w:leader="none" w:pos="1296"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Leaves of Absence/Transfer Between Locations</w:t>
      </w:r>
      <w:r>
        <w:rPr>
          <w:rFonts w:ascii="Times New Roman" w:cs="Times New Roman" w:eastAsia="Times New Roman" w:hAnsi="Times New Roman"/>
          <w:sz w:val="22"/>
          <w:szCs w:val="22"/>
          <w:color w:val="auto"/>
        </w:rPr>
        <w:t>. Unless the Administrator provides otherwise or as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day of such leave, any Incentive Stock Option held by the Participant will cease to be treated as an Incentive Stock Option and will be treated for tax purposes as a Nonstatutory Stock Option.</w:t>
      </w:r>
    </w:p>
    <w:p>
      <w:pPr>
        <w:spacing w:after="0" w:line="192"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Limited Transferability of Awards</w:t>
      </w:r>
      <w:r>
        <w:rPr>
          <w:rFonts w:ascii="Times New Roman" w:cs="Times New Roman" w:eastAsia="Times New Roman" w:hAnsi="Times New Roman"/>
          <w:sz w:val="22"/>
          <w:szCs w:val="22"/>
          <w:color w:val="auto"/>
        </w:rPr>
        <w:t>. Unless determined otherwise by the Administrator, Awards may not be sold,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pledged, 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Adjustments; Dissolution or Liquidation; Merger or Change in Control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 xml:space="preserve">15.1 </w:t>
      </w:r>
      <w:r>
        <w:rPr>
          <w:rFonts w:ascii="Times New Roman" w:cs="Times New Roman" w:eastAsia="Times New Roman" w:hAnsi="Times New Roman"/>
          <w:sz w:val="21"/>
          <w:szCs w:val="21"/>
          <w:b w:val="1"/>
          <w:bCs w:val="1"/>
          <w:color w:val="auto"/>
        </w:rPr>
        <w:t>Adjustments</w:t>
      </w:r>
      <w:r>
        <w:rPr>
          <w:rFonts w:ascii="Times New Roman" w:cs="Times New Roman" w:eastAsia="Times New Roman" w:hAnsi="Times New Roman"/>
          <w:sz w:val="21"/>
          <w:szCs w:val="21"/>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spacing w:after="0" w:line="16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b w:val="1"/>
          <w:bCs w:val="1"/>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355" w:name="page356"/>
    <w:bookmarkEnd w:id="355"/>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15.3 </w:t>
      </w:r>
      <w:r>
        <w:rPr>
          <w:rFonts w:ascii="Times New Roman" w:cs="Times New Roman" w:eastAsia="Times New Roman" w:hAnsi="Times New Roman"/>
          <w:sz w:val="21"/>
          <w:szCs w:val="21"/>
          <w:b w:val="1"/>
          <w:bCs w:val="1"/>
          <w:color w:val="auto"/>
        </w:rPr>
        <w:t>Merger or Change in Control</w:t>
      </w:r>
      <w:r>
        <w:rPr>
          <w:rFonts w:ascii="Times New Roman" w:cs="Times New Roman" w:eastAsia="Times New Roman" w:hAnsi="Times New Roman"/>
          <w:sz w:val="21"/>
          <w:szCs w:val="21"/>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w:t>
      </w:r>
    </w:p>
    <w:p>
      <w:pPr>
        <w:spacing w:after="0" w:line="3" w:lineRule="exact"/>
        <w:rPr>
          <w:sz w:val="20"/>
          <w:szCs w:val="20"/>
          <w:color w:val="auto"/>
        </w:rPr>
      </w:pPr>
    </w:p>
    <w:p>
      <w:pPr>
        <w:jc w:val="both"/>
        <w:ind w:firstLine="8"/>
        <w:spacing w:after="0" w:line="243" w:lineRule="auto"/>
        <w:tabs>
          <w:tab w:leader="none" w:pos="297"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spacing w:after="0" w:line="196"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or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9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For the purposes of this Section 15.3 and Section 15.4 below, an Award will be considered assumed if, following the merger or Change in Control, the Award confers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18" w:right="339" w:bottom="1440" w:gutter="0" w:footer="0" w:header="0"/>
        </w:sectPr>
      </w:pPr>
    </w:p>
    <w:bookmarkStart w:id="356" w:name="page357"/>
    <w:bookmarkEnd w:id="356"/>
    <w:p>
      <w:pPr>
        <w:jc w:val="both"/>
        <w:spacing w:after="0" w:line="246" w:lineRule="auto"/>
        <w:rPr>
          <w:sz w:val="20"/>
          <w:szCs w:val="20"/>
          <w:color w:val="auto"/>
        </w:rPr>
      </w:pPr>
      <w:r>
        <w:rPr>
          <w:rFonts w:ascii="Times New Roman" w:cs="Times New Roman" w:eastAsia="Times New Roman" w:hAnsi="Times New Roman"/>
          <w:sz w:val="22"/>
          <w:szCs w:val="22"/>
          <w:color w:val="auto"/>
        </w:rPr>
        <w:t>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merger or Change in Control.</w:t>
      </w:r>
    </w:p>
    <w:p>
      <w:pPr>
        <w:spacing w:after="0" w:line="19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82"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8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22"/>
          <w:szCs w:val="22"/>
          <w:b w:val="1"/>
          <w:bCs w:val="1"/>
          <w:color w:val="auto"/>
        </w:rPr>
        <w:t>Outside Director Awards</w:t>
      </w:r>
      <w:r>
        <w:rPr>
          <w:rFonts w:ascii="Times New Roman" w:cs="Times New Roman" w:eastAsia="Times New Roman" w:hAnsi="Times New Roman"/>
          <w:sz w:val="22"/>
          <w:szCs w:val="22"/>
          <w:color w:val="auto"/>
        </w:rPr>
        <w:t>. With respect to Awards granted to an Outside Director while such individual was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22"/>
          <w:szCs w:val="22"/>
          <w:color w:val="auto"/>
        </w:rPr>
        <w:t>Administrator between the Participant and the Company or any of its Parent or Subsidiaries, as applicable.</w:t>
      </w:r>
    </w:p>
    <w:p>
      <w:pPr>
        <w:spacing w:after="0" w:line="216" w:lineRule="exact"/>
        <w:rPr>
          <w:sz w:val="20"/>
          <w:szCs w:val="20"/>
          <w:color w:val="auto"/>
        </w:rPr>
      </w:pPr>
    </w:p>
    <w:p>
      <w:pPr>
        <w:ind w:left="1300" w:hanging="644"/>
        <w:spacing w:after="0"/>
        <w:tabs>
          <w:tab w:leader="none" w:pos="130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b w:val="1"/>
          <w:bCs w:val="1"/>
          <w:color w:val="auto"/>
        </w:rPr>
        <w:t>Withholding Requirements</w:t>
      </w:r>
      <w:r>
        <w:rPr>
          <w:rFonts w:ascii="Times New Roman" w:cs="Times New Roman" w:eastAsia="Times New Roman" w:hAnsi="Times New Roman"/>
          <w:sz w:val="22"/>
          <w:szCs w:val="22"/>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non-U.S., and other taxes (including the Participant’s FICA obligation) required to be withheld or paid with respect to such Award (or exercise thereof).</w:t>
      </w:r>
    </w:p>
    <w:p>
      <w:pPr>
        <w:spacing w:after="0" w:line="180"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b w:val="1"/>
          <w:bCs w:val="1"/>
          <w:color w:val="auto"/>
        </w:rPr>
        <w:t>Withholding Arrangements</w:t>
      </w:r>
      <w:r>
        <w:rPr>
          <w:rFonts w:ascii="Times New Roman" w:cs="Times New Roman" w:eastAsia="Times New Roman" w:hAnsi="Times New Roman"/>
          <w:sz w:val="22"/>
          <w:szCs w:val="22"/>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83" w:lineRule="exact"/>
        <w:rPr>
          <w:sz w:val="20"/>
          <w:szCs w:val="20"/>
          <w:color w:val="auto"/>
        </w:rPr>
      </w:pPr>
    </w:p>
    <w:p>
      <w:pPr>
        <w:jc w:val="both"/>
        <w:ind w:firstLine="656"/>
        <w:spacing w:after="0" w:line="259" w:lineRule="auto"/>
        <w:tabs>
          <w:tab w:leader="none" w:pos="1296"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Effect on Employment or Service</w:t>
      </w:r>
      <w:r>
        <w:rPr>
          <w:rFonts w:ascii="Times New Roman" w:cs="Times New Roman" w:eastAsia="Times New Roman" w:hAnsi="Times New Roman"/>
          <w:sz w:val="22"/>
          <w:szCs w:val="22"/>
          <w:color w:val="auto"/>
        </w:rPr>
        <w:t>. Neither the Plan nor any Award will confer upon a Participant any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continuing the Participant’s relationship as a Service Provider with the Company or its Subsidiaries or Parents, as applicable, nor will they interfere in any way with the Participant’s right or the right of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358" w:name="page359"/>
    <w:bookmarkEnd w:id="358"/>
    <w:p>
      <w:pPr>
        <w:ind w:right="20"/>
        <w:spacing w:after="0" w:line="271" w:lineRule="auto"/>
        <w:rPr>
          <w:sz w:val="20"/>
          <w:szCs w:val="20"/>
          <w:color w:val="auto"/>
        </w:rPr>
      </w:pPr>
      <w:r>
        <w:rPr>
          <w:rFonts w:ascii="Times New Roman" w:cs="Times New Roman" w:eastAsia="Times New Roman" w:hAnsi="Times New Roman"/>
          <w:sz w:val="22"/>
          <w:szCs w:val="22"/>
          <w:color w:val="auto"/>
        </w:rPr>
        <w:t>or Parents, as applicable, to terminate such relationship at any time, with or without cause, to the extent permitted by Applicable Laws.</w:t>
      </w:r>
    </w:p>
    <w:p>
      <w:pPr>
        <w:spacing w:after="0" w:line="154" w:lineRule="exact"/>
        <w:rPr>
          <w:sz w:val="20"/>
          <w:szCs w:val="20"/>
          <w:color w:val="auto"/>
        </w:rPr>
      </w:pPr>
    </w:p>
    <w:p>
      <w:pPr>
        <w:jc w:val="both"/>
        <w:ind w:firstLine="656"/>
        <w:spacing w:after="0" w:line="259" w:lineRule="auto"/>
        <w:tabs>
          <w:tab w:leader="none" w:pos="1296"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Date of Grant</w:t>
      </w:r>
      <w:r>
        <w:rPr>
          <w:rFonts w:ascii="Times New Roman" w:cs="Times New Roman" w:eastAsia="Times New Roman" w:hAnsi="Times New Roman"/>
          <w:sz w:val="22"/>
          <w:szCs w:val="22"/>
          <w:color w:val="auto"/>
        </w:rPr>
        <w:t>. The date of grant of an Award will be, for all purposes, the date on which the Administrator makes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determination granting such Award, or such other later date as is determined by the Administrator. Notice of the determination will be provided to each Participant within a reasonable time after the date of such grant.</w:t>
      </w:r>
    </w:p>
    <w:p>
      <w:pPr>
        <w:spacing w:after="0" w:line="166"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of Plan</w:t>
      </w:r>
      <w:r>
        <w:rPr>
          <w:rFonts w:ascii="Times New Roman" w:cs="Times New Roman" w:eastAsia="Times New Roman" w:hAnsi="Times New Roman"/>
          <w:sz w:val="22"/>
          <w:szCs w:val="22"/>
          <w:color w:val="auto"/>
        </w:rPr>
        <w:t>. Subject to Section 23 of the Plan, the Plan will become effective as of one business day prior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Date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The Plan will continue in effect for a term of ten (10) years from the date adopted by the Board, unless terminated earlier under Section 20 of the Plan.</w:t>
      </w:r>
    </w:p>
    <w:p>
      <w:pPr>
        <w:spacing w:after="0" w:line="16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 and Termination of the Plan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20.1</w:t>
      </w:r>
      <w:r>
        <w:rPr>
          <w:sz w:val="20"/>
          <w:szCs w:val="20"/>
          <w:color w:val="auto"/>
        </w:rPr>
        <w:tab/>
      </w:r>
      <w:r>
        <w:rPr>
          <w:rFonts w:ascii="Times New Roman" w:cs="Times New Roman" w:eastAsia="Times New Roman" w:hAnsi="Times New Roman"/>
          <w:sz w:val="21"/>
          <w:szCs w:val="21"/>
          <w:b w:val="1"/>
          <w:bCs w:val="1"/>
          <w:color w:val="auto"/>
        </w:rPr>
        <w:t>Amendment and Termination</w:t>
      </w:r>
      <w:r>
        <w:rPr>
          <w:rFonts w:ascii="Times New Roman" w:cs="Times New Roman" w:eastAsia="Times New Roman" w:hAnsi="Times New Roman"/>
          <w:sz w:val="21"/>
          <w:szCs w:val="21"/>
          <w:color w:val="auto"/>
        </w:rPr>
        <w:t>. The Administrator may at any time amend, alter, suspend or terminate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192"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The Company will obtain stockholder approval of any Plan amendment to the extent necessary and desirable to comply with Applicable Laws.</w:t>
      </w:r>
    </w:p>
    <w:p>
      <w:pPr>
        <w:spacing w:after="0" w:line="14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b w:val="1"/>
          <w:bCs w:val="1"/>
          <w:color w:val="auto"/>
        </w:rPr>
        <w:t>Effect of Amendment or Termination</w:t>
      </w:r>
      <w:r>
        <w:rPr>
          <w:rFonts w:ascii="Times New Roman" w:cs="Times New Roman" w:eastAsia="Times New Roman" w:hAnsi="Times New Roman"/>
          <w:sz w:val="22"/>
          <w:szCs w:val="22"/>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6" w:lineRule="exact"/>
        <w:rPr>
          <w:sz w:val="20"/>
          <w:szCs w:val="20"/>
          <w:color w:val="auto"/>
        </w:rPr>
      </w:pPr>
    </w:p>
    <w:p>
      <w:pPr>
        <w:ind w:left="1300" w:hanging="644"/>
        <w:spacing w:after="0"/>
        <w:tabs>
          <w:tab w:leader="none" w:pos="1300"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Conditions Upon Issuance of Shares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b w:val="1"/>
          <w:bCs w:val="1"/>
          <w:color w:val="auto"/>
        </w:rPr>
        <w:t>Legal Compliance</w:t>
      </w:r>
      <w:r>
        <w:rPr>
          <w:rFonts w:ascii="Times New Roman" w:cs="Times New Roman" w:eastAsia="Times New Roman" w:hAnsi="Times New Roman"/>
          <w:sz w:val="22"/>
          <w:szCs w:val="22"/>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6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b w:val="1"/>
          <w:bCs w:val="1"/>
          <w:color w:val="auto"/>
        </w:rPr>
        <w:t>Investment Representations</w:t>
      </w:r>
      <w:r>
        <w:rPr>
          <w:rFonts w:ascii="Times New Roman" w:cs="Times New Roman" w:eastAsia="Times New Roman" w:hAnsi="Times New Roman"/>
          <w:sz w:val="22"/>
          <w:szCs w:val="22"/>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5" w:lineRule="exact"/>
        <w:rPr>
          <w:sz w:val="20"/>
          <w:szCs w:val="20"/>
          <w:color w:val="auto"/>
        </w:rPr>
      </w:pPr>
    </w:p>
    <w:p>
      <w:pPr>
        <w:jc w:val="both"/>
        <w:ind w:firstLine="656"/>
        <w:spacing w:after="0" w:line="253" w:lineRule="auto"/>
        <w:tabs>
          <w:tab w:leader="none" w:pos="1296"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Inability to Obtain Authority</w:t>
      </w:r>
      <w:r>
        <w:rPr>
          <w:rFonts w:ascii="Times New Roman" w:cs="Times New Roman" w:eastAsia="Times New Roman" w:hAnsi="Times New Roman"/>
          <w:sz w:val="22"/>
          <w:szCs w:val="22"/>
          <w:color w:val="auto"/>
        </w:rPr>
        <w:t>. The inability of the Company to obtain authority from any regulatory body having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or to complete or comply with the requirements of any registration or other qualification of the Shares under any U.S. state or federal law or non-U.S. law or under the rules and regulations of the Securities and Exchange Commission, the stock exchange on which Shares of the same class are then listed, or any other governmental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359" w:name="page360"/>
    <w:bookmarkEnd w:id="359"/>
    <w:p>
      <w:pPr>
        <w:jc w:val="both"/>
        <w:spacing w:after="0" w:line="252" w:lineRule="auto"/>
        <w:rPr>
          <w:sz w:val="20"/>
          <w:szCs w:val="20"/>
          <w:color w:val="auto"/>
        </w:rPr>
      </w:pPr>
      <w:r>
        <w:rPr>
          <w:rFonts w:ascii="Times New Roman" w:cs="Times New Roman" w:eastAsia="Times New Roman" w:hAnsi="Times New Roman"/>
          <w:sz w:val="22"/>
          <w:szCs w:val="22"/>
          <w:color w:val="auto"/>
        </w:rPr>
        <w:t>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75" w:lineRule="exact"/>
        <w:rPr>
          <w:sz w:val="20"/>
          <w:szCs w:val="20"/>
          <w:color w:val="auto"/>
        </w:rPr>
      </w:pPr>
    </w:p>
    <w:p>
      <w:pPr>
        <w:ind w:left="1300" w:hanging="644"/>
        <w:spacing w:after="0"/>
        <w:tabs>
          <w:tab w:leader="none" w:pos="1300"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The Plan will be subject to approval by the stockholders of the Company within twelve</w:t>
      </w:r>
    </w:p>
    <w:p>
      <w:pPr>
        <w:spacing w:after="0" w:line="31" w:lineRule="exact"/>
        <w:rPr>
          <w:rFonts w:ascii="Times New Roman" w:cs="Times New Roman" w:eastAsia="Times New Roman" w:hAnsi="Times New Roman"/>
          <w:sz w:val="22"/>
          <w:szCs w:val="22"/>
          <w:color w:val="auto"/>
        </w:rPr>
      </w:pPr>
    </w:p>
    <w:p>
      <w:pPr>
        <w:ind w:firstLine="8"/>
        <w:spacing w:after="0" w:line="248" w:lineRule="auto"/>
        <w:tabs>
          <w:tab w:leader="none" w:pos="419"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the date the Plan is adopted by the Board. Such stockholder approval will be obtained in the manner and to the degree required under Applicable Laws.</w:t>
      </w:r>
    </w:p>
    <w:p>
      <w:pPr>
        <w:spacing w:after="0" w:line="178" w:lineRule="exact"/>
        <w:rPr>
          <w:rFonts w:ascii="Times New Roman" w:cs="Times New Roman" w:eastAsia="Times New Roman" w:hAnsi="Times New Roman"/>
          <w:sz w:val="22"/>
          <w:szCs w:val="22"/>
          <w:color w:val="auto"/>
        </w:rPr>
      </w:pPr>
    </w:p>
    <w:p>
      <w:pPr>
        <w:jc w:val="both"/>
        <w:ind w:firstLine="656"/>
        <w:spacing w:after="0" w:line="258" w:lineRule="auto"/>
        <w:tabs>
          <w:tab w:leader="none" w:pos="1296" w:val="left"/>
        </w:tabs>
        <w:numPr>
          <w:ilvl w:val="1"/>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Forfeiture Events</w:t>
      </w:r>
      <w:r>
        <w:rPr>
          <w:rFonts w:ascii="Times New Roman" w:cs="Times New Roman" w:eastAsia="Times New Roman" w:hAnsi="Times New Roman"/>
          <w:sz w:val="21"/>
          <w:szCs w:val="21"/>
          <w:color w:val="auto"/>
        </w:rPr>
        <w:t>. The Administrator may specify in an Award Agreement that the Participant’s rights, payments,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benefits with respect to an Award will be subject to the reduction, cancellation, forfeiture, recoupment, reimbursement, or reacquisition upon the occurrence of certain specified events, in addition to any otherwise applicable vesting or performance conditions of an Award.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Times New Roman" w:cs="Times New Roman" w:eastAsia="Times New Roman" w:hAnsi="Times New Roman"/>
          <w:sz w:val="21"/>
          <w:szCs w:val="21"/>
          <w:b w:val="1"/>
          <w:bCs w:val="1"/>
          <w:color w:val="auto"/>
        </w:rPr>
        <w:t>Clawback Policy</w:t>
      </w:r>
      <w:r>
        <w:rPr>
          <w:rFonts w:ascii="Times New Roman" w:cs="Times New Roman" w:eastAsia="Times New Roman" w:hAnsi="Times New Roman"/>
          <w:sz w:val="21"/>
          <w:szCs w:val="21"/>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79" w:lineRule="exact"/>
        <w:rPr>
          <w:rFonts w:ascii="Times New Roman" w:cs="Times New Roman" w:eastAsia="Times New Roman" w:hAnsi="Times New Roman"/>
          <w:sz w:val="21"/>
          <w:szCs w:val="21"/>
          <w:color w:val="auto"/>
        </w:rPr>
      </w:pPr>
    </w:p>
    <w:p>
      <w:pPr>
        <w:ind w:left="4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360" w:name="page361"/>
    <w:bookmarkEnd w:id="36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OF STOCK OPTION GRANT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Unless otherwise defined herein, the terms defined in the Seer, Inc. 2020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shall have the same defined meanings in this Stock Option Agreement, which includes the Notice of Stock Option Grant (the “</w:t>
      </w:r>
      <w:r>
        <w:rPr>
          <w:rFonts w:ascii="Times New Roman" w:cs="Times New Roman" w:eastAsia="Times New Roman" w:hAnsi="Times New Roman"/>
          <w:sz w:val="22"/>
          <w:szCs w:val="22"/>
          <w:b w:val="1"/>
          <w:bCs w:val="1"/>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Grant</w:t>
      </w:r>
      <w:r>
        <w:rPr>
          <w:rFonts w:ascii="Times New Roman" w:cs="Times New Roman" w:eastAsia="Times New Roman" w:hAnsi="Times New Roman"/>
          <w:sz w:val="22"/>
          <w:szCs w:val="22"/>
          <w:color w:val="auto"/>
        </w:rPr>
        <w:t>”), the Terms and Conditions of Stock Option Grant, attached hereto as</w:t>
      </w:r>
      <w:r>
        <w:rPr>
          <w:rFonts w:ascii="Times New Roman" w:cs="Times New Roman" w:eastAsia="Times New Roman" w:hAnsi="Times New Roman"/>
          <w:sz w:val="22"/>
          <w:szCs w:val="22"/>
          <w:b w:val="1"/>
          <w:bCs w:val="1"/>
          <w:color w:val="auto"/>
        </w:rPr>
        <w:t xml:space="preserve"> Exhibit A</w:t>
      </w:r>
      <w:r>
        <w:rPr>
          <w:rFonts w:ascii="Times New Roman" w:cs="Times New Roman" w:eastAsia="Times New Roman" w:hAnsi="Times New Roman"/>
          <w:sz w:val="22"/>
          <w:szCs w:val="22"/>
          <w:color w:val="auto"/>
        </w:rPr>
        <w:t>, the Exercise Notice, attached hereto as</w:t>
      </w:r>
      <w:r>
        <w:rPr>
          <w:rFonts w:ascii="Times New Roman" w:cs="Times New Roman" w:eastAsia="Times New Roman" w:hAnsi="Times New Roman"/>
          <w:sz w:val="22"/>
          <w:szCs w:val="22"/>
          <w:b w:val="1"/>
          <w:bCs w:val="1"/>
          <w:color w:val="auto"/>
        </w:rPr>
        <w:t xml:space="preserve"> Exhibit B</w:t>
      </w:r>
      <w:r>
        <w:rPr>
          <w:rFonts w:ascii="Times New Roman" w:cs="Times New Roman" w:eastAsia="Times New Roman" w:hAnsi="Times New Roman"/>
          <w:sz w:val="22"/>
          <w:szCs w:val="22"/>
          <w:color w:val="auto"/>
        </w:rPr>
        <w:t>, and all other exhibits, appendices, and addenda attached hereto (together, the “</w:t>
      </w:r>
      <w:r>
        <w:rPr>
          <w:rFonts w:ascii="Times New Roman" w:cs="Times New Roman" w:eastAsia="Times New Roman" w:hAnsi="Times New Roman"/>
          <w:sz w:val="22"/>
          <w:szCs w:val="22"/>
          <w:b w:val="1"/>
          <w:bCs w:val="1"/>
          <w:color w:val="auto"/>
        </w:rPr>
        <w:t>Option Agreement</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undersigned Participant has been granted an Option to purchase Common Stock of the Company, subject to the terms and conditions of the Plan and this Option Agreement, as follows:</w:t>
      </w:r>
    </w:p>
    <w:p>
      <w:pPr>
        <w:sectPr>
          <w:pgSz w:w="11900" w:h="16838" w:orient="portrait"/>
          <w:cols w:equalWidth="0" w:num="1">
            <w:col w:w="11240"/>
          </w:cols>
          <w:pgMar w:left="320" w:top="1418" w:right="339" w:bottom="1440" w:gutter="0" w:footer="0" w:header="0"/>
        </w:sectPr>
      </w:pPr>
    </w:p>
    <w:p>
      <w:pPr>
        <w:spacing w:after="0" w:line="2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Grant Number:</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Date of Grant:</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Exercise Price per Share:</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Total Number of Shares Granted:</w:t>
      </w:r>
    </w:p>
    <w:p>
      <w:pPr>
        <w:spacing w:after="0" w:line="2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Total Exercise Price:</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Type of Option: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Term/Expiration Date:</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328295</wp:posOffset>
            </wp:positionV>
            <wp:extent cx="27686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27686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27940</wp:posOffset>
            </wp:positionV>
            <wp:extent cx="27686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27686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-271145</wp:posOffset>
            </wp:positionV>
            <wp:extent cx="27686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-571500</wp:posOffset>
            </wp:positionV>
            <wp:extent cx="27686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-871220</wp:posOffset>
            </wp:positionV>
            <wp:extent cx="27686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27940</wp:posOffset>
            </wp:positionV>
            <wp:extent cx="27686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 Incentive Stock Option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 Nonstatutory Stock Option</w:t>
      </w:r>
    </w:p>
    <w:p>
      <w:pPr>
        <w:spacing w:after="0" w:line="1152" w:lineRule="exact"/>
        <w:rPr>
          <w:sz w:val="20"/>
          <w:szCs w:val="20"/>
          <w:color w:val="auto"/>
        </w:rPr>
      </w:pPr>
    </w:p>
    <w:p>
      <w:pPr>
        <w:sectPr>
          <w:pgSz w:w="11900" w:h="16838" w:orient="portrait"/>
          <w:cols w:equalWidth="0" w:num="2">
            <w:col w:w="4960" w:space="720"/>
            <w:col w:w="5560"/>
          </w:cols>
          <w:pgMar w:left="320" w:top="1418" w:right="339" w:bottom="1440" w:gutter="0" w:footer="0" w:header="0"/>
          <w:type w:val="continuous"/>
        </w:sectPr>
      </w:pPr>
    </w:p>
    <w:p>
      <w:pPr>
        <w:spacing w:after="0" w:line="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this Option Agreement or any other written agreement authorized by the Administrator between Participant and the Company (or any Parent or Subsidiary of the Company, as applicable) governing the terms of this Option, this Option shall vest and be exercisable, in whole or in part, according to the following vesting schedule:</w:t>
      </w:r>
    </w:p>
    <w:p>
      <w:pPr>
        <w:sectPr>
          <w:pgSz w:w="11900" w:h="16838" w:orient="portrait"/>
          <w:cols w:equalWidth="0" w:num="1">
            <w:col w:w="11240"/>
          </w:cols>
          <w:pgMar w:left="320" w:top="1418" w:right="339" w:bottom="1440" w:gutter="0" w:footer="0" w:header="0"/>
          <w:type w:val="continuous"/>
        </w:sectPr>
      </w:pPr>
    </w:p>
    <w:bookmarkStart w:id="361" w:name="page362"/>
    <w:bookmarkEnd w:id="361"/>
    <w:p>
      <w:pPr>
        <w:ind w:left="660"/>
        <w:spacing w:after="0"/>
        <w:rPr>
          <w:sz w:val="20"/>
          <w:szCs w:val="20"/>
          <w:color w:val="auto"/>
        </w:rPr>
      </w:pPr>
      <w:r>
        <w:rPr>
          <w:rFonts w:ascii="Times New Roman" w:cs="Times New Roman" w:eastAsia="Times New Roman" w:hAnsi="Times New Roman"/>
          <w:sz w:val="21"/>
          <w:szCs w:val="21"/>
          <w:color w:val="auto"/>
        </w:rPr>
        <w:t>[Twenty-five percent (25%) of the Total Number of Shares Granted under the Option shall be scheduled to vest on the one</w:t>
      </w:r>
    </w:p>
    <w:p>
      <w:pPr>
        <w:spacing w:after="0" w:line="25" w:lineRule="exact"/>
        <w:rPr>
          <w:sz w:val="20"/>
          <w:szCs w:val="20"/>
          <w:color w:val="auto"/>
        </w:rPr>
      </w:pPr>
    </w:p>
    <w:p>
      <w:pPr>
        <w:jc w:val="both"/>
        <w:ind w:firstLine="8"/>
        <w:spacing w:after="0" w:line="231" w:lineRule="auto"/>
        <w:tabs>
          <w:tab w:leader="none" w:pos="323"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 anniversary of the Vesting Commencement Date, and one forty-eighth (1/48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of the Total Number of Shares Granted under the Option shall be scheduled to vest each month thereafter on the same day of the month as the Vesting Commencement Date (and if there is no corresponding day in a particular month, on the last day of the month), subject to Participant continuing to be a Service Provider through each such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Termination Period</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This Option shall be exercisable, to the extent vested, for [ninety (90)] after Participant ceases to be a Service Provider, unless such termination is due to Participant’s death or Disability or upon Participant’s termination for Cause (as defined in the Plan). If Participant ceases to be a Service Provider due to Participant’s death or Disablity, this Option shall be exercisable, to the extent vested, for [twelve (12) months] after Participant ceases to be a Service Provider. If Participant ceases to be a Service Provider as a result of Participant’s termination for Cause, this Option will immediately terminate in full and cease to be exercisable. For the avoidance of doubt, Participant’s employment also shall be deemed to have been terminated for Cause if the Company determines within thirty (30) days following the termination of employment (whether such termination was voluntary or involuntary) that termination for Cause was warranted. In no event may this Option be exercised after the Term/Expiration Date as provided above and this Option may be subject to earlier termination as provided in Section 15 of the Plan.</w:t>
      </w:r>
    </w:p>
    <w:p>
      <w:pPr>
        <w:spacing w:after="0" w:line="17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the Exercise Notice, attached hereto as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and all other exhibits, appendices and addenda attached hereto, all of which are made a part of this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the Option Agreement. Participant hereby agrees to accept as binding, conclusive and final all decisions or interpretations of the Administrator upon any questions relating to the Plan or this Option Agreement. Participant further agrees to notify the Company upon any change in Participant’s residence address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22" w:right="339" w:bottom="1440" w:gutter="0" w:footer="0" w:header="0"/>
        </w:sectPr>
      </w:pPr>
    </w:p>
    <w:bookmarkStart w:id="362" w:name="page363"/>
    <w:bookmarkEnd w:id="362"/>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33686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33686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33686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336867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378460</wp:posOffset>
            </wp:positionV>
            <wp:extent cx="33686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207010</wp:posOffset>
            </wp:positionV>
            <wp:extent cx="33858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205740</wp:posOffset>
            </wp:positionV>
            <wp:extent cx="33858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205740</wp:posOffset>
            </wp:positionV>
            <wp:extent cx="33858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327" w:lineRule="exact"/>
        <w:rPr>
          <w:sz w:val="20"/>
          <w:szCs w:val="20"/>
          <w:color w:val="auto"/>
        </w:rPr>
      </w:pPr>
    </w:p>
    <w:p>
      <w:pPr>
        <w:jc w:val="center"/>
        <w:ind w:right="3879"/>
        <w:spacing w:after="0"/>
        <w:rPr>
          <w:sz w:val="20"/>
          <w:szCs w:val="20"/>
          <w:color w:val="auto"/>
        </w:rPr>
      </w:pPr>
      <w:r>
        <w:rPr>
          <w:rFonts w:ascii="Times New Roman" w:cs="Times New Roman" w:eastAsia="Times New Roman" w:hAnsi="Times New Roman"/>
          <w:sz w:val="17"/>
          <w:szCs w:val="17"/>
          <w:color w:val="auto"/>
        </w:rPr>
        <w:t>Title</w:t>
      </w:r>
    </w:p>
    <w:p>
      <w:pPr>
        <w:spacing w:after="0" w:line="520" w:lineRule="exact"/>
        <w:rPr>
          <w:sz w:val="20"/>
          <w:szCs w:val="20"/>
          <w:color w:val="auto"/>
        </w:rPr>
      </w:pPr>
    </w:p>
    <w:p>
      <w:pPr>
        <w:sectPr>
          <w:pgSz w:w="11900" w:h="16838" w:orient="portrait"/>
          <w:cols w:equalWidth="0" w:num="2">
            <w:col w:w="5180" w:space="720"/>
            <w:col w:w="42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- 3 -</w:t>
      </w:r>
    </w:p>
    <w:p>
      <w:pPr>
        <w:sectPr>
          <w:pgSz w:w="11900" w:h="16838" w:orient="portrait"/>
          <w:cols w:equalWidth="0" w:num="1">
            <w:col w:w="10119"/>
          </w:cols>
          <w:pgMar w:left="340" w:top="1440" w:right="1440" w:bottom="1440" w:gutter="0" w:footer="0" w:header="0"/>
          <w:type w:val="continuous"/>
        </w:sectPr>
      </w:pPr>
    </w:p>
    <w:bookmarkStart w:id="363" w:name="page364"/>
    <w:bookmarkEnd w:id="363"/>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STOCK OPTION GRANT</w:t>
      </w:r>
    </w:p>
    <w:p>
      <w:pPr>
        <w:spacing w:after="0" w:line="220" w:lineRule="exact"/>
        <w:rPr>
          <w:sz w:val="20"/>
          <w:szCs w:val="20"/>
          <w:color w:val="auto"/>
        </w:rPr>
      </w:pPr>
    </w:p>
    <w:p>
      <w:pPr>
        <w:ind w:left="1300" w:hanging="644"/>
        <w:spacing w:after="0"/>
        <w:tabs>
          <w:tab w:leader="none" w:pos="130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 of Option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1"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grants to the individual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named in the Notice of Stock Option Grant of this Option Agreement (the “</w:t>
      </w:r>
      <w:r>
        <w:rPr>
          <w:rFonts w:ascii="Times New Roman" w:cs="Times New Roman" w:eastAsia="Times New Roman" w:hAnsi="Times New Roman"/>
          <w:sz w:val="22"/>
          <w:szCs w:val="22"/>
          <w:b w:val="1"/>
          <w:bCs w:val="1"/>
          <w:color w:val="auto"/>
        </w:rPr>
        <w:t>Notice of Grant</w:t>
      </w:r>
      <w:r>
        <w:rPr>
          <w:rFonts w:ascii="Times New Roman" w:cs="Times New Roman" w:eastAsia="Times New Roman" w:hAnsi="Times New Roman"/>
          <w:sz w:val="22"/>
          <w:szCs w:val="22"/>
          <w:color w:val="auto"/>
        </w:rPr>
        <w:t>”), an option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to purchase the number of Shares set forth in the Notice of Grant, at the exercise price per Share set forth in the Notice of Grant (the “</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subject to all of the terms and conditions in this Option Agreement and the Plan, which is incorporated herein by reference. Subject to Section 20 of the Plan, in the event of a conflict between the terms and conditions of the Plan and this Option Agreement, the terms and conditions of the Plan shall prevail.</w:t>
      </w:r>
    </w:p>
    <w:p>
      <w:pPr>
        <w:spacing w:after="0" w:line="18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U.S. taxpayers, if designated in the Notice of Grant as an Incentive Stock Option (“</w:t>
      </w:r>
      <w:r>
        <w:rPr>
          <w:rFonts w:ascii="Times New Roman" w:cs="Times New Roman" w:eastAsia="Times New Roman" w:hAnsi="Times New Roman"/>
          <w:sz w:val="22"/>
          <w:szCs w:val="22"/>
          <w:b w:val="1"/>
          <w:bCs w:val="1"/>
          <w:color w:val="auto"/>
        </w:rPr>
        <w:t>ISO</w:t>
      </w:r>
      <w:r>
        <w:rPr>
          <w:rFonts w:ascii="Times New Roman" w:cs="Times New Roman" w:eastAsia="Times New Roman" w:hAnsi="Times New Roman"/>
          <w:sz w:val="22"/>
          <w:szCs w:val="22"/>
          <w:color w:val="auto"/>
        </w:rPr>
        <w:t>”), this Option is intended to qualify as an Incentive Stock Option as defined in Section 422 of the Code. Nevertheless, to the extent that it exceeds the $100,000 rule of Code Section 422(d), this Option shall be treated as a Nonstatutory Stock Option (“</w:t>
      </w:r>
      <w:r>
        <w:rPr>
          <w:rFonts w:ascii="Times New Roman" w:cs="Times New Roman" w:eastAsia="Times New Roman" w:hAnsi="Times New Roman"/>
          <w:sz w:val="22"/>
          <w:szCs w:val="22"/>
          <w:b w:val="1"/>
          <w:bCs w:val="1"/>
          <w:color w:val="auto"/>
        </w:rPr>
        <w:t>NSO</w:t>
      </w:r>
      <w:r>
        <w:rPr>
          <w:rFonts w:ascii="Times New Roman" w:cs="Times New Roman" w:eastAsia="Times New Roman" w:hAnsi="Times New Roman"/>
          <w:sz w:val="22"/>
          <w:szCs w:val="22"/>
          <w:color w:val="auto"/>
        </w:rPr>
        <w:t>”).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8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non-U.S. taxpayers, the Option will be designated as an NSO.</w:t>
      </w:r>
    </w:p>
    <w:p>
      <w:pPr>
        <w:spacing w:after="0" w:line="215"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 Except as provided in Section 3, the Option awarded by this Option Agreement will vest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vesting provisions set forth in the Notice of Grant. Unless specifically provided otherwise in this Option Agreement or other written agreement authorized by the Administrator between Participant and the Company or any Parent or Subsidiary of the Company, as applicable,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w:t>
      </w:r>
    </w:p>
    <w:p>
      <w:pPr>
        <w:spacing w:after="0" w:line="180" w:lineRule="exact"/>
        <w:rPr>
          <w:rFonts w:ascii="Times New Roman" w:cs="Times New Roman" w:eastAsia="Times New Roman" w:hAnsi="Times New Roman"/>
          <w:sz w:val="22"/>
          <w:szCs w:val="22"/>
          <w:color w:val="auto"/>
        </w:rPr>
      </w:pPr>
    </w:p>
    <w:p>
      <w:pPr>
        <w:ind w:firstLine="656"/>
        <w:spacing w:after="0" w:line="275" w:lineRule="auto"/>
        <w:tabs>
          <w:tab w:leader="none" w:pos="1296"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Administrator Discretion</w:t>
      </w:r>
      <w:r>
        <w:rPr>
          <w:rFonts w:ascii="Times New Roman" w:cs="Times New Roman" w:eastAsia="Times New Roman" w:hAnsi="Times New Roman"/>
          <w:sz w:val="22"/>
          <w:szCs w:val="22"/>
          <w:color w:val="auto"/>
        </w:rPr>
        <w:t>. The Administrator, in its discretion, may accelerate the vesting of the balance, or some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lesser portion of the balance, of the unvested Option at any time,</w:t>
      </w:r>
    </w:p>
    <w:p>
      <w:pPr>
        <w:sectPr>
          <w:pgSz w:w="11900" w:h="16838" w:orient="portrait"/>
          <w:cols w:equalWidth="0" w:num="1">
            <w:col w:w="11240"/>
          </w:cols>
          <w:pgMar w:left="320" w:top="1418" w:right="339" w:bottom="1440" w:gutter="0" w:footer="0" w:header="0"/>
        </w:sectPr>
      </w:pPr>
    </w:p>
    <w:bookmarkStart w:id="364" w:name="page365"/>
    <w:bookmarkEnd w:id="364"/>
    <w:p>
      <w:pPr>
        <w:spacing w:after="0" w:line="271" w:lineRule="auto"/>
        <w:rPr>
          <w:sz w:val="20"/>
          <w:szCs w:val="20"/>
          <w:color w:val="auto"/>
        </w:rPr>
      </w:pPr>
      <w:r>
        <w:rPr>
          <w:rFonts w:ascii="Times New Roman" w:cs="Times New Roman" w:eastAsia="Times New Roman" w:hAnsi="Times New Roman"/>
          <w:sz w:val="22"/>
          <w:szCs w:val="22"/>
          <w:color w:val="auto"/>
        </w:rPr>
        <w:t>subject to the terms of the Plan. If so accelerated, such Option will be considered as having vested as of the date specified by the Administrator.</w:t>
      </w:r>
    </w:p>
    <w:p>
      <w:pPr>
        <w:spacing w:after="0" w:line="154" w:lineRule="exact"/>
        <w:rPr>
          <w:sz w:val="20"/>
          <w:szCs w:val="20"/>
          <w:color w:val="auto"/>
        </w:rPr>
      </w:pPr>
    </w:p>
    <w:p>
      <w:pPr>
        <w:ind w:left="1300" w:hanging="644"/>
        <w:spacing w:after="0"/>
        <w:tabs>
          <w:tab w:leader="none" w:pos="1300"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Exercise of Option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1304"/>
        <w:spacing w:after="0" w:line="275" w:lineRule="auto"/>
        <w:tabs>
          <w:tab w:leader="none" w:pos="1941"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 to Exercise</w:t>
      </w:r>
      <w:r>
        <w:rPr>
          <w:rFonts w:ascii="Times New Roman" w:cs="Times New Roman" w:eastAsia="Times New Roman" w:hAnsi="Times New Roman"/>
          <w:sz w:val="22"/>
          <w:szCs w:val="22"/>
          <w:color w:val="auto"/>
        </w:rPr>
        <w:t>. This Option shall be exercisable during its term in accordance with the 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set out in the Notice of Grant and with the applicable provisions of the Plan and this Option Agreement.</w:t>
      </w:r>
    </w:p>
    <w:p>
      <w:pPr>
        <w:spacing w:after="0" w:line="149"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9"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Method of Exercise</w:t>
      </w:r>
      <w:r>
        <w:rPr>
          <w:rFonts w:ascii="Times New Roman" w:cs="Times New Roman" w:eastAsia="Times New Roman" w:hAnsi="Times New Roman"/>
          <w:sz w:val="22"/>
          <w:szCs w:val="22"/>
          <w:color w:val="auto"/>
        </w:rPr>
        <w:t>. This Option shall be exercisable by delivery of an exercise notice (the “</w:t>
      </w:r>
      <w:r>
        <w:rPr>
          <w:rFonts w:ascii="Times New Roman" w:cs="Times New Roman" w:eastAsia="Times New Roman" w:hAnsi="Times New Roman"/>
          <w:sz w:val="22"/>
          <w:szCs w:val="22"/>
          <w:b w:val="1"/>
          <w:bCs w:val="1"/>
          <w:color w:val="auto"/>
        </w:rPr>
        <w:t>Exercise Notice</w:t>
      </w:r>
      <w:r>
        <w:rPr>
          <w:rFonts w:ascii="Times New Roman" w:cs="Times New Roman" w:eastAsia="Times New Roman" w:hAnsi="Times New Roman"/>
          <w:sz w:val="22"/>
          <w:szCs w:val="22"/>
          <w:color w:val="auto"/>
        </w:rPr>
        <w:t>”) in the form attached as</w:t>
      </w:r>
      <w:r>
        <w:rPr>
          <w:rFonts w:ascii="Times New Roman" w:cs="Times New Roman" w:eastAsia="Times New Roman" w:hAnsi="Times New Roman"/>
          <w:sz w:val="22"/>
          <w:szCs w:val="22"/>
          <w:b w:val="1"/>
          <w:bCs w:val="1"/>
          <w:color w:val="auto"/>
        </w:rPr>
        <w:t xml:space="preserve"> Exhibit B </w:t>
      </w:r>
      <w:r>
        <w:rPr>
          <w:rFonts w:ascii="Times New Roman" w:cs="Times New Roman" w:eastAsia="Times New Roman" w:hAnsi="Times New Roman"/>
          <w:sz w:val="22"/>
          <w:szCs w:val="22"/>
          <w:color w:val="auto"/>
        </w:rPr>
        <w:t>to the Notice of Grant or in a manner and pursuant to such procedures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may determine, which shall state the election to exercise the Option, the number of Shares with respect to which the Option is being exercised (the “</w:t>
      </w:r>
      <w:r>
        <w:rPr>
          <w:rFonts w:ascii="Times New Roman" w:cs="Times New Roman" w:eastAsia="Times New Roman" w:hAnsi="Times New Roman"/>
          <w:sz w:val="22"/>
          <w:szCs w:val="22"/>
          <w:b w:val="1"/>
          <w:bCs w:val="1"/>
          <w:color w:val="auto"/>
        </w:rPr>
        <w:t>Exercised Shares</w:t>
      </w:r>
      <w:r>
        <w:rPr>
          <w:rFonts w:ascii="Times New Roman" w:cs="Times New Roman" w:eastAsia="Times New Roman" w:hAnsi="Times New Roman"/>
          <w:sz w:val="22"/>
          <w:szCs w:val="22"/>
          <w:color w:val="auto"/>
        </w:rPr>
        <w:t>”), and such other representations and agreements as may be required by the Company. The Exercise Notice shall be completed by Participant and delivered to the Company, accompanied by payment of the aggregate Exercise Price as to all Exercised Shares, together with any applicable Withholding Obligations (as defined below). This Option shall be deemed to be exercised upon receipt by the Company of such fully executed Exercise Notice accompanied by the aggregate Exercise Price, together with any applicable Withholding Obligations.</w:t>
      </w:r>
    </w:p>
    <w:p>
      <w:pPr>
        <w:spacing w:after="0" w:line="18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69" w:lineRule="exact"/>
        <w:rPr>
          <w:sz w:val="20"/>
          <w:szCs w:val="20"/>
          <w:color w:val="auto"/>
        </w:rPr>
      </w:pPr>
    </w:p>
    <w:p>
      <w:pPr>
        <w:ind w:firstLine="656"/>
        <w:spacing w:after="0" w:line="275" w:lineRule="auto"/>
        <w:tabs>
          <w:tab w:leader="none" w:pos="1296"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Method of Payment</w:t>
      </w:r>
      <w:r>
        <w:rPr>
          <w:rFonts w:ascii="Times New Roman" w:cs="Times New Roman" w:eastAsia="Times New Roman" w:hAnsi="Times New Roman"/>
          <w:sz w:val="22"/>
          <w:szCs w:val="22"/>
          <w:color w:val="auto"/>
        </w:rPr>
        <w:t>. Payment of the aggregate Exercise Price shall be by any of the following, or a combination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at the election of Participant:</w:t>
      </w:r>
    </w:p>
    <w:p>
      <w:pPr>
        <w:spacing w:after="0" w:line="15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received by the Company under a formal cashless exercise program adopted by the Company in connection with the Plan; or</w:t>
      </w:r>
    </w:p>
    <w:p>
      <w:pPr>
        <w:spacing w:after="0" w:line="15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is a U.S. employee, surrender of other Shares which (i) shall be valued at its fair market value on the date of surrender, and (ii) must be owned free and clear of any liens, claims, encumbrances or security interests, if accepting such Shares, in the sole discretion of the Administrator, shall not result in any adverse accounting consequences to the Company.</w:t>
      </w:r>
    </w:p>
    <w:p>
      <w:pPr>
        <w:spacing w:after="0" w:line="17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 non-U.S. resident’s methods of exercise may be restricted by the terms and conditions of any appendix to this Agreement for Participant’s country (including the Country Addendum,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22" w:right="339" w:bottom="1440" w:gutter="0" w:footer="0" w:header="0"/>
        </w:sectPr>
      </w:pPr>
    </w:p>
    <w:bookmarkStart w:id="365" w:name="page366"/>
    <w:bookmarkEnd w:id="365"/>
    <w:p>
      <w:pPr>
        <w:ind w:left="-656" w:firstLine="656"/>
        <w:spacing w:after="0" w:line="275" w:lineRule="auto"/>
        <w:tabs>
          <w:tab w:leader="none" w:pos="640"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Non-Transferability of Option</w:t>
      </w:r>
      <w:r>
        <w:rPr>
          <w:rFonts w:ascii="Times New Roman" w:cs="Times New Roman" w:eastAsia="Times New Roman" w:hAnsi="Times New Roman"/>
          <w:sz w:val="22"/>
          <w:szCs w:val="22"/>
          <w:color w:val="auto"/>
        </w:rPr>
        <w:t>. This Option may not be transferred in any manner otherwise than by will or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laws of descent or distribution and may be exercised during the lifetime of Participant only by Participant.</w:t>
      </w:r>
    </w:p>
    <w:p>
      <w:pPr>
        <w:spacing w:after="0" w:line="149" w:lineRule="exact"/>
        <w:rPr>
          <w:rFonts w:ascii="Times New Roman" w:cs="Times New Roman" w:eastAsia="Times New Roman" w:hAnsi="Times New Roman"/>
          <w:sz w:val="22"/>
          <w:szCs w:val="22"/>
          <w:color w:val="auto"/>
        </w:rPr>
      </w:pPr>
    </w:p>
    <w:p>
      <w:pPr>
        <w:ind w:left="-656" w:firstLine="656"/>
        <w:spacing w:after="0" w:line="275" w:lineRule="auto"/>
        <w:tabs>
          <w:tab w:leader="none" w:pos="640"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of Option</w:t>
      </w:r>
      <w:r>
        <w:rPr>
          <w:rFonts w:ascii="Times New Roman" w:cs="Times New Roman" w:eastAsia="Times New Roman" w:hAnsi="Times New Roman"/>
          <w:sz w:val="22"/>
          <w:szCs w:val="22"/>
          <w:color w:val="auto"/>
        </w:rPr>
        <w:t>. This Option may be exercised only within the term set out in the Notice of Grant, and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exercised during such term only in accordance with the Plan and the terms of this Option Agreement.</w:t>
      </w:r>
    </w:p>
    <w:p>
      <w:pPr>
        <w:spacing w:after="0" w:line="14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Obligations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56" w:firstLine="1304"/>
        <w:spacing w:after="0" w:line="244" w:lineRule="auto"/>
        <w:tabs>
          <w:tab w:leader="none" w:pos="1285"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if different, Participant’s employer or any Parent or Subsidiary to which Participant is providing services (together, the “</w:t>
      </w:r>
      <w:r>
        <w:rPr>
          <w:rFonts w:ascii="Times New Roman" w:cs="Times New Roman" w:eastAsia="Times New Roman" w:hAnsi="Times New Roman"/>
          <w:sz w:val="22"/>
          <w:szCs w:val="22"/>
          <w:b w:val="1"/>
          <w:bCs w:val="1"/>
          <w:color w:val="auto"/>
        </w:rPr>
        <w:t>Service Recipients</w:t>
      </w:r>
      <w:r>
        <w:rPr>
          <w:rFonts w:ascii="Times New Roman" w:cs="Times New Roman" w:eastAsia="Times New Roman" w:hAnsi="Times New Roman"/>
          <w:sz w:val="22"/>
          <w:szCs w:val="22"/>
          <w:color w:val="auto"/>
        </w:rPr>
        <w:t>”), the ultimate liability for any tax and/or social insurance liability obligations and requirements in connection with the Option,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exercise of the Option or sale of Shares, and (iii) any other Service Recipient taxes the responsibility for which Participant has, or has agreed to bear, with respect to the Option (or exercise thereof or issuance of Shares thereunder) (collectively, the “</w:t>
      </w:r>
      <w:r>
        <w:rPr>
          <w:rFonts w:ascii="Times New Roman" w:cs="Times New Roman" w:eastAsia="Times New Roman" w:hAnsi="Times New Roman"/>
          <w:sz w:val="22"/>
          <w:szCs w:val="22"/>
          <w:b w:val="1"/>
          <w:bCs w:val="1"/>
          <w:color w:val="auto"/>
        </w:rPr>
        <w:t>Tax 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makes any commitment to and is under any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Wtihholding Obligations (as defined below)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201" w:lineRule="exact"/>
        <w:rPr>
          <w:rFonts w:ascii="Times New Roman" w:cs="Times New Roman" w:eastAsia="Times New Roman" w:hAnsi="Times New Roman"/>
          <w:sz w:val="22"/>
          <w:szCs w:val="22"/>
          <w:color w:val="auto"/>
        </w:rPr>
      </w:pPr>
    </w:p>
    <w:p>
      <w:pPr>
        <w:jc w:val="both"/>
        <w:ind w:left="-656" w:firstLine="1304"/>
        <w:spacing w:after="0" w:line="249" w:lineRule="auto"/>
        <w:tabs>
          <w:tab w:leader="none" w:pos="1283"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 Pursuant to such procedures as the Administrator may specify from time to time,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Service Recipient(s) will withhold the amount required to be withheld for the payment of Tax Obligations (the “</w:t>
      </w:r>
      <w:r>
        <w:rPr>
          <w:rFonts w:ascii="Times New Roman" w:cs="Times New Roman" w:eastAsia="Times New Roman" w:hAnsi="Times New Roman"/>
          <w:sz w:val="22"/>
          <w:szCs w:val="22"/>
          <w:b w:val="1"/>
          <w:bCs w:val="1"/>
          <w:color w:val="auto"/>
        </w:rPr>
        <w:t>Withholding Obligations</w:t>
      </w:r>
      <w:r>
        <w:rPr>
          <w:rFonts w:ascii="Times New Roman" w:cs="Times New Roman" w:eastAsia="Times New Roman" w:hAnsi="Times New Roman"/>
          <w:sz w:val="22"/>
          <w:szCs w:val="22"/>
          <w:color w:val="auto"/>
        </w:rPr>
        <w:t>”). The Administrator, in its sole discretion and pursuant to such procedures as it may specify from time to time, may permit Participant to satisfy such Withholding Obligations, in whole or in part (without limitation), if permissible by applicable local law, by (i) paying cash, (ii) electing to have the Company withhold otherwise deliverable Shares having a fair market value equal to the minimum</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3" w:lineRule="exact"/>
        <w:rPr>
          <w:rFonts w:ascii="Times New Roman" w:cs="Times New Roman" w:eastAsia="Times New Roman" w:hAnsi="Times New Roman"/>
          <w:sz w:val="22"/>
          <w:szCs w:val="22"/>
          <w:color w:val="auto"/>
        </w:rPr>
      </w:pPr>
    </w:p>
    <w:p>
      <w:pPr>
        <w:ind w:left="4924" w:hanging="136"/>
        <w:spacing w:after="0"/>
        <w:tabs>
          <w:tab w:leader="none" w:pos="4924" w:val="left"/>
        </w:tabs>
        <w:numPr>
          <w:ilvl w:val="2"/>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0584"/>
          </w:cols>
          <w:pgMar w:left="976" w:top="1418" w:right="339" w:bottom="1440" w:gutter="0" w:footer="0" w:header="0"/>
        </w:sectPr>
      </w:pPr>
    </w:p>
    <w:bookmarkStart w:id="366" w:name="page367"/>
    <w:bookmarkEnd w:id="366"/>
    <w:p>
      <w:pPr>
        <w:jc w:val="both"/>
        <w:spacing w:after="0" w:line="246" w:lineRule="auto"/>
        <w:rPr>
          <w:sz w:val="20"/>
          <w:szCs w:val="20"/>
          <w:color w:val="auto"/>
        </w:rPr>
      </w:pPr>
      <w:r>
        <w:rPr>
          <w:rFonts w:ascii="Times New Roman" w:cs="Times New Roman" w:eastAsia="Times New Roman" w:hAnsi="Times New Roman"/>
          <w:sz w:val="22"/>
          <w:szCs w:val="22"/>
          <w:color w:val="auto"/>
        </w:rPr>
        <w:t>amount that is necessary to meet the withholding requirement for such Withholding Obligations (or such greater amount as Participant may elect if permitted by the Administrator, if such greater amount would not result in adverse financial accounting consequences), (iii) having the amount of such Withholding Obligations withheld from Participant’s wages or other cash compensation paid to Participant by the applicable Service Recipient(s), (iv) delivering to the Company Shares that Participant owns and that have vested with a fair market value equal to such Withholding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To the extent determined appropriate by the Administrator in its discretion, the Administrator will have the right (but not the obligation) to satisfy any Withholding Obligations by reducing the number of Shares otherwise deliverable to Participant.</w:t>
      </w:r>
    </w:p>
    <w:p>
      <w:pPr>
        <w:spacing w:after="0" w:line="181" w:lineRule="exact"/>
        <w:rPr>
          <w:sz w:val="20"/>
          <w:szCs w:val="20"/>
          <w:color w:val="auto"/>
        </w:rPr>
      </w:pPr>
    </w:p>
    <w:p>
      <w:pPr>
        <w:jc w:val="both"/>
        <w:ind w:firstLine="1304"/>
        <w:spacing w:after="0" w:line="251" w:lineRule="auto"/>
        <w:tabs>
          <w:tab w:leader="none" w:pos="1941" w:val="left"/>
        </w:tabs>
        <w:numPr>
          <w:ilvl w:val="2"/>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 of Disqualifying Disposition of ISO Shares</w:t>
      </w:r>
      <w:r>
        <w:rPr>
          <w:rFonts w:ascii="Times New Roman" w:cs="Times New Roman" w:eastAsia="Times New Roman" w:hAnsi="Times New Roman"/>
          <w:sz w:val="22"/>
          <w:szCs w:val="22"/>
          <w:color w:val="auto"/>
        </w:rPr>
        <w:t>. If the Option granted to Participant herein is an ISO,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75"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2"/>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Section 409A. </w:t>
      </w:r>
      <w:r>
        <w:rPr>
          <w:rFonts w:ascii="Times New Roman" w:cs="Times New Roman" w:eastAsia="Times New Roman" w:hAnsi="Times New Roman"/>
          <w:sz w:val="22"/>
          <w:szCs w:val="22"/>
          <w:color w:val="auto"/>
        </w:rPr>
        <w:t>Under Section 409A, a stock right (such as the Option) that vests after December 31, 2004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that vested on or prior to such date but which was materially modified after October 3, 2004), that was granted with a per share exercise price that is determined by the Internal Revenue Service (the “</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 to be less than the fair market value of an underlying share on the date of grant (a “</w:t>
      </w:r>
      <w:r>
        <w:rPr>
          <w:rFonts w:ascii="Times New Roman" w:cs="Times New Roman" w:eastAsia="Times New Roman" w:hAnsi="Times New Roman"/>
          <w:sz w:val="22"/>
          <w:szCs w:val="22"/>
          <w:b w:val="1"/>
          <w:bCs w:val="1"/>
          <w:color w:val="auto"/>
        </w:rPr>
        <w:t>discount option</w:t>
      </w:r>
      <w:r>
        <w:rPr>
          <w:rFonts w:ascii="Times New Roman" w:cs="Times New Roman" w:eastAsia="Times New Roman" w:hAnsi="Times New Roman"/>
          <w:sz w:val="22"/>
          <w:szCs w:val="22"/>
          <w:color w:val="auto"/>
        </w:rPr>
        <w:t>”) may be considered “deferred compensation.” A stock right that is a “discount option” may result in (i) income recognition by the recipient of the stock right prior to the exercise of the stock right,</w:t>
      </w:r>
    </w:p>
    <w:p>
      <w:pPr>
        <w:spacing w:after="0" w:line="3" w:lineRule="exact"/>
        <w:rPr>
          <w:rFonts w:ascii="Times New Roman" w:cs="Times New Roman" w:eastAsia="Times New Roman" w:hAnsi="Times New Roman"/>
          <w:sz w:val="22"/>
          <w:szCs w:val="22"/>
          <w:color w:val="auto"/>
        </w:rPr>
      </w:pPr>
    </w:p>
    <w:p>
      <w:pPr>
        <w:jc w:val="both"/>
        <w:ind w:firstLine="8"/>
        <w:spacing w:after="0" w:line="257" w:lineRule="auto"/>
        <w:tabs>
          <w:tab w:leader="none" w:pos="324"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responsibility, liability, or obligation to reimburse, indemnify, or hold harmless Participant (or any other person) in respect of this Option or any other Awards, for any taxes, penalties or interest that may be imposed on, or other costs incurred by, Participant (or any other person) as a result of Section 409A.</w:t>
      </w:r>
    </w:p>
    <w:p>
      <w:pPr>
        <w:spacing w:after="0" w:line="169" w:lineRule="exact"/>
        <w:rPr>
          <w:rFonts w:ascii="Times New Roman" w:cs="Times New Roman" w:eastAsia="Times New Roman" w:hAnsi="Times New Roman"/>
          <w:sz w:val="21"/>
          <w:szCs w:val="21"/>
          <w:color w:val="auto"/>
        </w:rPr>
      </w:pPr>
    </w:p>
    <w:p>
      <w:pPr>
        <w:jc w:val="both"/>
        <w:ind w:firstLine="656"/>
        <w:spacing w:after="0" w:line="259" w:lineRule="auto"/>
        <w:tabs>
          <w:tab w:leader="none" w:pos="1296"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rights or privileges of a stockholder of the Company in respect of any Shares deliverable hereunder unless and until certificates representing such Shares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9"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3"/>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240"/>
          </w:cols>
          <w:pgMar w:left="320" w:top="1422" w:right="339" w:bottom="1440" w:gutter="0" w:footer="0" w:header="0"/>
        </w:sectPr>
      </w:pPr>
    </w:p>
    <w:bookmarkStart w:id="367" w:name="page368"/>
    <w:bookmarkEnd w:id="367"/>
    <w:p>
      <w:pPr>
        <w:jc w:val="both"/>
        <w:spacing w:after="0" w:line="252" w:lineRule="auto"/>
        <w:rPr>
          <w:sz w:val="20"/>
          <w:szCs w:val="20"/>
          <w:color w:val="auto"/>
        </w:rPr>
      </w:pPr>
      <w:r>
        <w:rPr>
          <w:rFonts w:ascii="Times New Roman" w:cs="Times New Roman" w:eastAsia="Times New Roman" w:hAnsi="Times New Roman"/>
          <w:sz w:val="22"/>
          <w:szCs w:val="22"/>
          <w:color w:val="auto"/>
        </w:rPr>
        <w:t>(which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75" w:lineRule="exact"/>
        <w:rPr>
          <w:sz w:val="20"/>
          <w:szCs w:val="20"/>
          <w:color w:val="auto"/>
        </w:rPr>
      </w:pPr>
    </w:p>
    <w:p>
      <w:pPr>
        <w:jc w:val="both"/>
        <w:ind w:firstLine="656"/>
        <w:spacing w:after="0" w:line="251" w:lineRule="auto"/>
        <w:tabs>
          <w:tab w:leader="none" w:pos="1296"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 Governing Law</w:t>
      </w:r>
      <w:r>
        <w:rPr>
          <w:rFonts w:ascii="Times New Roman" w:cs="Times New Roman" w:eastAsia="Times New Roman" w:hAnsi="Times New Roman"/>
          <w:sz w:val="22"/>
          <w:szCs w:val="22"/>
          <w:color w:val="auto"/>
        </w:rPr>
        <w:t>. The Plan is incorporated herein by reference. The Plan and this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Delaware.</w:t>
      </w:r>
    </w:p>
    <w:p>
      <w:pPr>
        <w:spacing w:after="0" w:line="175" w:lineRule="exact"/>
        <w:rPr>
          <w:rFonts w:ascii="Times New Roman" w:cs="Times New Roman" w:eastAsia="Times New Roman" w:hAnsi="Times New Roman"/>
          <w:sz w:val="22"/>
          <w:szCs w:val="22"/>
          <w:color w:val="auto"/>
        </w:rPr>
      </w:pPr>
    </w:p>
    <w:p>
      <w:pPr>
        <w:jc w:val="both"/>
        <w:ind w:firstLine="656"/>
        <w:spacing w:after="0" w:line="245" w:lineRule="auto"/>
        <w:tabs>
          <w:tab w:leader="none" w:pos="1288"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Guarantee of Continued Service</w:t>
      </w:r>
      <w:r>
        <w:rPr>
          <w:rFonts w:ascii="Times New Roman" w:cs="Times New Roman" w:eastAsia="Times New Roman" w:hAnsi="Times New Roman"/>
          <w:sz w:val="22"/>
          <w:szCs w:val="22"/>
          <w:color w:val="auto"/>
        </w:rPr>
        <w:t>. PARTICIPANT ACKNOWLEDGES AND AGREES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VESTING OF SHARES PURSUANT TO THE VESTING SCHEDULE HEREOF IS EARNED ONLY BY CONTINUING AS A SERVICE PROVIDER, WHICH UNLESS PROVIDED OTHERWISE UNDER APPLICABLE LAWS IS AT THE WILL OF THE COMPANY (OR THE PARENT OR SUBSIDIARY EMPLOYING OR RETAINING PARTICIPANT)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SUBJECT TO APPLICABLE LAW, WHICH TERMINATION, UNLESS PROVIDED OTHERWISE UNDER APPLICABLE LAW, MAY BE AT ANY TIME, WITH OR WITHOUT CAUSE.</w:t>
      </w:r>
    </w:p>
    <w:p>
      <w:pPr>
        <w:spacing w:after="0" w:line="19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Nature of Grant</w:t>
      </w:r>
      <w:r>
        <w:rPr>
          <w:rFonts w:ascii="Times New Roman" w:cs="Times New Roman" w:eastAsia="Times New Roman" w:hAnsi="Times New Roman"/>
          <w:sz w:val="22"/>
          <w:szCs w:val="22"/>
          <w:color w:val="auto"/>
        </w:rPr>
        <w:t>. In accepting the Option, Participant acknowledges, understands and agrees that:</w:t>
      </w:r>
    </w:p>
    <w:p>
      <w:pPr>
        <w:spacing w:after="0" w:line="223" w:lineRule="exact"/>
        <w:rPr>
          <w:rFonts w:ascii="Times New Roman" w:cs="Times New Roman" w:eastAsia="Times New Roman" w:hAnsi="Times New Roman"/>
          <w:sz w:val="22"/>
          <w:szCs w:val="22"/>
          <w:color w:val="auto"/>
        </w:rPr>
      </w:pPr>
    </w:p>
    <w:p>
      <w:pPr>
        <w:ind w:right="20" w:firstLine="1304"/>
        <w:spacing w:after="0" w:line="271" w:lineRule="auto"/>
        <w:tabs>
          <w:tab w:leader="none" w:pos="1941"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Option is voluntary and occasional and does not create any contractual or other right to receive future grants of options, or benefits in lieu of options, even if options have been granted in the past;</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option or other grants, if any, will be at the sole discretion of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Administrator;</w:t>
      </w:r>
    </w:p>
    <w:p>
      <w:pPr>
        <w:spacing w:after="0" w:line="19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and any Shares acquired under the Plan are not intended to replace any pension rights or</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240"/>
          </w:cols>
          <w:pgMar w:left="320" w:top="1422" w:right="339" w:bottom="1440" w:gutter="0" w:footer="0" w:header="0"/>
        </w:sectPr>
      </w:pPr>
    </w:p>
    <w:bookmarkStart w:id="368" w:name="page369"/>
    <w:bookmarkEnd w:id="368"/>
    <w:p>
      <w:pPr>
        <w:jc w:val="both"/>
        <w:ind w:firstLine="1304"/>
        <w:spacing w:after="0" w:line="257" w:lineRule="auto"/>
        <w:tabs>
          <w:tab w:leader="none" w:pos="1941"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Shares underlying the Option is unknown, indeterminable, and cannot be predicted</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with certainty;</w:t>
      </w:r>
    </w:p>
    <w:p>
      <w:pPr>
        <w:spacing w:after="0" w:line="195"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underlying Shares do not increase in value, the Option will have no value;</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exercises the Option and acquires Shares, the value of such Shares may increase or decrease in value, even below the Exercise Price;</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2"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Option,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this Option grant (including whether Participant may still be considered to be providing services while on a leave of absence and consistent with local law);</w:t>
      </w:r>
    </w:p>
    <w:p>
      <w:pPr>
        <w:spacing w:after="0" w:line="184" w:lineRule="exact"/>
        <w:rPr>
          <w:rFonts w:ascii="Times New Roman" w:cs="Times New Roman" w:eastAsia="Times New Roman" w:hAnsi="Times New Roman"/>
          <w:sz w:val="21"/>
          <w:szCs w:val="21"/>
          <w:color w:val="auto"/>
        </w:rPr>
      </w:pPr>
    </w:p>
    <w:p>
      <w:pPr>
        <w:jc w:val="both"/>
        <w:ind w:firstLine="1304"/>
        <w:spacing w:after="0" w:line="252" w:lineRule="auto"/>
        <w:tabs>
          <w:tab w:leader="none" w:pos="1932"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Administrator in its discretion, the Option and the benefits evidenced by this Option Agreement do not create any entitlement to have the Option or any such benefits transferred to, or assumed by, another company nor be exchanged, cashed out or substituted for, in connection with any corporate transaction affecting the Shares; and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1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and the Shares subject to the Option are not part of normal or expected compensation or</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salary for any purpose;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35" w:lineRule="exact"/>
        <w:rPr>
          <w:rFonts w:ascii="Times New Roman" w:cs="Times New Roman" w:eastAsia="Times New Roman" w:hAnsi="Times New Roman"/>
          <w:sz w:val="21"/>
          <w:szCs w:val="21"/>
          <w:color w:val="auto"/>
        </w:rPr>
      </w:pPr>
    </w:p>
    <w:p>
      <w:pPr>
        <w:ind w:left="5580" w:hanging="136"/>
        <w:spacing w:after="0"/>
        <w:tabs>
          <w:tab w:leader="none" w:pos="5580" w:val="left"/>
        </w:tabs>
        <w:numPr>
          <w:ilvl w:val="2"/>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240"/>
          </w:cols>
          <w:pgMar w:left="320" w:top="1422" w:right="339" w:bottom="1440" w:gutter="0" w:footer="0" w:header="0"/>
        </w:sectPr>
      </w:pPr>
    </w:p>
    <w:bookmarkStart w:id="369" w:name="page370"/>
    <w:bookmarkEnd w:id="369"/>
    <w:p>
      <w:pPr>
        <w:jc w:val="both"/>
        <w:ind w:firstLine="1952"/>
        <w:spacing w:after="0" w:line="252" w:lineRule="auto"/>
        <w:tabs>
          <w:tab w:leader="none" w:pos="2586"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no Service Recipient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79" w:lineRule="exact"/>
        <w:rPr>
          <w:rFonts w:ascii="Times New Roman" w:cs="Times New Roman" w:eastAsia="Times New Roman" w:hAnsi="Times New Roman"/>
          <w:sz w:val="22"/>
          <w:szCs w:val="22"/>
          <w:color w:val="auto"/>
        </w:rPr>
      </w:pPr>
    </w:p>
    <w:p>
      <w:pPr>
        <w:jc w:val="both"/>
        <w:ind w:firstLine="1952"/>
        <w:spacing w:after="0" w:line="246" w:lineRule="auto"/>
        <w:tabs>
          <w:tab w:leader="none" w:pos="2592"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making any recommendations regarding Participant’s participation in the Plan, or Participant’s acquisition or sale of the Shares underlying the Option. Participant is hereby advised to consult with his or her own personal tax, legal and financial advisers regarding his or her participation in the Plan before taking any action related to the Plan.</w:t>
      </w:r>
    </w:p>
    <w:p>
      <w:pPr>
        <w:spacing w:after="0" w:line="173" w:lineRule="exact"/>
        <w:rPr>
          <w:rFonts w:ascii="Times New Roman" w:cs="Times New Roman" w:eastAsia="Times New Roman" w:hAnsi="Times New Roman"/>
          <w:sz w:val="22"/>
          <w:szCs w:val="22"/>
          <w:color w:val="auto"/>
        </w:rPr>
      </w:pPr>
    </w:p>
    <w:p>
      <w:pPr>
        <w:jc w:val="both"/>
        <w:ind w:firstLine="656"/>
        <w:spacing w:after="0" w:line="254" w:lineRule="auto"/>
        <w:tabs>
          <w:tab w:leader="none" w:pos="1296"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Participant hereby explicitly and unambiguously consents to the collection, use and transfer,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electronic or other form, of Participant’s personal data as described in this Option Agreement and any other Option grant materials by and among, as applicable, the Service Recipients for the exclusive purpose of implementing, administering and managing Participant’s participation in the Plan.</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(“Data”), for the exclusive purpose of implementing, administering and managing the Plan.</w:t>
      </w:r>
    </w:p>
    <w:p>
      <w:pPr>
        <w:spacing w:after="0" w:line="17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1240"/>
          </w:cols>
          <w:pgMar w:left="320" w:top="1422" w:right="339" w:bottom="1440" w:gutter="0" w:footer="0" w:header="0"/>
        </w:sectPr>
      </w:pPr>
    </w:p>
    <w:bookmarkStart w:id="370" w:name="page371"/>
    <w:bookmarkEnd w:id="370"/>
    <w:p>
      <w:pPr>
        <w:jc w:val="both"/>
        <w:spacing w:after="0" w:line="245" w:lineRule="auto"/>
        <w:rPr>
          <w:sz w:val="20"/>
          <w:szCs w:val="20"/>
          <w:color w:val="auto"/>
        </w:rPr>
      </w:pPr>
      <w:r>
        <w:rPr>
          <w:rFonts w:ascii="Times New Roman" w:cs="Times New Roman" w:eastAsia="Times New Roman" w:hAnsi="Times New Roman"/>
          <w:sz w:val="22"/>
          <w:szCs w:val="22"/>
          <w:b w:val="1"/>
          <w:bCs w:val="1"/>
          <w:i w:val="1"/>
          <w:iCs w:val="1"/>
          <w:color w:val="auto"/>
        </w:rPr>
        <w:t>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94" w:lineRule="exact"/>
        <w:rPr>
          <w:sz w:val="20"/>
          <w:szCs w:val="20"/>
          <w:color w:val="auto"/>
        </w:rPr>
      </w:pPr>
    </w:p>
    <w:p>
      <w:pPr>
        <w:jc w:val="both"/>
        <w:ind w:firstLine="656"/>
        <w:spacing w:after="0" w:line="259" w:lineRule="auto"/>
        <w:tabs>
          <w:tab w:leader="none" w:pos="1296"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Address for Notices</w:t>
      </w:r>
      <w:r>
        <w:rPr>
          <w:rFonts w:ascii="Times New Roman" w:cs="Times New Roman" w:eastAsia="Times New Roman" w:hAnsi="Times New Roman"/>
          <w:sz w:val="22"/>
          <w:szCs w:val="22"/>
          <w:color w:val="auto"/>
        </w:rPr>
        <w:t>. Any notice to be given to the Company under the terms of this Option Agreement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addressed to the Company at Seer, Inc., 3800 Bridge Parkway Suite 102, Redwood City, California 94065, or at such other address as the Company may hereafter designate in writing.</w:t>
      </w:r>
    </w:p>
    <w:p>
      <w:pPr>
        <w:spacing w:after="0" w:line="166"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and Assigns</w:t>
      </w:r>
      <w:r>
        <w:rPr>
          <w:rFonts w:ascii="Times New Roman" w:cs="Times New Roman" w:eastAsia="Times New Roman" w:hAnsi="Times New Roman"/>
          <w:sz w:val="22"/>
          <w:szCs w:val="22"/>
          <w:color w:val="auto"/>
        </w:rPr>
        <w:t>. The Company may assign any of its rights under this Option Agreement to single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multiple assignees, and this Option Agreement shall inure to the benefit of the successors and assigns of the Company. Subject to the restriction on transfer herein set forth, this Option Agreement shall be binding upon the executors, administrators, heirs, successors and assigns of Participant. The rights and obligations of Participant under this Option Agreement may be assigned only with the prior written consent of the Company.</w:t>
      </w:r>
    </w:p>
    <w:p>
      <w:pPr>
        <w:spacing w:after="0" w:line="175"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Additional Conditions to Issuance of Stock</w:t>
      </w:r>
      <w:r>
        <w:rPr>
          <w:rFonts w:ascii="Times New Roman" w:cs="Times New Roman" w:eastAsia="Times New Roman" w:hAnsi="Times New Roman"/>
          <w:sz w:val="21"/>
          <w:szCs w:val="21"/>
          <w:color w:val="auto"/>
        </w:rPr>
        <w:t>. If at any time the Company will determine, in its discretion,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will not be required to issue any certificate or certificates for (or make any entry on the books of the Company or of a duly authorized transfer agent of the Company of) the Shares hereunder prior to the lapse of</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18" w:lineRule="exact"/>
        <w:rPr>
          <w:rFonts w:ascii="Times New Roman" w:cs="Times New Roman" w:eastAsia="Times New Roman" w:hAnsi="Times New Roman"/>
          <w:sz w:val="21"/>
          <w:szCs w:val="21"/>
          <w:color w:val="auto"/>
        </w:rPr>
      </w:pPr>
    </w:p>
    <w:p>
      <w:pPr>
        <w:ind w:left="5580" w:hanging="136"/>
        <w:spacing w:after="0"/>
        <w:tabs>
          <w:tab w:leader="none" w:pos="5580"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1240"/>
          </w:cols>
          <w:pgMar w:left="320" w:top="1416" w:right="339" w:bottom="1440" w:gutter="0" w:footer="0" w:header="0"/>
        </w:sectPr>
      </w:pPr>
    </w:p>
    <w:bookmarkStart w:id="371" w:name="page372"/>
    <w:bookmarkEnd w:id="371"/>
    <w:p>
      <w:pPr>
        <w:spacing w:after="0" w:line="271" w:lineRule="auto"/>
        <w:rPr>
          <w:sz w:val="20"/>
          <w:szCs w:val="20"/>
          <w:color w:val="auto"/>
        </w:rPr>
      </w:pPr>
      <w:r>
        <w:rPr>
          <w:rFonts w:ascii="Times New Roman" w:cs="Times New Roman" w:eastAsia="Times New Roman" w:hAnsi="Times New Roman"/>
          <w:sz w:val="22"/>
          <w:szCs w:val="22"/>
          <w:color w:val="auto"/>
        </w:rPr>
        <w:t>such reasonable period of time following the date of exercise of the Option as the Administrator may establish from time to time for reasons of administrative convenience.</w:t>
      </w:r>
    </w:p>
    <w:p>
      <w:pPr>
        <w:spacing w:after="0" w:line="154" w:lineRule="exact"/>
        <w:rPr>
          <w:sz w:val="20"/>
          <w:szCs w:val="20"/>
          <w:color w:val="auto"/>
        </w:rPr>
      </w:pPr>
    </w:p>
    <w:p>
      <w:pPr>
        <w:jc w:val="both"/>
        <w:ind w:firstLine="656"/>
        <w:spacing w:after="0" w:line="259" w:lineRule="auto"/>
        <w:tabs>
          <w:tab w:leader="none" w:pos="129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Language</w:t>
      </w:r>
      <w:r>
        <w:rPr>
          <w:rFonts w:ascii="Times New Roman" w:cs="Times New Roman" w:eastAsia="Times New Roman" w:hAnsi="Times New Roman"/>
          <w:sz w:val="22"/>
          <w:szCs w:val="22"/>
          <w:color w:val="auto"/>
        </w:rPr>
        <w:t>. If Participant has received this Option Agreement or any other document related to the Plan translated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into a language other than English and if the meaning of the translated version is different than the English version, the English version will control.</w:t>
      </w:r>
    </w:p>
    <w:p>
      <w:pPr>
        <w:spacing w:after="0" w:line="166"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Interpretation</w:t>
      </w:r>
      <w:r>
        <w:rPr>
          <w:rFonts w:ascii="Times New Roman" w:cs="Times New Roman" w:eastAsia="Times New Roman" w:hAnsi="Times New Roman"/>
          <w:sz w:val="22"/>
          <w:szCs w:val="22"/>
          <w:color w:val="auto"/>
        </w:rPr>
        <w:t>. The Administrator will have the power to interpret the Plan and this Option Agreement and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81"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5" w:lineRule="exact"/>
        <w:rPr>
          <w:rFonts w:ascii="Times New Roman" w:cs="Times New Roman" w:eastAsia="Times New Roman" w:hAnsi="Times New Roman"/>
          <w:sz w:val="22"/>
          <w:szCs w:val="22"/>
          <w:color w:val="auto"/>
        </w:rPr>
      </w:pPr>
    </w:p>
    <w:p>
      <w:pPr>
        <w:ind w:firstLine="656"/>
        <w:spacing w:after="0" w:line="275" w:lineRule="auto"/>
        <w:tabs>
          <w:tab w:leader="none" w:pos="129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construction of this Option Agreement.</w:t>
      </w:r>
    </w:p>
    <w:p>
      <w:pPr>
        <w:spacing w:after="0" w:line="149"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Option Agreement Severable</w:t>
      </w:r>
      <w:r>
        <w:rPr>
          <w:rFonts w:ascii="Times New Roman" w:cs="Times New Roman" w:eastAsia="Times New Roman" w:hAnsi="Times New Roman"/>
          <w:sz w:val="22"/>
          <w:szCs w:val="22"/>
          <w:color w:val="auto"/>
        </w:rPr>
        <w:t>. In the event that any provision in this Option Agreement will be held invalid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such provision will be severable from, and such invalidity or unenforceability will not be construed to have any effect on, the remaining provisions of this Option Agreement.</w:t>
      </w:r>
    </w:p>
    <w:p>
      <w:pPr>
        <w:spacing w:after="0" w:line="16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 Suspension or Termination of the Plan</w:t>
      </w:r>
      <w:r>
        <w:rPr>
          <w:rFonts w:ascii="Times New Roman" w:cs="Times New Roman" w:eastAsia="Times New Roman" w:hAnsi="Times New Roman"/>
          <w:sz w:val="22"/>
          <w:szCs w:val="22"/>
          <w:color w:val="auto"/>
        </w:rPr>
        <w:t>. By accepting this Option, Participant expressly warrants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he or she has received an Option under the Plan, and has received, read and understood a description of the Plan. Participant understands that the Plan is discretionary in nature and may be amended, suspended or terminated by the Administrator at any time.</w:t>
      </w:r>
    </w:p>
    <w:p>
      <w:pPr>
        <w:spacing w:after="0" w:line="175"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Country Addendum</w:t>
      </w:r>
      <w:r>
        <w:rPr>
          <w:rFonts w:ascii="Times New Roman" w:cs="Times New Roman" w:eastAsia="Times New Roman" w:hAnsi="Times New Roman"/>
          <w:sz w:val="22"/>
          <w:szCs w:val="22"/>
          <w:color w:val="auto"/>
        </w:rPr>
        <w:t>. Notwithstanding any provisions in this Option Agreement, this Option shall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special terms and conditions set forth in an appendix (if any) to this Option Agreement for any country whose laws are applicable to Participant and this Option (as determined by the Administrator in its sole discretion) (the “</w:t>
      </w:r>
      <w:r>
        <w:rPr>
          <w:rFonts w:ascii="Times New Roman" w:cs="Times New Roman" w:eastAsia="Times New Roman" w:hAnsi="Times New Roman"/>
          <w:sz w:val="22"/>
          <w:szCs w:val="22"/>
          <w:b w:val="1"/>
          <w:bCs w:val="1"/>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ectPr>
          <w:pgSz w:w="11900" w:h="16838" w:orient="portrait"/>
          <w:cols w:equalWidth="0" w:num="1">
            <w:col w:w="11240"/>
          </w:cols>
          <w:pgMar w:left="320" w:top="1422" w:right="339" w:bottom="1440" w:gutter="0" w:footer="0" w:header="0"/>
        </w:sectPr>
      </w:pPr>
    </w:p>
    <w:bookmarkStart w:id="372" w:name="page373"/>
    <w:bookmarkEnd w:id="372"/>
    <w:p>
      <w:pPr>
        <w:spacing w:after="0" w:line="271" w:lineRule="auto"/>
        <w:rPr>
          <w:sz w:val="20"/>
          <w:szCs w:val="20"/>
          <w:color w:val="auto"/>
        </w:rPr>
      </w:pPr>
      <w:r>
        <w:rPr>
          <w:rFonts w:ascii="Times New Roman" w:cs="Times New Roman" w:eastAsia="Times New Roman" w:hAnsi="Times New Roman"/>
          <w:sz w:val="22"/>
          <w:szCs w:val="22"/>
          <w:color w:val="auto"/>
        </w:rPr>
        <w:t>determines that the application of such terms and conditions is necessary or advisable for legal or administrative reasons. The Country Addendum (if any) constitutes a part of this Option Agreement.</w:t>
      </w:r>
    </w:p>
    <w:p>
      <w:pPr>
        <w:spacing w:after="0" w:line="154" w:lineRule="exact"/>
        <w:rPr>
          <w:sz w:val="20"/>
          <w:szCs w:val="20"/>
          <w:color w:val="auto"/>
        </w:rPr>
      </w:pPr>
    </w:p>
    <w:p>
      <w:pPr>
        <w:jc w:val="both"/>
        <w:ind w:firstLine="656"/>
        <w:spacing w:after="0" w:line="247" w:lineRule="auto"/>
        <w:tabs>
          <w:tab w:leader="none" w:pos="1296"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Modifications to the Option Agreement</w:t>
      </w:r>
      <w:r>
        <w:rPr>
          <w:rFonts w:ascii="Times New Roman" w:cs="Times New Roman" w:eastAsia="Times New Roman" w:hAnsi="Times New Roman"/>
          <w:sz w:val="22"/>
          <w:szCs w:val="22"/>
          <w:color w:val="auto"/>
        </w:rPr>
        <w:t>. This Option Agreement constitutes the entire understanding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185"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Waiver</w:t>
      </w:r>
      <w:r>
        <w:rPr>
          <w:rFonts w:ascii="Times New Roman" w:cs="Times New Roman" w:eastAsia="Times New Roman" w:hAnsi="Times New Roman"/>
          <w:sz w:val="22"/>
          <w:szCs w:val="22"/>
          <w:color w:val="auto"/>
        </w:rPr>
        <w:t>. Either party’s failure to enforce any provision or provisions of this Option Agreement shall not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75"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Consequences</w:t>
      </w:r>
      <w:r>
        <w:rPr>
          <w:rFonts w:ascii="Times New Roman" w:cs="Times New Roman" w:eastAsia="Times New Roman" w:hAnsi="Times New Roman"/>
          <w:sz w:val="22"/>
          <w:szCs w:val="22"/>
          <w:color w:val="auto"/>
        </w:rPr>
        <w:t>. Participant has reviewed with his or her own tax advisers the U.S. federal, state, local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non-U.S. tax consequences of this investment and the transactions contemplated by this Option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179" w:lineRule="exact"/>
        <w:rPr>
          <w:rFonts w:ascii="Times New Roman" w:cs="Times New Roman" w:eastAsia="Times New Roman" w:hAnsi="Times New Roman"/>
          <w:sz w:val="22"/>
          <w:szCs w:val="22"/>
          <w:color w:val="auto"/>
        </w:rPr>
      </w:pPr>
    </w:p>
    <w:p>
      <w:pPr>
        <w:ind w:left="4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1240"/>
          </w:cols>
          <w:pgMar w:left="320" w:top="1422" w:right="339" w:bottom="1440" w:gutter="0" w:footer="0" w:header="0"/>
        </w:sectPr>
      </w:pPr>
    </w:p>
    <w:bookmarkStart w:id="373" w:name="page374"/>
    <w:bookmarkEnd w:id="373"/>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EXERCISE NOTICE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Seer,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3800 Bridge Parkway, Suite 102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Redwood City, California 94065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Finance Department</w:t>
      </w:r>
    </w:p>
    <w:p>
      <w:pPr>
        <w:spacing w:after="0" w:line="192" w:lineRule="exact"/>
        <w:rPr>
          <w:sz w:val="20"/>
          <w:szCs w:val="20"/>
          <w:color w:val="auto"/>
        </w:rPr>
      </w:pPr>
    </w:p>
    <w:p>
      <w:pPr>
        <w:jc w:val="both"/>
        <w:ind w:firstLine="656"/>
        <w:spacing w:after="0" w:line="262" w:lineRule="auto"/>
        <w:tabs>
          <w:tab w:leader="none" w:pos="1296"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Exercise of Option</w:t>
      </w:r>
      <w:r>
        <w:rPr>
          <w:rFonts w:ascii="Times New Roman" w:cs="Times New Roman" w:eastAsia="Times New Roman" w:hAnsi="Times New Roman"/>
          <w:sz w:val="21"/>
          <w:szCs w:val="21"/>
          <w:color w:val="auto"/>
        </w:rPr>
        <w:t>. Effective as of today, ________________, ____, the undersigned (“</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elects to exercise Participant’s option (the “</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to purchase ________________ shares of the Common Stock (the “Shares”) of Seer,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under and pursuant to the 2020 Equity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xml:space="preserve">”) and the Stock Option Agreement dated ______________, _____, including the Notice of Stock Option Grant, and the Terms and Conditions of Stock Option Grant attached as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color w:val="auto"/>
        </w:rPr>
        <w:t xml:space="preserve"> thereto and other exhibits, appendices and addenda attached thereto (the “</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Unless otherwise defined herein, capitalized terms used in this Exercise Notice will be ascribed the same defined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meanings as set forth in the Option Agreement (or the Plan or other written agreement as specified in the Option Agreement).</w:t>
      </w:r>
    </w:p>
    <w:p>
      <w:pPr>
        <w:spacing w:after="0" w:line="166" w:lineRule="exact"/>
        <w:rPr>
          <w:rFonts w:ascii="Times New Roman" w:cs="Times New Roman" w:eastAsia="Times New Roman" w:hAnsi="Times New Roman"/>
          <w:sz w:val="21"/>
          <w:szCs w:val="21"/>
          <w:color w:val="auto"/>
        </w:rPr>
      </w:pPr>
    </w:p>
    <w:p>
      <w:pPr>
        <w:ind w:firstLine="656"/>
        <w:spacing w:after="0" w:line="275" w:lineRule="auto"/>
        <w:tabs>
          <w:tab w:leader="none" w:pos="1296"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Delivery of Payment</w:t>
      </w:r>
      <w:r>
        <w:rPr>
          <w:rFonts w:ascii="Times New Roman" w:cs="Times New Roman" w:eastAsia="Times New Roman" w:hAnsi="Times New Roman"/>
          <w:sz w:val="22"/>
          <w:szCs w:val="22"/>
          <w:color w:val="auto"/>
        </w:rPr>
        <w:t>. Participant herewith delivers to the Company the full purchase price of the Shares, as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the Option Agreement, and any Withholding Obligations to be paid in connection with the exercise of the Option.</w:t>
      </w:r>
    </w:p>
    <w:p>
      <w:pPr>
        <w:spacing w:after="0" w:line="149" w:lineRule="exact"/>
        <w:rPr>
          <w:rFonts w:ascii="Times New Roman" w:cs="Times New Roman" w:eastAsia="Times New Roman" w:hAnsi="Times New Roman"/>
          <w:sz w:val="22"/>
          <w:szCs w:val="22"/>
          <w:color w:val="auto"/>
        </w:rPr>
      </w:pPr>
    </w:p>
    <w:p>
      <w:pPr>
        <w:ind w:firstLine="656"/>
        <w:spacing w:after="0" w:line="275" w:lineRule="auto"/>
        <w:tabs>
          <w:tab w:leader="none" w:pos="1296"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Representations of Participant</w:t>
      </w:r>
      <w:r>
        <w:rPr>
          <w:rFonts w:ascii="Times New Roman" w:cs="Times New Roman" w:eastAsia="Times New Roman" w:hAnsi="Times New Roman"/>
          <w:sz w:val="22"/>
          <w:szCs w:val="22"/>
          <w:color w:val="auto"/>
        </w:rPr>
        <w:t>. Participant acknowledges that Participant has received, read and understood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and the Option Agreement and agrees to abide by and be bound by their terms and conditions.</w:t>
      </w:r>
    </w:p>
    <w:p>
      <w:pPr>
        <w:spacing w:after="0" w:line="149"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Rights as Stockholder</w:t>
      </w:r>
      <w:r>
        <w:rPr>
          <w:rFonts w:ascii="Times New Roman" w:cs="Times New Roman" w:eastAsia="Times New Roman" w:hAnsi="Times New Roman"/>
          <w:sz w:val="22"/>
          <w:szCs w:val="22"/>
          <w:color w:val="auto"/>
        </w:rPr>
        <w:t>. Until the issuance of the Shares (as evidenced by the appropriate entry on the books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of a duly authorized transfer agent of the Company), no right to vote or receive dividends or any other rights as a stockholder shall exist with respect to the Common Stock subject to the Option, notwithstanding the exercise of the Option. The Shares so acquired shall be issued to Participant as soon as practicable after the Option is exercised in accordance with the Option Agreement. No adjustment shall be made for a dividend or other right for which the record date is prior to the date of issuance except as provided in Section 15 of the Plan.</w:t>
      </w:r>
    </w:p>
    <w:p>
      <w:pPr>
        <w:spacing w:after="0" w:line="180"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Consultation</w:t>
      </w:r>
      <w:r>
        <w:rPr>
          <w:rFonts w:ascii="Times New Roman" w:cs="Times New Roman" w:eastAsia="Times New Roman" w:hAnsi="Times New Roman"/>
          <w:sz w:val="22"/>
          <w:szCs w:val="22"/>
          <w:color w:val="auto"/>
        </w:rPr>
        <w:t>. Participant understands that Participant may suffer adverse tax consequences as a result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purchase or disposition of the Shares. Participant represents that Participant has consulted with any tax consultants Participant deems advisable in connection</w:t>
      </w:r>
    </w:p>
    <w:p>
      <w:pPr>
        <w:sectPr>
          <w:pgSz w:w="11900" w:h="16838" w:orient="portrait"/>
          <w:cols w:equalWidth="0" w:num="1">
            <w:col w:w="11240"/>
          </w:cols>
          <w:pgMar w:left="320" w:top="1418" w:right="33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22"/>
          <w:szCs w:val="22"/>
          <w:color w:val="auto"/>
        </w:rPr>
        <w:t>with the purchase or disposition of the Shares and that Participant is not relying on the Company for any tax advice.</w:t>
      </w:r>
    </w:p>
    <w:p>
      <w:pPr>
        <w:spacing w:after="0" w:line="216" w:lineRule="exact"/>
        <w:rPr>
          <w:sz w:val="20"/>
          <w:szCs w:val="20"/>
          <w:color w:val="auto"/>
        </w:rPr>
      </w:pPr>
    </w:p>
    <w:p>
      <w:pPr>
        <w:jc w:val="both"/>
        <w:ind w:firstLine="656"/>
        <w:spacing w:after="0" w:line="277" w:lineRule="auto"/>
        <w:tabs>
          <w:tab w:leader="none" w:pos="1296"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Interpretation</w:t>
      </w:r>
      <w:r>
        <w:rPr>
          <w:rFonts w:ascii="Times New Roman" w:cs="Times New Roman" w:eastAsia="Times New Roman" w:hAnsi="Times New Roman"/>
          <w:sz w:val="21"/>
          <w:szCs w:val="21"/>
          <w:color w:val="auto"/>
        </w:rPr>
        <w:t>. Any dispute regarding the interpretation of this Exercise Notice shall be submitted by Participant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by the Company forthwith to the Administrator, which shall review such dispute at its next regular meeting. The resolution of such a dispute by the Administrator shall be final and binding on all parties to the maximum extent permitted by law.</w:t>
      </w:r>
    </w:p>
    <w:p>
      <w:pPr>
        <w:spacing w:after="0" w:line="149" w:lineRule="exact"/>
        <w:rPr>
          <w:rFonts w:ascii="Times New Roman" w:cs="Times New Roman" w:eastAsia="Times New Roman" w:hAnsi="Times New Roman"/>
          <w:sz w:val="21"/>
          <w:szCs w:val="21"/>
          <w:color w:val="auto"/>
        </w:rPr>
      </w:pPr>
    </w:p>
    <w:p>
      <w:pPr>
        <w:jc w:val="both"/>
        <w:ind w:firstLine="656"/>
        <w:spacing w:after="0" w:line="259" w:lineRule="auto"/>
        <w:tabs>
          <w:tab w:leader="none" w:pos="1296"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 Severability</w:t>
      </w:r>
      <w:r>
        <w:rPr>
          <w:rFonts w:ascii="Times New Roman" w:cs="Times New Roman" w:eastAsia="Times New Roman" w:hAnsi="Times New Roman"/>
          <w:sz w:val="22"/>
          <w:szCs w:val="22"/>
          <w:color w:val="auto"/>
        </w:rPr>
        <w:t>. This Exercise Notice is governed by the internal substantive laws, but not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choice of law rules, of Delaware. In the event that any provision hereof becomes or is declared by a court of competent jurisdiction to be illegal, unenforceable or void, this Exercise Notice shall continue in full force and effect.</w:t>
      </w:r>
    </w:p>
    <w:p>
      <w:pPr>
        <w:spacing w:after="0" w:line="166"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The Plan and Option Agreement are incorporated herein by reference. The Plan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Agreement (including this Exercise Notice and any exhibits, appendices, and addenda attached to the Notice of Stock Option Grant of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Submitted by:</w:t>
            </w:r>
          </w:p>
        </w:tc>
        <w:tc>
          <w:tcPr>
            <w:tcW w:w="600" w:type="dxa"/>
            <w:vAlign w:val="bottom"/>
          </w:tcPr>
          <w:p>
            <w:pPr>
              <w:spacing w:after="0"/>
              <w:rPr>
                <w:sz w:val="24"/>
                <w:szCs w:val="24"/>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Accepted by:</w:t>
            </w:r>
          </w:p>
        </w:tc>
      </w:tr>
      <w:tr>
        <w:trPr>
          <w:trHeight w:val="311"/>
        </w:trPr>
        <w:tc>
          <w:tcPr>
            <w:tcW w:w="5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PARTICIPANT</w:t>
            </w:r>
          </w:p>
        </w:tc>
        <w:tc>
          <w:tcPr>
            <w:tcW w:w="600" w:type="dxa"/>
            <w:vAlign w:val="bottom"/>
          </w:tcPr>
          <w:p>
            <w:pPr>
              <w:spacing w:after="0"/>
              <w:rPr>
                <w:sz w:val="24"/>
                <w:szCs w:val="24"/>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SEER, INC.</w:t>
            </w:r>
          </w:p>
        </w:tc>
      </w:tr>
      <w:tr>
        <w:trPr>
          <w:trHeight w:val="555"/>
        </w:trPr>
        <w:tc>
          <w:tcPr>
            <w:tcW w:w="532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r>
        <w:trPr>
          <w:trHeight w:val="23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60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r>
      <w:tr>
        <w:trPr>
          <w:trHeight w:val="297"/>
        </w:trPr>
        <w:tc>
          <w:tcPr>
            <w:tcW w:w="532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r>
        <w:trPr>
          <w:trHeight w:val="23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Print Name</w:t>
            </w:r>
          </w:p>
        </w:tc>
        <w:tc>
          <w:tcPr>
            <w:tcW w:w="60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Print Name</w:t>
            </w:r>
          </w:p>
        </w:tc>
      </w:tr>
      <w:tr>
        <w:trPr>
          <w:trHeight w:val="277"/>
        </w:trPr>
        <w:tc>
          <w:tcPr>
            <w:tcW w:w="5320" w:type="dxa"/>
            <w:vAlign w:val="bottom"/>
          </w:tcPr>
          <w:p>
            <w:pPr>
              <w:spacing w:after="0"/>
              <w:rPr>
                <w:sz w:val="24"/>
                <w:szCs w:val="24"/>
                <w:color w:val="auto"/>
              </w:rPr>
            </w:pPr>
          </w:p>
        </w:tc>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Title</w:t>
            </w:r>
          </w:p>
        </w:tc>
      </w:tr>
      <w:tr>
        <w:trPr>
          <w:trHeight w:val="48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600" w:type="dxa"/>
            <w:vAlign w:val="bottom"/>
          </w:tcPr>
          <w:p>
            <w:pPr>
              <w:spacing w:after="0"/>
              <w:rPr>
                <w:sz w:val="24"/>
                <w:szCs w:val="24"/>
                <w:color w:val="auto"/>
              </w:rPr>
            </w:pPr>
          </w:p>
        </w:tc>
        <w:tc>
          <w:tcPr>
            <w:tcW w:w="5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702945</wp:posOffset>
            </wp:positionV>
            <wp:extent cx="33775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33775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22" w:right="339" w:bottom="1440" w:gutter="0" w:footer="0" w:header="0"/>
        </w:sectPr>
      </w:pPr>
    </w:p>
    <w:bookmarkStart w:id="375" w:name="page376"/>
    <w:bookmarkEnd w:id="375"/>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 ADDENDUM TO STOCK OPTION AGREEMENT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Country Addendum to Stock Option Agreement (the “</w:t>
      </w:r>
      <w:r>
        <w:rPr>
          <w:rFonts w:ascii="Times New Roman" w:cs="Times New Roman" w:eastAsia="Times New Roman" w:hAnsi="Times New Roman"/>
          <w:sz w:val="22"/>
          <w:szCs w:val="22"/>
          <w:b w:val="1"/>
          <w:bCs w:val="1"/>
          <w:color w:val="auto"/>
        </w:rPr>
        <w:t>Country Addendum</w:t>
      </w:r>
      <w:r>
        <w:rPr>
          <w:rFonts w:ascii="Times New Roman" w:cs="Times New Roman" w:eastAsia="Times New Roman" w:hAnsi="Times New Roman"/>
          <w:sz w:val="22"/>
          <w:szCs w:val="22"/>
          <w:color w:val="auto"/>
        </w:rPr>
        <w:t>”) will be ascribed the same defined meanings as set forth in the Option Agreement of which this Country Addendum forms a part (or the Plan or other written agreement as specified in the Option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Country Addendum includes additional terms and conditions that govern this Option awarded to Participant under the Plan if he or she resides and/or works in one of the countries listed below. If Participant is a citizen or resident (or is considered as such for local law purposes) of a country other than the country in which Participant is currently residing and/or working, or if Participant relocates to another country after the Options is granted, the Company, in its discretion, shall determine to what extent the terms and conditions contained herein shall apply to Participant.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This Country Addendum also may include information regarding exchange controls and certain other issues of which Participant should be aware with respect to participation in the Plan. The information is based on the securities, exchange control, and other Applicable Laws in effect in the respective countries as of [______], 20[__]. Such Applicable Laws often are complex</w:t>
      </w:r>
    </w:p>
    <w:p>
      <w:pPr>
        <w:spacing w:after="0" w:line="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exercises the Option or sells Shares acquired under the Plan.</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addition, the information contained in this Country Addendum is general in nature and may not apply to Participant’s particular situation, and the Company is not in a position to assure Participant of a particular result. Participant should seek appropriate professional advice as to how the Applicable Laws in Participant’s country may apply to his or her situation.</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currently is residing and/or working, transfers residence and/or employment to another country after this Option is awarded, or is considered a resident of another country for local law purposes, the information in this Country Addendum may not apply to Participant in the same manner.</w:t>
      </w:r>
    </w:p>
    <w:p>
      <w:pPr>
        <w:sectPr>
          <w:pgSz w:w="11900" w:h="16838" w:orient="portrait"/>
          <w:cols w:equalWidth="0" w:num="1">
            <w:col w:w="11240"/>
          </w:cols>
          <w:pgMar w:left="320" w:top="1418" w:right="339" w:bottom="1440" w:gutter="0" w:footer="0" w:header="0"/>
        </w:sectPr>
      </w:pPr>
    </w:p>
    <w:bookmarkStart w:id="376" w:name="page377"/>
    <w:bookmarkEnd w:id="37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AWARD AGREEMENT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NOTICE OF RESTRICTED STOCK GRANT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Unless otherwise defined herein, the terms defined in the Seer, Inc. 2020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will have the same defined meanings in this Restricted Stock Award Agreement which includes the Notice of Restricted Stock Grant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xml:space="preserve">”), the Terms and Conditions of Restricted Stock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undersigned Participant has been granted an Award of Shares of Restricted Stock, subject to the terms and conditions of the Plan and this Award Agreement, as follows:</w:t>
      </w:r>
    </w:p>
    <w:p>
      <w:pPr>
        <w:spacing w:after="0" w:line="2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27940</wp:posOffset>
            </wp:positionV>
            <wp:extent cx="24434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2443480" cy="8890"/>
                    </a:xfrm>
                    <a:prstGeom prst="rect">
                      <a:avLst/>
                    </a:prstGeom>
                    <a:noFill/>
                  </pic:spPr>
                </pic:pic>
              </a:graphicData>
            </a:graphic>
          </wp:anchor>
        </w:drawing>
      </w:r>
    </w:p>
    <w:p>
      <w:pPr>
        <w:spacing w:after="0" w:line="20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27940</wp:posOffset>
            </wp:positionV>
            <wp:extent cx="24434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20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27940</wp:posOffset>
            </wp:positionV>
            <wp:extent cx="24434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Total Number of Shares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165100</wp:posOffset>
            </wp:positionV>
            <wp:extent cx="24434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244348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Quarterly Vesting Dates</w:t>
      </w:r>
      <w:r>
        <w:rPr>
          <w:rFonts w:ascii="Times New Roman" w:cs="Times New Roman" w:eastAsia="Times New Roman" w:hAnsi="Times New Roman"/>
          <w:sz w:val="22"/>
          <w:szCs w:val="22"/>
          <w:color w:val="auto"/>
        </w:rPr>
        <w:t>” with respect to any calendar year means [February 15], [May 15], [August 15], and [November 15].</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this Award Agreement, or any other written agreement authorized by the Administrator between Participant and the Company (or any Parent or Subsidiary of the Company, as applicable) governing the terms of this Award, the Shares of Restricted Stock will be scheduled to vest and the Company’s right to reacquire the Restricted Stock will be scheduled to lapse in accordance with the following schedule:</w:t>
      </w:r>
    </w:p>
    <w:p>
      <w:pPr>
        <w:spacing w:after="0" w:line="174"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[One–fourth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of the Total Number of Shares of Restricted Stock (as set forth above) subject to this Award Agreement will be scheduled to vest on the first Quarterly Vesting Date on or immediately following the one (1) year anniversary of the Vesting Commencement Date (such first vesting date, the “</w:t>
      </w:r>
      <w:r>
        <w:rPr>
          <w:rFonts w:ascii="Times New Roman" w:cs="Times New Roman" w:eastAsia="Times New Roman" w:hAnsi="Times New Roman"/>
          <w:sz w:val="22"/>
          <w:szCs w:val="22"/>
          <w:u w:val="single" w:color="auto"/>
          <w:color w:val="auto"/>
        </w:rPr>
        <w:t>First Vesting Date</w:t>
      </w:r>
      <w:r>
        <w:rPr>
          <w:rFonts w:ascii="Times New Roman" w:cs="Times New Roman" w:eastAsia="Times New Roman" w:hAnsi="Times New Roman"/>
          <w:sz w:val="22"/>
          <w:szCs w:val="22"/>
          <w:color w:val="auto"/>
        </w:rPr>
        <w:t>”), and thereafter, onesixteenth (1/16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of the Total Number of Shares of Restricted Stock subject to this Award Agreement will be scheduled to vest</w:t>
      </w:r>
    </w:p>
    <w:p>
      <w:pPr>
        <w:sectPr>
          <w:pgSz w:w="11900" w:h="16838" w:orient="portrait"/>
          <w:cols w:equalWidth="0" w:num="1">
            <w:col w:w="11240"/>
          </w:cols>
          <w:pgMar w:left="320" w:top="1418" w:right="339" w:bottom="1440" w:gutter="0" w:footer="0" w:header="0"/>
        </w:sectPr>
      </w:pPr>
    </w:p>
    <w:bookmarkStart w:id="377" w:name="page378"/>
    <w:bookmarkEnd w:id="377"/>
    <w:p>
      <w:pPr>
        <w:jc w:val="both"/>
        <w:spacing w:after="0" w:line="271" w:lineRule="auto"/>
        <w:rPr>
          <w:sz w:val="20"/>
          <w:szCs w:val="20"/>
          <w:color w:val="auto"/>
        </w:rPr>
      </w:pPr>
      <w:r>
        <w:rPr>
          <w:rFonts w:ascii="Times New Roman" w:cs="Times New Roman" w:eastAsia="Times New Roman" w:hAnsi="Times New Roman"/>
          <w:sz w:val="22"/>
          <w:szCs w:val="22"/>
          <w:color w:val="auto"/>
        </w:rPr>
        <w:t>on each of the twelve (12) Quarterly Vesting Dates that occur after the First Vesting Date, subject to Participant continuing to be a Service Provider through the applicable vesting date.]</w:t>
      </w:r>
    </w:p>
    <w:p>
      <w:pPr>
        <w:spacing w:after="0" w:line="15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By Participant’s signature and the signature of the representative of the Company below, Participant and the Company agree that this Award of Restricted Stock is granted under and governed by the terms and conditions of the Plan and this Award Agreement, including the Terms and Conditions of Restricted Stock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spacing w:after="0" w:line="245" w:lineRule="exact"/>
        <w:rPr>
          <w:sz w:val="20"/>
          <w:szCs w:val="20"/>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22"/>
          <w:szCs w:val="22"/>
          <w:color w:val="auto"/>
        </w:rPr>
        <w:t>PARTICIPANT</w:t>
      </w:r>
      <w:r>
        <w:rPr>
          <w:sz w:val="20"/>
          <w:szCs w:val="20"/>
          <w:color w:val="auto"/>
        </w:rPr>
        <w:tab/>
      </w:r>
      <w:r>
        <w:rPr>
          <w:rFonts w:ascii="Times New Roman" w:cs="Times New Roman" w:eastAsia="Times New Roman" w:hAnsi="Times New Roman"/>
          <w:sz w:val="22"/>
          <w:szCs w:val="22"/>
          <w:color w:val="auto"/>
        </w:rPr>
        <w:t>SEER,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32315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32315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32315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378460</wp:posOffset>
            </wp:positionV>
            <wp:extent cx="32315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205740</wp:posOffset>
            </wp:positionV>
            <wp:extent cx="3505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204470</wp:posOffset>
            </wp:positionV>
            <wp:extent cx="35058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738" w:lineRule="exact"/>
        <w:rPr>
          <w:sz w:val="20"/>
          <w:szCs w:val="20"/>
          <w:color w:val="auto"/>
        </w:rPr>
      </w:pPr>
    </w:p>
    <w:p>
      <w:pPr>
        <w:sectPr>
          <w:pgSz w:w="11900" w:h="16838" w:orient="portrait"/>
          <w:cols w:equalWidth="0" w:num="2">
            <w:col w:w="5020" w:space="720"/>
            <w:col w:w="5500"/>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- 2 -</w:t>
      </w:r>
    </w:p>
    <w:p>
      <w:pPr>
        <w:sectPr>
          <w:pgSz w:w="11900" w:h="16838" w:orient="portrait"/>
          <w:cols w:equalWidth="0" w:num="1">
            <w:col w:w="11240"/>
          </w:cols>
          <w:pgMar w:left="320" w:top="1421" w:right="339" w:bottom="1440" w:gutter="0" w:footer="0" w:header="0"/>
          <w:type w:val="continuous"/>
        </w:sectPr>
      </w:pPr>
    </w:p>
    <w:bookmarkStart w:id="378" w:name="page379"/>
    <w:bookmarkEnd w:id="37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AWARD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RESTRICTED STOCK GRANT</w:t>
      </w:r>
    </w:p>
    <w:p>
      <w:pPr>
        <w:spacing w:after="0" w:line="224" w:lineRule="exact"/>
        <w:rPr>
          <w:sz w:val="20"/>
          <w:szCs w:val="20"/>
          <w:color w:val="auto"/>
        </w:rPr>
      </w:pPr>
    </w:p>
    <w:p>
      <w:pPr>
        <w:jc w:val="both"/>
        <w:ind w:firstLine="656"/>
        <w:spacing w:after="0" w:line="250" w:lineRule="auto"/>
        <w:tabs>
          <w:tab w:leader="none" w:pos="1296"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Shares of Restricted Stock</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Restricted Stock Grant of this Award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under the Plan an Award of Shares of Restricted Stock, and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spacing w:after="0" w:line="180"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3 and subject to Sections 4 and 6, the Shares of Restricted Stock 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Shares of Restricted Stock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8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Discretion</w:t>
      </w:r>
      <w:r>
        <w:rPr>
          <w:rFonts w:ascii="Times New Roman" w:cs="Times New Roman" w:eastAsia="Times New Roman" w:hAnsi="Times New Roman"/>
          <w:sz w:val="22"/>
          <w:szCs w:val="22"/>
          <w:color w:val="auto"/>
        </w:rPr>
        <w:t>. The Administrator, in its discretion, may accelerate the vesting of the balance, or some lesser portion of the balance, of the unvested Shares of Restricted Stock subject to this Award Agreement at any time, subject to the terms of the Plan. If so accelerated, such Shares of Restricted Stock will be considered as having vested as of the date specified by the Administrator.</w:t>
      </w:r>
    </w:p>
    <w:p>
      <w:pPr>
        <w:spacing w:after="0" w:line="179"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6"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Termination as a Service Provider</w:t>
      </w:r>
      <w:r>
        <w:rPr>
          <w:rFonts w:ascii="Times New Roman" w:cs="Times New Roman" w:eastAsia="Times New Roman" w:hAnsi="Times New Roman"/>
          <w:sz w:val="22"/>
          <w:szCs w:val="22"/>
          <w:color w:val="auto"/>
        </w:rPr>
        <w:t>. Unless specifically provided otherwise in this Award Agreement or other written agreement authorized by the Administrator between Participant and the Company or any Parent or Subsidiary of the Company, as applicable, governing the terms of this Award, the balance of the Shares of Restricted Stock that have not vested as of the time Participant ceases to be a Service Provider for any or no reason will be forfeited and automatically transferred to and reacquired by the Company at no cost to the Company upon the date of such termination and Participant will have no further rights thereunder. Participant will not be entitled to a refund of the price paid for the Shares of Restricted Stock, if any, returned to the Company pursuant to this Section 4. Participant hereby appoints the Escrow Agent (as defined below) with full power of substitution, as Participant’s true and lawful attorney-in-fact with irrevocable power and authority in the name and on behalf of Participant to take any action and execute all documents and instruments, including, without limitation, stock powers which may be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7"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240"/>
          </w:cols>
          <w:pgMar w:left="320" w:top="1417" w:right="339" w:bottom="1440" w:gutter="0" w:footer="0" w:header="0"/>
        </w:sectPr>
      </w:pPr>
    </w:p>
    <w:bookmarkStart w:id="379" w:name="page380"/>
    <w:bookmarkEnd w:id="379"/>
    <w:p>
      <w:pPr>
        <w:ind w:right="20"/>
        <w:spacing w:after="0" w:line="271" w:lineRule="auto"/>
        <w:rPr>
          <w:sz w:val="20"/>
          <w:szCs w:val="20"/>
          <w:color w:val="auto"/>
        </w:rPr>
      </w:pPr>
      <w:r>
        <w:rPr>
          <w:rFonts w:ascii="Times New Roman" w:cs="Times New Roman" w:eastAsia="Times New Roman" w:hAnsi="Times New Roman"/>
          <w:sz w:val="22"/>
          <w:szCs w:val="22"/>
          <w:color w:val="auto"/>
        </w:rPr>
        <w:t>necessary to transfer the certificate or certificates evidencing such unvested Shares to the Company upon such termination of service.</w:t>
      </w:r>
    </w:p>
    <w:p>
      <w:pPr>
        <w:spacing w:after="0" w:line="158" w:lineRule="exact"/>
        <w:rPr>
          <w:sz w:val="20"/>
          <w:szCs w:val="20"/>
          <w:color w:val="auto"/>
        </w:rPr>
      </w:pPr>
    </w:p>
    <w:p>
      <w:pPr>
        <w:jc w:val="both"/>
        <w:ind w:firstLine="656"/>
        <w:spacing w:after="0" w:line="250" w:lineRule="auto"/>
        <w:tabs>
          <w:tab w:leader="none" w:pos="1296"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p>
    <w:p>
      <w:pPr>
        <w:spacing w:after="0" w:line="219"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1"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 or, if different, Participant’s employer or any Parent or Subsidiary of the Company to which Participant is providing services (together, the “</w:t>
      </w:r>
      <w:r>
        <w:rPr>
          <w:rFonts w:ascii="Times New Roman" w:cs="Times New Roman" w:eastAsia="Times New Roman" w:hAnsi="Times New Roman"/>
          <w:sz w:val="22"/>
          <w:szCs w:val="22"/>
          <w:u w:val="single" w:color="auto"/>
          <w:color w:val="auto"/>
        </w:rPr>
        <w:t>Service Recipients</w:t>
      </w:r>
      <w:r>
        <w:rPr>
          <w:rFonts w:ascii="Times New Roman" w:cs="Times New Roman" w:eastAsia="Times New Roman" w:hAnsi="Times New Roman"/>
          <w:sz w:val="22"/>
          <w:szCs w:val="22"/>
          <w:color w:val="auto"/>
        </w:rPr>
        <w:t>”), the ultimate liability for any tax and/or social insurance liability obligations and requirements in connection with the Shares of Restricted Stock,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release from escrow of the Shares of Restricted Stock, the filing of an 83(b) election with respect to the Shares of Restricted Stock, or the sale of Shares, and (iii) any other Service Recipient taxes the responsibility for which Participant has, or has agreed to bear, with respect to the Shares of Restricted Stock (or release from escrow thereof or issuance of Shares thereunder) (collectively, the “</w:t>
      </w: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Shares of Restricted Stock, including, but not limited to, the grant, vesting or release from escrow of the Shares of Restricted Stock, the filing of an 83(b) Election (as defined below) with respect to the Shares of Restricted Stock, the subsequent sale of Shares acquired pursuant to this Award Agreement and the receipt of any dividends or other distributions, and (B) makes any commitment to and is under any obligation to structure the terms of the grant or any aspect of the Shares of Restricted Stock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Withholding Obligations (as defined below) in more than one jurisdiction. If Participant fails to make satisfactory arrangements for the payment of any required Withholding Obligations hereunder at the time of the applicable taxable event, Participant acknowledges and agrees that the Company may refuse to issue or deliver the Shares. Participant understands that Section 83 of the Code, taxes as ordinary income the difference between the purchase price, if any, for the Shares and the fair market value of the Shares as of each vesting date. If Participant is a U.S. taxpayer, Participant understands that Participant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7"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240"/>
          </w:cols>
          <w:pgMar w:left="320" w:top="1421" w:right="339" w:bottom="1440" w:gutter="0" w:footer="0" w:header="0"/>
        </w:sectPr>
      </w:pPr>
    </w:p>
    <w:bookmarkStart w:id="380" w:name="page381"/>
    <w:bookmarkEnd w:id="380"/>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may elect, for purposes of U.S. tax law, to be taxed at the time the Shares are granted rather than when such Shares vest by filing an election under Section 83(b) of the Code (the “</w:t>
      </w:r>
      <w:r>
        <w:rPr>
          <w:rFonts w:ascii="Times New Roman" w:cs="Times New Roman" w:eastAsia="Times New Roman" w:hAnsi="Times New Roman"/>
          <w:sz w:val="22"/>
          <w:szCs w:val="22"/>
          <w:u w:val="single" w:color="auto"/>
          <w:color w:val="auto"/>
        </w:rPr>
        <w:t>83(b) Election</w:t>
      </w:r>
      <w:r>
        <w:rPr>
          <w:rFonts w:ascii="Times New Roman" w:cs="Times New Roman" w:eastAsia="Times New Roman" w:hAnsi="Times New Roman"/>
          <w:sz w:val="22"/>
          <w:szCs w:val="22"/>
          <w:color w:val="auto"/>
        </w:rPr>
        <w:t>”) with the IRS within thirty (30) days from the date of grant of the Restricted Stock Award.</w:t>
      </w:r>
    </w:p>
    <w:p>
      <w:pPr>
        <w:spacing w:after="0" w:line="173" w:lineRule="exact"/>
        <w:rPr>
          <w:sz w:val="20"/>
          <w:szCs w:val="20"/>
          <w:color w:val="auto"/>
        </w:rPr>
      </w:pPr>
    </w:p>
    <w:p>
      <w:pPr>
        <w:jc w:val="both"/>
        <w:ind w:firstLine="1304"/>
        <w:spacing w:after="0" w:line="256" w:lineRule="auto"/>
        <w:tabs>
          <w:tab w:leader="none" w:pos="1939"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Notwithstanding any contrary provision of this Award Agreement, no certificate representing the Shares of Restricted Stock may be released from the escrow established pursuant to Section 13, unless and until satisfactory arrangements (as determined by the Administrator) will have been made by Participant with respect to the payment of all Tax Obligations required to be withheld (the “</w:t>
      </w:r>
      <w:r>
        <w:rPr>
          <w:rFonts w:ascii="Times New Roman" w:cs="Times New Roman" w:eastAsia="Times New Roman" w:hAnsi="Times New Roman"/>
          <w:sz w:val="21"/>
          <w:szCs w:val="21"/>
          <w:u w:val="single" w:color="auto"/>
          <w:color w:val="auto"/>
        </w:rPr>
        <w:t>Withholding Obligations</w:t>
      </w:r>
      <w:r>
        <w:rPr>
          <w:rFonts w:ascii="Times New Roman" w:cs="Times New Roman" w:eastAsia="Times New Roman" w:hAnsi="Times New Roman"/>
          <w:sz w:val="21"/>
          <w:szCs w:val="21"/>
          <w:color w:val="auto"/>
        </w:rPr>
        <w:t>”). When Shares of Restricted Stock are vested,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Withholding Obligations which the Company determines must be withheld with respect to this Award. The Administrator, in its sole discretion and pursuant to such procedures as it may specify from time to time, may permit or require Participant to satisfy Participant’s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21"/>
          <w:szCs w:val="21"/>
          <w:u w:val="single" w:color="auto"/>
          <w:color w:val="auto"/>
        </w:rPr>
        <w:t>Net Share Withholding</w:t>
      </w:r>
      <w:r>
        <w:rPr>
          <w:rFonts w:ascii="Times New Roman" w:cs="Times New Roman" w:eastAsia="Times New Roman" w:hAnsi="Times New Roman"/>
          <w:sz w:val="21"/>
          <w:szCs w:val="21"/>
          <w:color w:val="auto"/>
        </w:rPr>
        <w:t>”), (iii) withholding the amount of such Withholding Obligations from Participant’s wages or other cash compensation paid to Participant by the applicable Service Recipient(s), (iv) delivering to the Company Shares that Participant owns and that already have vested with a fair market value equal to the Withholding Obligations (or such greater amount as Participant may elect if permitted by the Administrator, if such greater amount would not result in adverse financial accounting consequences), (v) selling a sufficient number of such Shares otherwise releasable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21"/>
          <w:szCs w:val="21"/>
          <w:u w:val="single" w:color="auto"/>
          <w:color w:val="auto"/>
        </w:rPr>
        <w:t>Sell to Cover</w:t>
      </w:r>
      <w:r>
        <w:rPr>
          <w:rFonts w:ascii="Times New Roman" w:cs="Times New Roman" w:eastAsia="Times New Roman" w:hAnsi="Times New Roman"/>
          <w:sz w:val="21"/>
          <w:szCs w:val="21"/>
          <w:color w:val="auto"/>
        </w:rPr>
        <w:t>”), or (vi) such other means as the Administrator deems appropriate. If the Withholding Obligations are satisfied by withholding in Shares, for tax purposes, Participant is deemed to have been issued, and had released from escrow, the full number of vested Shares subject to this Award, notwithstanding that a number of the Shares are held back solely for the purpose of paying the Withholding Obligations. To the extent determined appropriate by the Company in its discretion, it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78" w:lineRule="exact"/>
        <w:rPr>
          <w:rFonts w:ascii="Times New Roman" w:cs="Times New Roman" w:eastAsia="Times New Roman" w:hAnsi="Times New Roman"/>
          <w:sz w:val="21"/>
          <w:szCs w:val="21"/>
          <w:color w:val="auto"/>
        </w:rPr>
      </w:pPr>
    </w:p>
    <w:p>
      <w:pPr>
        <w:ind w:left="5580" w:hanging="136"/>
        <w:spacing w:after="0"/>
        <w:tabs>
          <w:tab w:leader="none" w:pos="5580"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240"/>
          </w:cols>
          <w:pgMar w:left="320" w:top="1421" w:right="339" w:bottom="1440" w:gutter="0" w:footer="0" w:header="0"/>
        </w:sectPr>
      </w:pPr>
    </w:p>
    <w:bookmarkStart w:id="381" w:name="page382"/>
    <w:bookmarkEnd w:id="381"/>
    <w:p>
      <w:pPr>
        <w:spacing w:after="0" w:line="271" w:lineRule="auto"/>
        <w:rPr>
          <w:sz w:val="20"/>
          <w:szCs w:val="20"/>
          <w:color w:val="auto"/>
        </w:rPr>
      </w:pPr>
      <w:r>
        <w:rPr>
          <w:rFonts w:ascii="Times New Roman" w:cs="Times New Roman" w:eastAsia="Times New Roman" w:hAnsi="Times New Roman"/>
          <w:sz w:val="22"/>
          <w:szCs w:val="22"/>
          <w:color w:val="auto"/>
        </w:rPr>
        <w:t>Sell to Cover that are in excess of the Withholding Obligations and any associated broker or other fees will be paid to Participant in accordance with procedures the Company may specify from time to time.</w:t>
      </w:r>
    </w:p>
    <w:p>
      <w:pPr>
        <w:spacing w:after="0" w:line="158" w:lineRule="exact"/>
        <w:rPr>
          <w:sz w:val="20"/>
          <w:szCs w:val="20"/>
          <w:color w:val="auto"/>
        </w:rPr>
      </w:pPr>
    </w:p>
    <w:p>
      <w:pPr>
        <w:jc w:val="both"/>
        <w:ind w:firstLine="1304"/>
        <w:spacing w:after="0" w:line="250" w:lineRule="auto"/>
        <w:tabs>
          <w:tab w:leader="none" w:pos="1941"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80"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39" w:val="left"/>
        </w:tabs>
        <w:numPr>
          <w:ilvl w:val="1"/>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Company’s Obligation to Release Shares</w:t>
      </w:r>
      <w:r>
        <w:rPr>
          <w:rFonts w:ascii="Times New Roman" w:cs="Times New Roman" w:eastAsia="Times New Roman" w:hAnsi="Times New Roman"/>
          <w:sz w:val="21"/>
          <w:szCs w:val="21"/>
          <w:color w:val="auto"/>
        </w:rPr>
        <w:t>. For clarification purposes, in no event will the Company release Shares from the escrow established pursuant to Section 13 unless and until arrangements satisfactory to the Administrator have been made for the payment of Participant’s Withholding Obligations. If Participant fails to make satisfactory arrangements for the payment of such Withholding Obligations hereunder at the time any applicable Shares of Restricted Stock otherwise are scheduled to vest pursuant to Sections 2 or 3, at the time Participant files a timely 83(b) Election with the IRS, or Participant’s Withholding Obligations otherwise become due, Participant permanently will forfeit such Shares of Restricted Stock to which Participant’s Withholding Obligation relates and any right to receive Shares thereunder and such Shares of Restricted Stock will be returned to the Company at no cost to the Company. Participant acknowledges and agrees that the Company may refuse to issue or deliver the Shares if such Withholding Obligations are not delivered at the time they are due.</w:t>
      </w:r>
    </w:p>
    <w:p>
      <w:pPr>
        <w:spacing w:after="0" w:line="170" w:lineRule="exact"/>
        <w:rPr>
          <w:rFonts w:ascii="Times New Roman" w:cs="Times New Roman" w:eastAsia="Times New Roman" w:hAnsi="Times New Roman"/>
          <w:sz w:val="21"/>
          <w:szCs w:val="21"/>
          <w:color w:val="auto"/>
        </w:rPr>
      </w:pPr>
    </w:p>
    <w:p>
      <w:pPr>
        <w:jc w:val="both"/>
        <w:ind w:firstLine="656"/>
        <w:spacing w:after="0" w:line="247" w:lineRule="auto"/>
        <w:tabs>
          <w:tab w:leader="none" w:pos="1296"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or the Escrow Agent. After such issuance, recordation and delivery, Participant will have all the rights of a stockholder of the Company with respect to voting such Shares and receipt of dividends and distributions on such Shares. Except as provided in Section 13(f), after such issuance, recordation and delivery, Participant will have all the rights of a stockholder of the Company with respect to voting such Shares and receipt of dividends and distributions on such Shares.</w:t>
      </w:r>
    </w:p>
    <w:p>
      <w:pPr>
        <w:spacing w:after="0" w:line="185"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PARTICIPANT ACKNOWLEDGES AND AGREES THAT THE VESTING OF THE SHARES OF RESTRICTED STOCK PURSUANT TO THE VESTING SCHEDULE HEREOF IS EARNED ONLY BY CONTINUING AS A SERVICE PROVIDER, WHICH UNLESS PROVIDED OTHERWISE UNDER APPLICABLE LAWS IS AT THE WILL OF THE APPLICABLE SERVICE RECIPIENT AND NOT THROUGH THE ACT OF BEING HIRED, BEING GRANTED THIS RESTRICTED STOCK AWARD OR ACQUIRING SHARES HEREUNDER. PARTICIPANT FURTHER ACKNOWLEDGES AND AGREES THAT THIS AWARD AGREEMENT, THE TRANSACTIONS CONTEMPLATED HEREUNDER AND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240"/>
          </w:cols>
          <w:pgMar w:left="320" w:top="1421" w:right="339" w:bottom="1440" w:gutter="0" w:footer="0" w:header="0"/>
        </w:sectPr>
      </w:pPr>
    </w:p>
    <w:bookmarkStart w:id="382" w:name="page383"/>
    <w:bookmarkEnd w:id="382"/>
    <w:p>
      <w:pPr>
        <w:jc w:val="both"/>
        <w:spacing w:after="0" w:line="248" w:lineRule="auto"/>
        <w:rPr>
          <w:sz w:val="20"/>
          <w:szCs w:val="20"/>
          <w:color w:val="auto"/>
        </w:rPr>
      </w:pPr>
      <w:r>
        <w:rPr>
          <w:rFonts w:ascii="Times New Roman" w:cs="Times New Roman" w:eastAsia="Times New Roman" w:hAnsi="Times New Roman"/>
          <w:sz w:val="22"/>
          <w:szCs w:val="22"/>
          <w:color w:val="auto"/>
        </w:rPr>
        <w:t>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87" w:lineRule="exact"/>
        <w:rPr>
          <w:sz w:val="20"/>
          <w:szCs w:val="20"/>
          <w:color w:val="auto"/>
        </w:rPr>
      </w:pPr>
    </w:p>
    <w:p>
      <w:pPr>
        <w:jc w:val="both"/>
        <w:ind w:firstLine="656"/>
        <w:spacing w:after="0" w:line="246" w:lineRule="auto"/>
        <w:tabs>
          <w:tab w:leader="none" w:pos="1296"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for the escrow described in Section 13 or transfer of the Shares to the Company or its assignees contemplated by this Award Agreement, and except to the limited extent provided in Section 5, the unvested Shares subject to this Award Agreement and the rights and privileges conferred hereby will not be transferred, assigned, pledged or hypothecated in any way (whether by operation of law or otherwise) and will not be subject to sale under execution, attachment or similar process until such Shares shall have vested in accordance with the provisions of this Award Agreement. Upon any attempt to transfer, assign, pledge, hypothecate or otherwise dispose of the unvested Shares subject to this Award Agreement, or any right or privilege conferred hereby, or upon any attempted sale under any execution, attachment or similar process, the then-unvested Shares of Restricted Stock will thereupon be forfeited at no cost to the Company and Participant will have no further rights thereunder.</w:t>
      </w:r>
    </w:p>
    <w:p>
      <w:pPr>
        <w:spacing w:after="0" w:line="19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this Award of Restricted Stock, Participant acknowledges, understands and agrees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w:t>
      </w:r>
    </w:p>
    <w:p>
      <w:pPr>
        <w:spacing w:after="0" w:line="19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Shares of Restricted Stock is voluntary and occasional and does not create any contractual or other right to receive future grants of Shares of Restricted Stock, or benefits in lieu of Shares of Restricted Stock, even if Shares of Restricted Stock have been granted in the past;</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grants of Restricted Stock or other grants, if any, will be at the sole discretion of the Administrator;</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Restricted Stock are not intended to replace any pension rights or compensation;</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Restricted Stock,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is unknown, indeterminable and cannot be predicted;</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Shares of Restricted Stock, Participant’s status as a Service Provider will be considered terminated as of the date Participant is no longer actively providing</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7"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40"/>
          </w:cols>
          <w:pgMar w:left="320" w:top="1421" w:right="339" w:bottom="1440" w:gutter="0" w:footer="0" w:header="0"/>
        </w:sectPr>
      </w:pPr>
    </w:p>
    <w:bookmarkStart w:id="383" w:name="page384"/>
    <w:bookmarkEnd w:id="383"/>
    <w:p>
      <w:pPr>
        <w:jc w:val="both"/>
        <w:spacing w:after="0" w:line="246" w:lineRule="auto"/>
        <w:rPr>
          <w:sz w:val="20"/>
          <w:szCs w:val="20"/>
          <w:color w:val="auto"/>
        </w:rPr>
      </w:pPr>
      <w:r>
        <w:rPr>
          <w:rFonts w:ascii="Times New Roman" w:cs="Times New Roman" w:eastAsia="Times New Roman" w:hAnsi="Times New Roman"/>
          <w:sz w:val="22"/>
          <w:szCs w:val="22"/>
          <w:color w:val="auto"/>
        </w:rPr>
        <w:t>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Shares of Restricted Stock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Restricted Stock Award (including whether Participant may still be considered to be providing services while on a leave of absence and consistent with local law);</w:t>
      </w:r>
    </w:p>
    <w:p>
      <w:pPr>
        <w:spacing w:after="0" w:line="185" w:lineRule="exact"/>
        <w:rPr>
          <w:sz w:val="20"/>
          <w:szCs w:val="20"/>
          <w:color w:val="auto"/>
        </w:rPr>
      </w:pPr>
    </w:p>
    <w:p>
      <w:pPr>
        <w:jc w:val="both"/>
        <w:ind w:firstLine="1304"/>
        <w:spacing w:after="0" w:line="252" w:lineRule="auto"/>
        <w:tabs>
          <w:tab w:leader="none" w:pos="1939"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Administrator in its discretion, the Shares of Restricted Stock and the benefits evidenced by this Award Agreement do not create any entitlement to have the Shares of Restricted Stock or any such benefits transferred to, or assumed by, another company nor be exchanged, cashed out or substituted for, in connection with any corporate transaction affecting the Shares; and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1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Shares of Restricted Stock are not part of normal or expected compensation or salary for</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purpose;</w:t>
      </w:r>
    </w:p>
    <w:p>
      <w:pPr>
        <w:spacing w:after="0" w:line="195" w:lineRule="exact"/>
        <w:rPr>
          <w:rFonts w:ascii="Times New Roman" w:cs="Times New Roman" w:eastAsia="Times New Roman" w:hAnsi="Times New Roman"/>
          <w:sz w:val="21"/>
          <w:szCs w:val="21"/>
          <w:color w:val="auto"/>
        </w:rPr>
      </w:pPr>
    </w:p>
    <w:p>
      <w:pPr>
        <w:jc w:val="both"/>
        <w:ind w:firstLine="2600"/>
        <w:spacing w:after="0" w:line="257" w:lineRule="auto"/>
        <w:tabs>
          <w:tab w:leader="none" w:pos="3234" w:val="left"/>
        </w:tabs>
        <w:numPr>
          <w:ilvl w:val="2"/>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no Service Recipient shall be liable for any foreign exchange rate fluctuation between Participant’s local currency and the United States Dollar that may affect the value of the Shares of Restricted Stock or the subsequent sale of any Shares; and</w:t>
      </w:r>
    </w:p>
    <w:p>
      <w:pPr>
        <w:spacing w:after="0" w:line="172" w:lineRule="exact"/>
        <w:rPr>
          <w:rFonts w:ascii="Times New Roman" w:cs="Times New Roman" w:eastAsia="Times New Roman" w:hAnsi="Times New Roman"/>
          <w:sz w:val="22"/>
          <w:szCs w:val="22"/>
          <w:color w:val="auto"/>
        </w:rPr>
      </w:pPr>
    </w:p>
    <w:p>
      <w:pPr>
        <w:jc w:val="both"/>
        <w:ind w:firstLine="2600"/>
        <w:spacing w:after="0" w:line="246" w:lineRule="auto"/>
        <w:tabs>
          <w:tab w:leader="none" w:pos="3240" w:val="left"/>
        </w:tabs>
        <w:numPr>
          <w:ilvl w:val="2"/>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Restricted Stock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90" w:lineRule="exact"/>
        <w:rPr>
          <w:rFonts w:ascii="Times New Roman" w:cs="Times New Roman" w:eastAsia="Times New Roman" w:hAnsi="Times New Roman"/>
          <w:sz w:val="22"/>
          <w:szCs w:val="22"/>
          <w:color w:val="auto"/>
        </w:rPr>
      </w:pPr>
    </w:p>
    <w:p>
      <w:pPr>
        <w:ind w:right="20" w:firstLine="656"/>
        <w:spacing w:after="0" w:line="271" w:lineRule="auto"/>
        <w:tabs>
          <w:tab w:leader="none" w:pos="1288"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7"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3"/>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1240"/>
          </w:cols>
          <w:pgMar w:left="320" w:top="1421" w:right="339" w:bottom="1440" w:gutter="0" w:footer="0" w:header="0"/>
        </w:sectPr>
      </w:pPr>
    </w:p>
    <w:bookmarkStart w:id="384" w:name="page385"/>
    <w:bookmarkEnd w:id="384"/>
    <w:p>
      <w:pPr>
        <w:jc w:val="both"/>
        <w:spacing w:after="0" w:line="257" w:lineRule="auto"/>
        <w:rPr>
          <w:sz w:val="20"/>
          <w:szCs w:val="20"/>
          <w:color w:val="auto"/>
        </w:rPr>
      </w:pPr>
      <w:r>
        <w:rPr>
          <w:rFonts w:ascii="Times New Roman" w:cs="Times New Roman" w:eastAsia="Times New Roman" w:hAnsi="Times New Roman"/>
          <w:sz w:val="22"/>
          <w:szCs w:val="22"/>
          <w:color w:val="auto"/>
        </w:rPr>
        <w:t>participation in the Plan, or Participant’s acquisition or sale of the underlying Shares. Participant is hereby advised to consult with his or her own personal tax, legal and financial advisers regarding his or her participation in the Plan before taking any action related to the Plan.</w:t>
      </w:r>
    </w:p>
    <w:p>
      <w:pPr>
        <w:spacing w:after="0" w:line="167" w:lineRule="exact"/>
        <w:rPr>
          <w:sz w:val="20"/>
          <w:szCs w:val="20"/>
          <w:color w:val="auto"/>
        </w:rPr>
      </w:pPr>
    </w:p>
    <w:p>
      <w:pPr>
        <w:jc w:val="both"/>
        <w:ind w:firstLine="656"/>
        <w:spacing w:after="0" w:line="254" w:lineRule="auto"/>
        <w:tabs>
          <w:tab w:leader="none" w:pos="1296" w:val="left"/>
        </w:tabs>
        <w:numPr>
          <w:ilvl w:val="0"/>
          <w:numId w:val="30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Data Privacy</w:t>
      </w:r>
      <w:r>
        <w:rPr>
          <w:rFonts w:ascii="Times New Roman" w:cs="Times New Roman" w:eastAsia="Times New Roman" w:hAnsi="Times New Roman"/>
          <w:sz w:val="22"/>
          <w:szCs w:val="22"/>
          <w:b w:val="1"/>
          <w:bCs w:val="1"/>
          <w:i w:val="1"/>
          <w:iCs w:val="1"/>
          <w:color w:val="auto"/>
        </w:rPr>
        <w:t>. Participant hereby explicitly and unambiguously consents to the collection, use and transfer, in electronic or other form, of Participant’s personal data as described in this Award Agreement and any other Restricted Stock grant materials by and among, as applicable, the Service Recipients for the exclusive purpose of implementing, administering and managing Participant’s participation in the Plan.</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Shares of Restricted Stock or any other entitlement to Shares awarded, canceled, exercised, vested, unvested or outstanding in Participant’s favor (“</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i w:val="1"/>
          <w:iCs w:val="1"/>
          <w:color w:val="auto"/>
        </w:rPr>
        <w:t>”), for the exclusive purpose of implementing, administering and managing the Plan.</w:t>
      </w:r>
    </w:p>
    <w:p>
      <w:pPr>
        <w:spacing w:after="0" w:line="17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1240"/>
          </w:cols>
          <w:pgMar w:left="320" w:top="1421" w:right="33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22"/>
          <w:szCs w:val="22"/>
          <w:b w:val="1"/>
          <w:bCs w:val="1"/>
          <w:i w:val="1"/>
          <w:iCs w:val="1"/>
          <w:color w:val="auto"/>
        </w:rPr>
        <w:t>consent, Participant understands that he or she may contact his or her local human resources representative.</w:t>
      </w:r>
    </w:p>
    <w:p>
      <w:pPr>
        <w:spacing w:after="0" w:line="226" w:lineRule="exact"/>
        <w:rPr>
          <w:sz w:val="20"/>
          <w:szCs w:val="20"/>
          <w:color w:val="auto"/>
        </w:rPr>
      </w:pPr>
    </w:p>
    <w:p>
      <w:pPr>
        <w:ind w:left="1300" w:hanging="644"/>
        <w:spacing w:after="0"/>
        <w:tabs>
          <w:tab w:leader="none" w:pos="1300"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Escrow of Shares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Shares of Restricted Stock will, upon execution of this Award Agreement, be delivered and deposited with an escrow holder designated by the Company (the “</w:t>
      </w:r>
      <w:r>
        <w:rPr>
          <w:rFonts w:ascii="Times New Roman" w:cs="Times New Roman" w:eastAsia="Times New Roman" w:hAnsi="Times New Roman"/>
          <w:sz w:val="22"/>
          <w:szCs w:val="22"/>
          <w:u w:val="single" w:color="auto"/>
          <w:color w:val="auto"/>
        </w:rPr>
        <w:t>Escrow Holder</w:t>
      </w:r>
      <w:r>
        <w:rPr>
          <w:rFonts w:ascii="Times New Roman" w:cs="Times New Roman" w:eastAsia="Times New Roman" w:hAnsi="Times New Roman"/>
          <w:sz w:val="22"/>
          <w:szCs w:val="22"/>
          <w:color w:val="auto"/>
        </w:rPr>
        <w:t>”). The Shares of Restricted Stock will be held by the Escrow Holder until such time as the Shares of Restricted Stock vest or the date Participant ceases to be a Service Provider.</w:t>
      </w:r>
    </w:p>
    <w:p>
      <w:pPr>
        <w:spacing w:after="0" w:line="172" w:lineRule="exact"/>
        <w:rPr>
          <w:rFonts w:ascii="Times New Roman" w:cs="Times New Roman" w:eastAsia="Times New Roman" w:hAnsi="Times New Roman"/>
          <w:sz w:val="22"/>
          <w:szCs w:val="22"/>
          <w:color w:val="auto"/>
        </w:rPr>
      </w:pPr>
    </w:p>
    <w:p>
      <w:pPr>
        <w:ind w:right="20" w:firstLine="1304"/>
        <w:spacing w:after="0" w:line="271" w:lineRule="auto"/>
        <w:tabs>
          <w:tab w:leader="none" w:pos="1939"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Escrow Holder will not be liable for any act it may do or omit to do with respect to holding the Shares of Restricted Stock in escrow and while acting in good faith and in the exercise of its judgment.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48" w:lineRule="auto"/>
        <w:tabs>
          <w:tab w:leader="none" w:pos="2008"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Participant’s termination as a Service Provider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Escrow Holder will take all steps necessary to accomplish the transfer of Shares of Restricted Stock to Participant after they vest following Participant’s request that the Escrow Holder do so.</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hereof, Participant shall have all the rights of a stockholder with respect to such Shares while they are held in escrow, including without limitation, the right to vote the Shares and receive any cash dividends declared thereon.</w:t>
      </w:r>
    </w:p>
    <w:p>
      <w:pPr>
        <w:spacing w:after="0" w:line="172" w:lineRule="exact"/>
        <w:rPr>
          <w:rFonts w:ascii="Times New Roman" w:cs="Times New Roman" w:eastAsia="Times New Roman" w:hAnsi="Times New Roman"/>
          <w:sz w:val="22"/>
          <w:szCs w:val="22"/>
          <w:color w:val="auto"/>
        </w:rPr>
      </w:pPr>
    </w:p>
    <w:p>
      <w:pPr>
        <w:jc w:val="both"/>
        <w:ind w:firstLine="1304"/>
        <w:spacing w:after="0" w:line="245" w:lineRule="auto"/>
        <w:tabs>
          <w:tab w:leader="none" w:pos="1944"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the Shares of Restricted Stock will be increased, reduced or otherwise changed, and by virtue of any such change Participant in his or her capacity as owner of unvested Shares of Restricted Stock will be entitled to new or additional or different shares of stock, cash or securities (other than rights or warrants to purchase securities); such new or additional or different shares, cash or securities will thereupon be considered to be unvested Shares of Restricted Stock and will be subject to all of the conditions and restrictions which were applicable to the unvested Shares of Restricted Stock pursuant to this Award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4"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1240"/>
          </w:cols>
          <w:pgMar w:left="320" w:top="1415" w:right="339" w:bottom="1440" w:gutter="0" w:footer="0" w:header="0"/>
        </w:sectPr>
      </w:pPr>
    </w:p>
    <w:bookmarkStart w:id="386" w:name="page387"/>
    <w:bookmarkEnd w:id="386"/>
    <w:p>
      <w:pPr>
        <w:jc w:val="both"/>
        <w:spacing w:after="0" w:line="252" w:lineRule="auto"/>
        <w:rPr>
          <w:sz w:val="20"/>
          <w:szCs w:val="20"/>
          <w:color w:val="auto"/>
        </w:rPr>
      </w:pPr>
      <w:r>
        <w:rPr>
          <w:rFonts w:ascii="Times New Roman" w:cs="Times New Roman" w:eastAsia="Times New Roman" w:hAnsi="Times New Roman"/>
          <w:sz w:val="22"/>
          <w:szCs w:val="22"/>
          <w:color w:val="auto"/>
        </w:rPr>
        <w:t>conditions and restrictions which were applicable to the unvested Shares of Restricted Stock pursuant to this Award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179" w:lineRule="exact"/>
        <w:rPr>
          <w:sz w:val="20"/>
          <w:szCs w:val="20"/>
          <w:color w:val="auto"/>
        </w:rPr>
      </w:pPr>
    </w:p>
    <w:p>
      <w:pPr>
        <w:jc w:val="both"/>
        <w:ind w:firstLine="1304"/>
        <w:spacing w:after="0" w:line="295" w:lineRule="auto"/>
        <w:tabs>
          <w:tab w:leader="none" w:pos="1939" w:val="left"/>
        </w:tabs>
        <w:numPr>
          <w:ilvl w:val="1"/>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instruct the transfer agent for its Common Stock to place a legend on the certificates representing the Restricted Stock or otherwise note its records as to the restrictions on transfer set forth in this Award Agreement.</w:t>
      </w:r>
    </w:p>
    <w:p>
      <w:pPr>
        <w:spacing w:after="0" w:line="135" w:lineRule="exact"/>
        <w:rPr>
          <w:rFonts w:ascii="Times New Roman" w:cs="Times New Roman" w:eastAsia="Times New Roman" w:hAnsi="Times New Roman"/>
          <w:sz w:val="21"/>
          <w:szCs w:val="21"/>
          <w:color w:val="auto"/>
        </w:rPr>
      </w:pPr>
    </w:p>
    <w:p>
      <w:pPr>
        <w:jc w:val="both"/>
        <w:ind w:firstLine="656"/>
        <w:spacing w:after="0" w:line="257" w:lineRule="auto"/>
        <w:tabs>
          <w:tab w:leader="none" w:pos="1296"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Seer, Inc., 3800 Bridge Parkway Suite 102, Redwood City, California 94065, or at such other address as the Company may hereafter designate in writing.</w:t>
      </w:r>
    </w:p>
    <w:p>
      <w:pPr>
        <w:spacing w:after="0" w:line="172"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80" w:lineRule="exact"/>
        <w:rPr>
          <w:rFonts w:ascii="Times New Roman" w:cs="Times New Roman" w:eastAsia="Times New Roman" w:hAnsi="Times New Roman"/>
          <w:sz w:val="22"/>
          <w:szCs w:val="22"/>
          <w:color w:val="auto"/>
        </w:rPr>
      </w:pPr>
    </w:p>
    <w:p>
      <w:pPr>
        <w:jc w:val="both"/>
        <w:ind w:firstLine="656"/>
        <w:spacing w:after="0" w:line="245" w:lineRule="auto"/>
        <w:tabs>
          <w:tab w:leader="none" w:pos="1296"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or the Escrow Holder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(or make any entry on the books of the Company or of a duly authorized transfer agent of the Company of) Shares hereunder prior to the lapse of such reasonable period of time following the Date of Grant of the Shares of Restricted Stock as the Administrator may establish from time to time for reasons of administrative convenience.</w:t>
      </w:r>
    </w:p>
    <w:p>
      <w:pPr>
        <w:spacing w:after="0" w:line="195"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72" w:lineRule="exact"/>
        <w:rPr>
          <w:rFonts w:ascii="Times New Roman" w:cs="Times New Roman" w:eastAsia="Times New Roman" w:hAnsi="Times New Roman"/>
          <w:sz w:val="22"/>
          <w:szCs w:val="22"/>
          <w:color w:val="auto"/>
        </w:rPr>
      </w:pPr>
    </w:p>
    <w:p>
      <w:pPr>
        <w:jc w:val="both"/>
        <w:ind w:firstLine="656"/>
        <w:spacing w:after="0" w:line="275" w:lineRule="auto"/>
        <w:tabs>
          <w:tab w:leader="none" w:pos="1296"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of Restricted Stock have vested). All</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94" w:lineRule="exact"/>
        <w:rPr>
          <w:rFonts w:ascii="Times New Roman" w:cs="Times New Roman" w:eastAsia="Times New Roman" w:hAnsi="Times New Roman"/>
          <w:sz w:val="21"/>
          <w:szCs w:val="21"/>
          <w:color w:val="auto"/>
        </w:rPr>
      </w:pPr>
    </w:p>
    <w:p>
      <w:pPr>
        <w:ind w:left="5520" w:hanging="126"/>
        <w:spacing w:after="0"/>
        <w:tabs>
          <w:tab w:leader="none" w:pos="5520" w:val="left"/>
        </w:tabs>
        <w:numPr>
          <w:ilvl w:val="2"/>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ectPr>
          <w:pgSz w:w="11900" w:h="16838" w:orient="portrait"/>
          <w:cols w:equalWidth="0" w:num="1">
            <w:col w:w="11240"/>
          </w:cols>
          <w:pgMar w:left="320" w:top="1421" w:right="339" w:bottom="1440" w:gutter="0" w:footer="0" w:header="0"/>
        </w:sectPr>
      </w:pPr>
    </w:p>
    <w:bookmarkStart w:id="387" w:name="page388"/>
    <w:bookmarkEnd w:id="387"/>
    <w:p>
      <w:pPr>
        <w:jc w:val="both"/>
        <w:spacing w:after="0" w:line="252" w:lineRule="auto"/>
        <w:rPr>
          <w:sz w:val="20"/>
          <w:szCs w:val="20"/>
          <w:color w:val="auto"/>
        </w:rPr>
      </w:pPr>
      <w:r>
        <w:rPr>
          <w:rFonts w:ascii="Times New Roman" w:cs="Times New Roman" w:eastAsia="Times New Roman" w:hAnsi="Times New Roman"/>
          <w:sz w:val="22"/>
          <w:szCs w:val="22"/>
          <w:color w:val="auto"/>
        </w:rPr>
        <w:t>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79" w:lineRule="exact"/>
        <w:rPr>
          <w:sz w:val="20"/>
          <w:szCs w:val="20"/>
          <w:color w:val="auto"/>
        </w:rPr>
      </w:pPr>
    </w:p>
    <w:p>
      <w:pPr>
        <w:jc w:val="both"/>
        <w:ind w:firstLine="656"/>
        <w:spacing w:after="0" w:line="250" w:lineRule="auto"/>
        <w:tabs>
          <w:tab w:leader="none" w:pos="1296"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the Shares of Restricted Stock awarded under the Plan or future Shares of Restricted Stock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80" w:lineRule="exact"/>
        <w:rPr>
          <w:rFonts w:ascii="Times New Roman" w:cs="Times New Roman" w:eastAsia="Times New Roman" w:hAnsi="Times New Roman"/>
          <w:sz w:val="22"/>
          <w:szCs w:val="22"/>
          <w:color w:val="auto"/>
        </w:rPr>
      </w:pPr>
    </w:p>
    <w:p>
      <w:pPr>
        <w:ind w:right="20" w:firstLine="656"/>
        <w:spacing w:after="0" w:line="271" w:lineRule="auto"/>
        <w:tabs>
          <w:tab w:leader="none" w:pos="1296"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7"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he or she has received an Award of Restricted Stock under the Plan, and has received, read and understood a description of the Plan. Participant understands that the Plan is discretionary in nature and may be amended, suspended or terminated by the Administrator at any time.</w:t>
      </w:r>
    </w:p>
    <w:p>
      <w:pPr>
        <w:spacing w:after="0" w:line="179"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Award Agreement, the Restricted Stock grant shall be subject to any special terms and conditions set forth in an appendix (if any) to this Award Agreement for any country whose laws are applicable to Participant and this Award of Restricted Stock (as determined by the Administrator in its sole discretion)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81"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Shares of Restricted Stock.</w:t>
      </w:r>
    </w:p>
    <w:p>
      <w:pPr>
        <w:spacing w:after="0" w:line="185"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 way be construed as a waiver of any such provision or provisions,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7"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ectPr>
          <w:pgSz w:w="11900" w:h="16838" w:orient="portrait"/>
          <w:cols w:equalWidth="0" w:num="1">
            <w:col w:w="11240"/>
          </w:cols>
          <w:pgMar w:left="320" w:top="1421" w:right="339" w:bottom="1440" w:gutter="0" w:footer="0" w:header="0"/>
        </w:sectPr>
      </w:pPr>
    </w:p>
    <w:bookmarkStart w:id="388" w:name="page389"/>
    <w:bookmarkEnd w:id="388"/>
    <w:p>
      <w:pPr>
        <w:jc w:val="both"/>
        <w:spacing w:after="0" w:line="257" w:lineRule="auto"/>
        <w:rPr>
          <w:sz w:val="20"/>
          <w:szCs w:val="20"/>
          <w:color w:val="auto"/>
        </w:rPr>
      </w:pPr>
      <w:r>
        <w:rPr>
          <w:rFonts w:ascii="Times New Roman" w:cs="Times New Roman" w:eastAsia="Times New Roman" w:hAnsi="Times New Roman"/>
          <w:sz w:val="22"/>
          <w:szCs w:val="22"/>
          <w:color w:val="auto"/>
        </w:rPr>
        <w:t>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3" w:lineRule="exact"/>
        <w:rPr>
          <w:sz w:val="20"/>
          <w:szCs w:val="20"/>
          <w:color w:val="auto"/>
        </w:rPr>
      </w:pPr>
    </w:p>
    <w:p>
      <w:pPr>
        <w:jc w:val="both"/>
        <w:ind w:firstLine="656"/>
        <w:spacing w:after="0" w:line="252" w:lineRule="auto"/>
        <w:tabs>
          <w:tab w:leader="none" w:pos="1296"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Severability</w:t>
      </w:r>
      <w:r>
        <w:rPr>
          <w:rFonts w:ascii="Times New Roman" w:cs="Times New Roman" w:eastAsia="Times New Roman" w:hAnsi="Times New Roman"/>
          <w:sz w:val="22"/>
          <w:szCs w:val="22"/>
          <w:color w:val="auto"/>
        </w:rPr>
        <w:t>. This Award Agreement and the Shares of Restricted Stock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79"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80" w:lineRule="exact"/>
        <w:rPr>
          <w:rFonts w:ascii="Times New Roman" w:cs="Times New Roman" w:eastAsia="Times New Roman" w:hAnsi="Times New Roman"/>
          <w:sz w:val="22"/>
          <w:szCs w:val="22"/>
          <w:color w:val="auto"/>
        </w:rPr>
      </w:pPr>
    </w:p>
    <w:p>
      <w:pPr>
        <w:ind w:left="4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w:t>
      </w:r>
    </w:p>
    <w:p>
      <w:pPr>
        <w:sectPr>
          <w:pgSz w:w="11900" w:h="16838" w:orient="portrait"/>
          <w:cols w:equalWidth="0" w:num="1">
            <w:col w:w="11240"/>
          </w:cols>
          <w:pgMar w:left="320" w:top="1421" w:right="339" w:bottom="1440" w:gutter="0" w:footer="0" w:header="0"/>
        </w:sectPr>
      </w:pPr>
    </w:p>
    <w:bookmarkStart w:id="389" w:name="page390"/>
    <w:bookmarkEnd w:id="38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COUNTRY ADDENDUM TO RESTRICTED STOCK AWARD AGREEMENT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Country Addendum to Restricted Stock Award Agreement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will be ascribed the same defined meanings as set forth in the Restricted Stock Award Agreement of which this Country Addendum forms a part (or the Plan or other written agreement as specified in the Restricted Stock Award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This Country Addendum includes additional terms and conditions that govern the Award of Restricted Stock granted pursuant to the terms and conditions of the Seer, Inc. 2020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the Restricted Stock Award Agreement to which this Country Addendum is attached (the “</w:t>
      </w:r>
      <w:r>
        <w:rPr>
          <w:rFonts w:ascii="Times New Roman" w:cs="Times New Roman" w:eastAsia="Times New Roman" w:hAnsi="Times New Roman"/>
          <w:sz w:val="22"/>
          <w:szCs w:val="22"/>
          <w:u w:val="single" w:color="auto"/>
          <w:color w:val="auto"/>
        </w:rPr>
        <w:t>Restricted Stock Award Agreement</w:t>
      </w:r>
      <w:r>
        <w:rPr>
          <w:rFonts w:ascii="Times New Roman" w:cs="Times New Roman" w:eastAsia="Times New Roman" w:hAnsi="Times New Roman"/>
          <w:sz w:val="22"/>
          <w:szCs w:val="22"/>
          <w:color w:val="auto"/>
        </w:rPr>
        <w:t>”) to the extent the individual to whom the Shares of Restricted Stock were granted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resides and/or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Award of Restricted Stock is granted, the Company, in its discretion, will determine to what extent the terms and conditions contained herein will apply to the Participant.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This Country Addendum also may include information regarding exchange controls and certain other issues of which Participant should be aware with respect to his or her participation in the Plan. The information is based on the securities, exchange control and other Applicable Laws in effect in the respective countries as of [______], 20[___]. Such Applicable Laws</w:t>
      </w:r>
    </w:p>
    <w:p>
      <w:pPr>
        <w:spacing w:after="0" w:line="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Shares of Restricted Stock.</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currently is residing and/or working, transfers residence and/or employment to another country after the grant of the Shares of Restricted Stock, or is considered a resident of another</w:t>
      </w:r>
    </w:p>
    <w:p>
      <w:pPr>
        <w:sectPr>
          <w:pgSz w:w="11900" w:h="16838" w:orient="portrait"/>
          <w:cols w:equalWidth="0" w:num="1">
            <w:col w:w="11240"/>
          </w:cols>
          <w:pgMar w:left="320" w:top="1417" w:right="33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21"/>
          <w:szCs w:val="21"/>
          <w:color w:val="auto"/>
        </w:rPr>
        <w:t>country for local law purposes, the information in this Country Addendum may not apply to Participant in the same manner.</w:t>
      </w:r>
    </w:p>
    <w:p>
      <w:pPr>
        <w:sectPr>
          <w:pgSz w:w="11900" w:h="16838" w:orient="portrait"/>
          <w:cols w:equalWidth="0" w:num="1">
            <w:col w:w="10720"/>
          </w:cols>
          <w:pgMar w:left="320" w:top="1421"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1"/>
          <w:szCs w:val="21"/>
          <w:color w:val="auto"/>
        </w:rPr>
        <w:t>- 2 -</w:t>
      </w:r>
    </w:p>
    <w:p>
      <w:pPr>
        <w:sectPr>
          <w:pgSz w:w="11900" w:h="16838" w:orient="portrait"/>
          <w:cols w:equalWidth="0" w:num="1">
            <w:col w:w="10720"/>
          </w:cols>
          <w:pgMar w:left="320" w:top="1421" w:right="859" w:bottom="1440" w:gutter="0" w:footer="0" w:header="0"/>
          <w:type w:val="continuous"/>
        </w:sectPr>
      </w:pPr>
    </w:p>
    <w:bookmarkStart w:id="391" w:name="page392"/>
    <w:bookmarkEnd w:id="391"/>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RESTRICTED STOCK UNIT GRANT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Unless otherwise defined herein, the terms defined in the Seer, Inc. 2020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will have the same defined meanings in this Restricted Stock Unit Agreement which includes the Notice of Restricted Stock Unit Grant (the “</w:t>
      </w:r>
      <w:r>
        <w:rPr>
          <w:rFonts w:ascii="Times New Roman" w:cs="Times New Roman" w:eastAsia="Times New Roman" w:hAnsi="Times New Roman"/>
          <w:sz w:val="22"/>
          <w:szCs w:val="22"/>
          <w:b w:val="1"/>
          <w:bCs w:val="1"/>
          <w:color w:val="auto"/>
        </w:rPr>
        <w:t>Notice of Grant</w:t>
      </w:r>
      <w:r>
        <w:rPr>
          <w:rFonts w:ascii="Times New Roman" w:cs="Times New Roman" w:eastAsia="Times New Roman" w:hAnsi="Times New Roman"/>
          <w:sz w:val="22"/>
          <w:szCs w:val="22"/>
          <w:color w:val="auto"/>
        </w:rPr>
        <w:t xml:space="preserve">”), the Terms and Conditions of Restricted Stock Unit Grant,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and all other exhibits, appendices, and addenda attached hereto (the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w:t>
      </w:r>
    </w:p>
    <w:p>
      <w:pPr>
        <w:spacing w:after="0" w:line="3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undersigned Participant has been granted an Award of Restricted Stock Units, subject to the terms and conditions of the Plan and this Award Agreement, as follows:</w:t>
      </w:r>
    </w:p>
    <w:p>
      <w:pPr>
        <w:spacing w:after="0" w:line="2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27940</wp:posOffset>
            </wp:positionV>
            <wp:extent cx="25800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27940</wp:posOffset>
            </wp:positionV>
            <wp:extent cx="25800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20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27940</wp:posOffset>
            </wp:positionV>
            <wp:extent cx="25800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20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Total 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27940</wp:posOffset>
            </wp:positionV>
            <wp:extent cx="258000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Quarterly Vesting Dates</w:t>
      </w:r>
      <w:r>
        <w:rPr>
          <w:rFonts w:ascii="Times New Roman" w:cs="Times New Roman" w:eastAsia="Times New Roman" w:hAnsi="Times New Roman"/>
          <w:sz w:val="22"/>
          <w:szCs w:val="22"/>
          <w:color w:val="auto"/>
        </w:rPr>
        <w:t>” with respect to any calendar year means [February 15], [May 15], [August 15], and [November 15].</w:t>
      </w:r>
    </w:p>
    <w:p>
      <w:pPr>
        <w:spacing w:after="0" w:line="15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this Award Agreement or any other written agreement authorized by the Administrator between Participant and the Company (or any Parent or Subsidiary of the Company, as applicable) governing the terms of this Award, the Restricted Stock Units will be scheduled to vest according to the following vesting schedule:</w:t>
      </w:r>
    </w:p>
    <w:p>
      <w:pPr>
        <w:spacing w:after="0" w:line="17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[One-fourth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of the Total Number of Restricted Stock Units (as set forth above) subject to this Award Agreement will be scheduled to vest on the first Quarterly Vesting Date on or immediately following the one (1) year anniversary of the Vesting Commencement Date (such first vesting date, the “</w:t>
      </w:r>
      <w:r>
        <w:rPr>
          <w:rFonts w:ascii="Times New Roman" w:cs="Times New Roman" w:eastAsia="Times New Roman" w:hAnsi="Times New Roman"/>
          <w:sz w:val="22"/>
          <w:szCs w:val="22"/>
          <w:b w:val="1"/>
          <w:bCs w:val="1"/>
          <w:color w:val="auto"/>
        </w:rPr>
        <w:t>First Vesting Date</w:t>
      </w:r>
      <w:r>
        <w:rPr>
          <w:rFonts w:ascii="Times New Roman" w:cs="Times New Roman" w:eastAsia="Times New Roman" w:hAnsi="Times New Roman"/>
          <w:sz w:val="22"/>
          <w:szCs w:val="22"/>
          <w:color w:val="auto"/>
        </w:rPr>
        <w:t>”), and thereafter, one-sixteenth (1/16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of the Total Number of Restricted Stock Units subject to this Award Agreement will be scheduled to vest on each of the twelve (12) Quarterly Vesting Dates that occur after the First Vesting Date, subject to Participant continuing to be a Service Provider through the applicable vesting date.]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4824-8406-7279.4 - 11/12/2020 4:39:02 PM</w:t>
      </w:r>
    </w:p>
    <w:p>
      <w:pPr>
        <w:sectPr>
          <w:pgSz w:w="11900" w:h="16838" w:orient="portrait"/>
          <w:cols w:equalWidth="0" w:num="1">
            <w:col w:w="11240"/>
          </w:cols>
          <w:pgMar w:left="320" w:top="1440" w:right="339" w:bottom="1440" w:gutter="0" w:footer="0" w:header="0"/>
          <w:type w:val="continuous"/>
        </w:sectPr>
      </w:pPr>
    </w:p>
    <w:bookmarkStart w:id="392" w:name="page393"/>
    <w:bookmarkEnd w:id="392"/>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By Participant’s signature and the signature of the representative of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spacing w:after="0" w:line="245" w:lineRule="exact"/>
        <w:rPr>
          <w:sz w:val="20"/>
          <w:szCs w:val="20"/>
          <w:color w:val="auto"/>
        </w:rPr>
      </w:pPr>
    </w:p>
    <w:p>
      <w:pPr>
        <w:ind w:left="20"/>
        <w:spacing w:after="0"/>
        <w:tabs>
          <w:tab w:leader="none" w:pos="5860" w:val="left"/>
        </w:tabs>
        <w:rPr>
          <w:sz w:val="20"/>
          <w:szCs w:val="20"/>
          <w:color w:val="auto"/>
        </w:rPr>
      </w:pPr>
      <w:r>
        <w:rPr>
          <w:rFonts w:ascii="Times New Roman" w:cs="Times New Roman" w:eastAsia="Times New Roman" w:hAnsi="Times New Roman"/>
          <w:sz w:val="22"/>
          <w:szCs w:val="22"/>
          <w:color w:val="auto"/>
        </w:rPr>
        <w:t>PARTICIPANT</w:t>
      </w:r>
      <w:r>
        <w:rPr>
          <w:sz w:val="20"/>
          <w:szCs w:val="20"/>
          <w:color w:val="auto"/>
        </w:rPr>
        <w:tab/>
      </w:r>
      <w:r>
        <w:rPr>
          <w:rFonts w:ascii="Times New Roman" w:cs="Times New Roman" w:eastAsia="Times New Roman" w:hAnsi="Times New Roman"/>
          <w:sz w:val="22"/>
          <w:szCs w:val="22"/>
          <w:color w:val="auto"/>
        </w:rPr>
        <w:t>SEER,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151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34029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567055</wp:posOffset>
            </wp:positionV>
            <wp:extent cx="34029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34029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300990</wp:posOffset>
            </wp:positionV>
            <wp:extent cx="34029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308610</wp:posOffset>
            </wp:positionV>
            <wp:extent cx="34036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340360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4540"/>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316230</wp:posOffset>
            </wp:positionV>
            <wp:extent cx="34036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340360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670" w:lineRule="exact"/>
        <w:rPr>
          <w:sz w:val="20"/>
          <w:szCs w:val="20"/>
          <w:color w:val="auto"/>
        </w:rPr>
      </w:pPr>
    </w:p>
    <w:p>
      <w:pPr>
        <w:sectPr>
          <w:pgSz w:w="11900" w:h="16838" w:orient="portrait"/>
          <w:cols w:equalWidth="0" w:num="2">
            <w:col w:w="5160" w:space="720"/>
            <w:col w:w="5360"/>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- 2 -</w:t>
      </w:r>
    </w:p>
    <w:p>
      <w:pPr>
        <w:sectPr>
          <w:pgSz w:w="11900" w:h="16838" w:orient="portrait"/>
          <w:cols w:equalWidth="0" w:num="1">
            <w:col w:w="11240"/>
          </w:cols>
          <w:pgMar w:left="320" w:top="1421" w:right="339" w:bottom="1440" w:gutter="0" w:footer="0" w:header="0"/>
          <w:type w:val="continuous"/>
        </w:sectPr>
      </w:pPr>
    </w:p>
    <w:bookmarkStart w:id="393" w:name="page394"/>
    <w:bookmarkEnd w:id="393"/>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RESTRICTED STOCK UNIT GRANT</w:t>
      </w:r>
    </w:p>
    <w:p>
      <w:pPr>
        <w:spacing w:after="0" w:line="220" w:lineRule="exact"/>
        <w:rPr>
          <w:sz w:val="20"/>
          <w:szCs w:val="20"/>
          <w:color w:val="auto"/>
        </w:rPr>
      </w:pPr>
    </w:p>
    <w:p>
      <w:pPr>
        <w:jc w:val="both"/>
        <w:ind w:firstLine="656"/>
        <w:spacing w:after="0" w:line="251" w:lineRule="auto"/>
        <w:tabs>
          <w:tab w:leader="none" w:pos="1296"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Grant of Restricted Stock Units. </w:t>
      </w:r>
      <w:r>
        <w:rPr>
          <w:rFonts w:ascii="Times New Roman" w:cs="Times New Roman" w:eastAsia="Times New Roman" w:hAnsi="Times New Roman"/>
          <w:sz w:val="22"/>
          <w:szCs w:val="22"/>
          <w:color w:val="auto"/>
        </w:rPr>
        <w:t>The Company hereby grants to the individual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named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of Restricted Stock Unit Grant of this Award Agreement (the “</w:t>
      </w:r>
      <w:r>
        <w:rPr>
          <w:rFonts w:ascii="Times New Roman" w:cs="Times New Roman" w:eastAsia="Times New Roman" w:hAnsi="Times New Roman"/>
          <w:sz w:val="22"/>
          <w:szCs w:val="22"/>
          <w:b w:val="1"/>
          <w:bCs w:val="1"/>
          <w:color w:val="auto"/>
        </w:rPr>
        <w:t>Notice of Grant</w:t>
      </w:r>
      <w:r>
        <w:rPr>
          <w:rFonts w:ascii="Times New Roman" w:cs="Times New Roman" w:eastAsia="Times New Roman" w:hAnsi="Times New Roman"/>
          <w:sz w:val="22"/>
          <w:szCs w:val="22"/>
          <w:color w:val="auto"/>
        </w:rPr>
        <w:t>”) under the Plan an Award of Restricted Stock Units, and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spacing w:after="0" w:line="175"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Company’s Obligation to Pay. </w:t>
      </w:r>
      <w:r>
        <w:rPr>
          <w:rFonts w:ascii="Times New Roman" w:cs="Times New Roman" w:eastAsia="Times New Roman" w:hAnsi="Times New Roman"/>
          <w:sz w:val="22"/>
          <w:szCs w:val="22"/>
          <w:color w:val="auto"/>
        </w:rPr>
        <w:t>Each Restricted Stock Unit represents the right to receive a Share on the date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5"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 Except as provided in Section 4, and subject to Section 5, the Restricted Stock Units awarded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 after Vesting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66" w:lineRule="auto"/>
        <w:tabs>
          <w:tab w:leader="none" w:pos="1941" w:val="left"/>
        </w:tabs>
        <w:numPr>
          <w:ilvl w:val="1"/>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General Rule</w:t>
      </w:r>
      <w:r>
        <w:rPr>
          <w:rFonts w:ascii="Times New Roman" w:cs="Times New Roman" w:eastAsia="Times New Roman" w:hAnsi="Times New Roman"/>
          <w:sz w:val="21"/>
          <w:szCs w:val="21"/>
          <w:color w:val="auto"/>
        </w:rPr>
        <w:t>. Subject to Section 7, any Restricted Stock Units that vest will be paid to Participant (or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event of Participant’s death, to his or her properly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4824-8406-7279.4</w:t>
      </w:r>
    </w:p>
    <w:p>
      <w:pPr>
        <w:sectPr>
          <w:pgSz w:w="11900" w:h="16838" w:orient="portrait"/>
          <w:cols w:equalWidth="0" w:num="1">
            <w:col w:w="11240"/>
          </w:cols>
          <w:pgMar w:left="320" w:top="1440" w:right="339" w:bottom="1440" w:gutter="0" w:footer="0" w:header="0"/>
        </w:sectPr>
      </w:pPr>
    </w:p>
    <w:bookmarkStart w:id="394" w:name="page395"/>
    <w:bookmarkEnd w:id="394"/>
    <w:p>
      <w:pPr>
        <w:jc w:val="both"/>
        <w:ind w:firstLine="1304"/>
        <w:spacing w:after="0" w:line="277" w:lineRule="auto"/>
        <w:tabs>
          <w:tab w:leader="none" w:pos="1939" w:val="left"/>
        </w:tabs>
        <w:numPr>
          <w:ilvl w:val="1"/>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Discretionary Acceleration</w:t>
      </w:r>
      <w:r>
        <w:rPr>
          <w:rFonts w:ascii="Times New Roman" w:cs="Times New Roman" w:eastAsia="Times New Roman" w:hAnsi="Times New Roman"/>
          <w:sz w:val="21"/>
          <w:szCs w:val="21"/>
          <w:color w:val="auto"/>
        </w:rPr>
        <w:t>. The Administrator, in its discretion, may accelerate the vesting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49"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0" w:val="left"/>
        </w:tabs>
        <w:numPr>
          <w:ilvl w:val="2"/>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Participant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79" w:lineRule="exact"/>
        <w:rPr>
          <w:rFonts w:ascii="Times New Roman" w:cs="Times New Roman" w:eastAsia="Times New Roman" w:hAnsi="Times New Roman"/>
          <w:sz w:val="22"/>
          <w:szCs w:val="22"/>
          <w:color w:val="auto"/>
        </w:rPr>
      </w:pPr>
    </w:p>
    <w:p>
      <w:pPr>
        <w:jc w:val="both"/>
        <w:ind w:firstLine="1952"/>
        <w:spacing w:after="0" w:line="246" w:lineRule="auto"/>
        <w:tabs>
          <w:tab w:leader="none" w:pos="2586" w:val="left"/>
        </w:tabs>
        <w:numPr>
          <w:ilvl w:val="2"/>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185" w:lineRule="exact"/>
        <w:rPr>
          <w:rFonts w:ascii="Times New Roman" w:cs="Times New Roman" w:eastAsia="Times New Roman" w:hAnsi="Times New Roman"/>
          <w:sz w:val="22"/>
          <w:szCs w:val="22"/>
          <w:color w:val="auto"/>
        </w:rPr>
      </w:pPr>
    </w:p>
    <w:p>
      <w:pPr>
        <w:jc w:val="both"/>
        <w:ind w:firstLine="1952"/>
        <w:spacing w:after="0" w:line="246" w:lineRule="auto"/>
        <w:tabs>
          <w:tab w:leader="none" w:pos="2592" w:val="left"/>
        </w:tabs>
        <w:numPr>
          <w:ilvl w:val="2"/>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 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183" w:lineRule="exact"/>
        <w:rPr>
          <w:rFonts w:ascii="Times New Roman" w:cs="Times New Roman" w:eastAsia="Times New Roman" w:hAnsi="Times New Roman"/>
          <w:sz w:val="22"/>
          <w:szCs w:val="22"/>
          <w:color w:val="auto"/>
        </w:rPr>
      </w:pPr>
    </w:p>
    <w:p>
      <w:pPr>
        <w:ind w:right="20" w:firstLine="656"/>
        <w:spacing w:after="0" w:line="275" w:lineRule="auto"/>
        <w:tabs>
          <w:tab w:leader="none" w:pos="1296"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Forfeiture Upon Termination as a Service Provider</w:t>
      </w:r>
      <w:r>
        <w:rPr>
          <w:rFonts w:ascii="Times New Roman" w:cs="Times New Roman" w:eastAsia="Times New Roman" w:hAnsi="Times New Roman"/>
          <w:sz w:val="22"/>
          <w:szCs w:val="22"/>
          <w:color w:val="auto"/>
        </w:rPr>
        <w:t>. Unless specifically provided otherwise in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other written agreement authorized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7" w:right="339" w:bottom="1440" w:gutter="0" w:footer="0" w:header="0"/>
        </w:sectPr>
      </w:pPr>
    </w:p>
    <w:bookmarkStart w:id="395" w:name="page396"/>
    <w:bookmarkEnd w:id="395"/>
    <w:p>
      <w:pPr>
        <w:jc w:val="both"/>
        <w:spacing w:after="0" w:line="252" w:lineRule="auto"/>
        <w:rPr>
          <w:sz w:val="20"/>
          <w:szCs w:val="20"/>
          <w:color w:val="auto"/>
        </w:rPr>
      </w:pPr>
      <w:r>
        <w:rPr>
          <w:rFonts w:ascii="Times New Roman" w:cs="Times New Roman" w:eastAsia="Times New Roman" w:hAnsi="Times New Roman"/>
          <w:sz w:val="22"/>
          <w:szCs w:val="22"/>
          <w:color w:val="auto"/>
        </w:rPr>
        <w:t>Administrator between Participant and the Company or any of its Subsidiaries or Parents, as applicable, governing the terms of this Award,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75" w:lineRule="exact"/>
        <w:rPr>
          <w:sz w:val="20"/>
          <w:szCs w:val="20"/>
          <w:color w:val="auto"/>
        </w:rPr>
      </w:pPr>
    </w:p>
    <w:p>
      <w:pPr>
        <w:jc w:val="both"/>
        <w:ind w:firstLine="656"/>
        <w:spacing w:after="0" w:line="251" w:lineRule="auto"/>
        <w:tabs>
          <w:tab w:leader="none" w:pos="1296"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is then deceased, will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Obligations</w:t>
      </w:r>
    </w:p>
    <w:p>
      <w:pPr>
        <w:spacing w:after="0" w:line="219" w:lineRule="exact"/>
        <w:rPr>
          <w:rFonts w:ascii="Times New Roman" w:cs="Times New Roman" w:eastAsia="Times New Roman" w:hAnsi="Times New Roman"/>
          <w:sz w:val="22"/>
          <w:szCs w:val="22"/>
          <w:color w:val="auto"/>
        </w:rPr>
      </w:pPr>
    </w:p>
    <w:p>
      <w:pPr>
        <w:jc w:val="both"/>
        <w:ind w:firstLine="1304"/>
        <w:spacing w:after="0" w:line="245" w:lineRule="auto"/>
        <w:tabs>
          <w:tab w:leader="none" w:pos="1941"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Responsibility for Taxes</w:t>
      </w:r>
      <w:r>
        <w:rPr>
          <w:rFonts w:ascii="Times New Roman" w:cs="Times New Roman" w:eastAsia="Times New Roman" w:hAnsi="Times New Roman"/>
          <w:sz w:val="22"/>
          <w:szCs w:val="22"/>
          <w:color w:val="auto"/>
        </w:rPr>
        <w:t>. Participant acknowledges that, regardless of any action taken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if different, Participant’s employer or any Parent or Subsidiary of the Company to which Participant is providing services (together, the “</w:t>
      </w:r>
      <w:r>
        <w:rPr>
          <w:rFonts w:ascii="Times New Roman" w:cs="Times New Roman" w:eastAsia="Times New Roman" w:hAnsi="Times New Roman"/>
          <w:sz w:val="22"/>
          <w:szCs w:val="22"/>
          <w:b w:val="1"/>
          <w:bCs w:val="1"/>
          <w:color w:val="auto"/>
        </w:rPr>
        <w:t>Service Recipients</w:t>
      </w:r>
      <w:r>
        <w:rPr>
          <w:rFonts w:ascii="Times New Roman" w:cs="Times New Roman" w:eastAsia="Times New Roman" w:hAnsi="Times New Roman"/>
          <w:sz w:val="22"/>
          <w:szCs w:val="22"/>
          <w:color w:val="auto"/>
        </w:rPr>
        <w:t>”),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Times New Roman" w:cs="Times New Roman" w:eastAsia="Times New Roman" w:hAnsi="Times New Roman"/>
          <w:sz w:val="22"/>
          <w:szCs w:val="22"/>
          <w:b w:val="1"/>
          <w:bCs w:val="1"/>
          <w:color w:val="auto"/>
        </w:rPr>
        <w:t>Tax Obligations</w:t>
      </w:r>
      <w:r>
        <w:rPr>
          <w:rFonts w:ascii="Times New Roman" w:cs="Times New Roman" w:eastAsia="Times New Roman" w:hAnsi="Times New Roman"/>
          <w:sz w:val="22"/>
          <w:szCs w:val="22"/>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Withholding Obligations (as defined below) in more than one jurisdiction.</w:t>
      </w:r>
    </w:p>
    <w:p>
      <w:pPr>
        <w:spacing w:after="0" w:line="181"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39"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 Pursuant to such procedures as the Administrator may specify from time to time,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Recipient will withhold the amount required to be withheld for the payment of Tax Obligations (the “</w:t>
      </w: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1" w:right="339" w:bottom="1440" w:gutter="0" w:footer="0" w:header="0"/>
        </w:sectPr>
      </w:pPr>
    </w:p>
    <w:bookmarkStart w:id="396" w:name="page397"/>
    <w:bookmarkEnd w:id="396"/>
    <w:p>
      <w:pPr>
        <w:jc w:val="both"/>
        <w:spacing w:after="0" w:line="266" w:lineRule="auto"/>
        <w:rPr>
          <w:sz w:val="20"/>
          <w:szCs w:val="20"/>
          <w:color w:val="auto"/>
        </w:rPr>
      </w:pPr>
      <w:r>
        <w:rPr>
          <w:rFonts w:ascii="Times New Roman" w:cs="Times New Roman" w:eastAsia="Times New Roman" w:hAnsi="Times New Roman"/>
          <w:sz w:val="21"/>
          <w:szCs w:val="21"/>
          <w:color w:val="auto"/>
        </w:rPr>
        <w:t>Administrator, in its sole discretion and pursuant to such procedures as it may specify from time to time, may permit Participant to satisfy such Withholding Obligations, in whole or in part (without limitation), if permissible by applicable local law, by:</w:t>
      </w:r>
    </w:p>
    <w:p>
      <w:pPr>
        <w:spacing w:after="0" w:line="2" w:lineRule="exact"/>
        <w:rPr>
          <w:sz w:val="20"/>
          <w:szCs w:val="20"/>
          <w:color w:val="auto"/>
        </w:rPr>
      </w:pPr>
    </w:p>
    <w:p>
      <w:pPr>
        <w:jc w:val="both"/>
        <w:ind w:firstLine="8"/>
        <w:spacing w:after="0" w:line="243" w:lineRule="auto"/>
        <w:tabs>
          <w:tab w:leader="none" w:pos="269"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paying cash in U.S. dollars, (ii) having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22"/>
          <w:szCs w:val="22"/>
          <w:b w:val="1"/>
          <w:bCs w:val="1"/>
          <w:color w:val="auto"/>
        </w:rPr>
        <w:t>Net Share Withholding</w:t>
      </w:r>
      <w:r>
        <w:rPr>
          <w:rFonts w:ascii="Times New Roman" w:cs="Times New Roman" w:eastAsia="Times New Roman" w:hAnsi="Times New Roman"/>
          <w:sz w:val="22"/>
          <w:szCs w:val="22"/>
          <w:color w:val="auto"/>
        </w:rPr>
        <w:t>”), (iii) withholding the amount of such Withholding Obligations from Participant’s wages or other cash compensation paid to Participant by the applicable Service Recipient(s), (iv) delivering to the Company Shares that Participant owns and that already have vested with a fair market value equal to the Withholding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22"/>
          <w:szCs w:val="22"/>
          <w:b w:val="1"/>
          <w:bCs w:val="1"/>
          <w:color w:val="auto"/>
        </w:rPr>
        <w:t>Sell to Cover</w:t>
      </w:r>
      <w:r>
        <w:rPr>
          <w:rFonts w:ascii="Times New Roman" w:cs="Times New Roman" w:eastAsia="Times New Roman" w:hAnsi="Times New Roman"/>
          <w:sz w:val="22"/>
          <w:szCs w:val="22"/>
          <w:color w:val="auto"/>
        </w:rPr>
        <w:t>”), or (vi) such other means as the Administrator deems appropriate. If the Withholding Obligations are satisfied by withholding in Shares, for tax purposes, Participant is deemed to have been issued the full number of Shares subject to the vested Restricted Stock Units, notwithstanding that a number of the Shares are held back solely for the purpose of paying the Withholding Obligations. To the extent determined appropriate by the Company in its discretion, it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w:t>
      </w:r>
    </w:p>
    <w:p>
      <w:pPr>
        <w:spacing w:after="0" w:line="196" w:lineRule="exact"/>
        <w:rPr>
          <w:rFonts w:ascii="Times New Roman" w:cs="Times New Roman" w:eastAsia="Times New Roman" w:hAnsi="Times New Roman"/>
          <w:sz w:val="22"/>
          <w:szCs w:val="22"/>
          <w:color w:val="auto"/>
        </w:rPr>
      </w:pPr>
    </w:p>
    <w:p>
      <w:pPr>
        <w:jc w:val="both"/>
        <w:ind w:firstLine="1304"/>
        <w:spacing w:after="0" w:line="266" w:lineRule="auto"/>
        <w:tabs>
          <w:tab w:leader="none" w:pos="1941" w:val="left"/>
        </w:tabs>
        <w:numPr>
          <w:ilvl w:val="1"/>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 Consequences</w:t>
      </w:r>
      <w:r>
        <w:rPr>
          <w:rFonts w:ascii="Times New Roman" w:cs="Times New Roman" w:eastAsia="Times New Roman" w:hAnsi="Times New Roman"/>
          <w:sz w:val="21"/>
          <w:szCs w:val="21"/>
          <w:color w:val="auto"/>
        </w:rPr>
        <w:t>. Participant has reviewed with his or her own tax advisers the U.S. federal, state, local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60" w:lineRule="exact"/>
        <w:rPr>
          <w:rFonts w:ascii="Times New Roman" w:cs="Times New Roman" w:eastAsia="Times New Roman" w:hAnsi="Times New Roman"/>
          <w:sz w:val="21"/>
          <w:szCs w:val="21"/>
          <w:color w:val="auto"/>
        </w:rPr>
      </w:pPr>
    </w:p>
    <w:p>
      <w:pPr>
        <w:ind w:firstLine="1304"/>
        <w:spacing w:after="0" w:line="275" w:lineRule="auto"/>
        <w:tabs>
          <w:tab w:leader="none" w:pos="1939"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Obligation to Deliver Shares</w:t>
      </w:r>
      <w:r>
        <w:rPr>
          <w:rFonts w:ascii="Times New Roman" w:cs="Times New Roman" w:eastAsia="Times New Roman" w:hAnsi="Times New Roman"/>
          <w:sz w:val="22"/>
          <w:szCs w:val="22"/>
          <w:color w:val="auto"/>
        </w:rPr>
        <w:t>. For clarification purposes, in no event will the Company issue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any Shares unless and until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1" w:right="339" w:bottom="1440" w:gutter="0" w:footer="0" w:header="0"/>
        </w:sectPr>
      </w:pPr>
    </w:p>
    <w:bookmarkStart w:id="397" w:name="page398"/>
    <w:bookmarkEnd w:id="397"/>
    <w:p>
      <w:pPr>
        <w:jc w:val="both"/>
        <w:spacing w:after="0" w:line="248" w:lineRule="auto"/>
        <w:rPr>
          <w:sz w:val="20"/>
          <w:szCs w:val="20"/>
          <w:color w:val="auto"/>
        </w:rPr>
      </w:pPr>
      <w:r>
        <w:rPr>
          <w:rFonts w:ascii="Times New Roman" w:cs="Times New Roman" w:eastAsia="Times New Roman" w:hAnsi="Times New Roman"/>
          <w:sz w:val="22"/>
          <w:szCs w:val="22"/>
          <w:color w:val="auto"/>
        </w:rPr>
        <w:t>satisfactory to the Administrator have been made for the payment of Participant’s Withholding Obligations. If Participant fails to make satisfactory arrangements for the payment of such Withholding Obligations hereunder at the time any applicable Restricted Stock Units otherwise are scheduled to vest pursuant to Sections 3 or 4 or Participant’s Withholding Obligations otherwise become due, Participant permanently will forfeit such Restricted Stock Units to which Participant’s Withholding Obligation relates and any right to receive Shares thereunder and such Restricted Stock Units will be returned to the Company at no cost to the Company. Participant acknowledges and agrees that the Company may permanently refuse to issue or deliver the Shares if such Withholding Obligations are not delivered at the time they are due.</w:t>
      </w:r>
    </w:p>
    <w:p>
      <w:pPr>
        <w:spacing w:after="0" w:line="178" w:lineRule="exact"/>
        <w:rPr>
          <w:sz w:val="20"/>
          <w:szCs w:val="20"/>
          <w:color w:val="auto"/>
        </w:rPr>
      </w:pPr>
    </w:p>
    <w:p>
      <w:pPr>
        <w:jc w:val="both"/>
        <w:ind w:firstLine="656"/>
        <w:spacing w:after="0" w:line="249" w:lineRule="auto"/>
        <w:tabs>
          <w:tab w:leader="none" w:pos="1296"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0" w:lineRule="exact"/>
        <w:rPr>
          <w:rFonts w:ascii="Times New Roman" w:cs="Times New Roman" w:eastAsia="Times New Roman" w:hAnsi="Times New Roman"/>
          <w:sz w:val="22"/>
          <w:szCs w:val="22"/>
          <w:color w:val="auto"/>
        </w:rPr>
      </w:pPr>
    </w:p>
    <w:p>
      <w:pPr>
        <w:jc w:val="both"/>
        <w:ind w:firstLine="656"/>
        <w:spacing w:after="0" w:line="258" w:lineRule="auto"/>
        <w:tabs>
          <w:tab w:leader="none" w:pos="1296" w:val="left"/>
        </w:tabs>
        <w:numPr>
          <w:ilvl w:val="0"/>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Guarantee of Continued Service</w:t>
      </w:r>
      <w:r>
        <w:rPr>
          <w:rFonts w:ascii="Times New Roman" w:cs="Times New Roman" w:eastAsia="Times New Roman" w:hAnsi="Times New Roman"/>
          <w:sz w:val="21"/>
          <w:szCs w:val="21"/>
          <w:color w:val="auto"/>
        </w:rPr>
        <w:t>. PARTICIPANT ACKNOWLEDGES AND AGREES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VESTING OF THE RESTRICTED STOCK UNITS PURSUANT TO THE VESTING SCHEDULE HEREOF IS EARNED ONLY BY CONTINUING AS A SERVICE PROVIDER, WHICH UNLESS PROVIDED OTHERWISE UNDER APPLICABLE LAWS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78" w:lineRule="exact"/>
        <w:rPr>
          <w:rFonts w:ascii="Times New Roman" w:cs="Times New Roman" w:eastAsia="Times New Roman" w:hAnsi="Times New Roman"/>
          <w:sz w:val="21"/>
          <w:szCs w:val="21"/>
          <w:color w:val="auto"/>
        </w:rPr>
      </w:pPr>
    </w:p>
    <w:p>
      <w:pPr>
        <w:jc w:val="both"/>
        <w:ind w:firstLine="656"/>
        <w:spacing w:after="0" w:line="249" w:lineRule="auto"/>
        <w:tabs>
          <w:tab w:leader="none" w:pos="1296"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 is Not Transferable</w:t>
      </w:r>
      <w:r>
        <w:rPr>
          <w:rFonts w:ascii="Times New Roman" w:cs="Times New Roman" w:eastAsia="Times New Roman" w:hAnsi="Times New Roman"/>
          <w:sz w:val="22"/>
          <w:szCs w:val="22"/>
          <w:color w:val="auto"/>
        </w:rPr>
        <w:t>. Except to the limited extent provided in Section 6, this Award and the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1" w:right="339" w:bottom="1440" w:gutter="0" w:footer="0" w:header="0"/>
        </w:sectPr>
      </w:pPr>
    </w:p>
    <w:bookmarkStart w:id="398" w:name="page399"/>
    <w:bookmarkEnd w:id="398"/>
    <w:p>
      <w:pPr>
        <w:ind w:left="1300" w:hanging="644"/>
        <w:spacing w:after="0"/>
        <w:tabs>
          <w:tab w:leader="none" w:pos="130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Nature of Grant</w:t>
      </w:r>
      <w:r>
        <w:rPr>
          <w:rFonts w:ascii="Times New Roman" w:cs="Times New Roman" w:eastAsia="Times New Roman" w:hAnsi="Times New Roman"/>
          <w:sz w:val="22"/>
          <w:szCs w:val="22"/>
          <w:color w:val="auto"/>
        </w:rPr>
        <w:t>. In accepting this Award of Restricted Stock Units, Participant acknowledges, understands and</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w:t>
      </w:r>
    </w:p>
    <w:p>
      <w:pPr>
        <w:spacing w:after="0" w:line="19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Administrator;</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voluntarily participating in the Plan;</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are not intended to replace any pension rights or compensation;</w:t>
      </w:r>
    </w:p>
    <w:p>
      <w:pPr>
        <w:spacing w:after="0" w:line="15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Restricted Stock Units is unknown, indeterminable and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cannot be predicted;</w:t>
      </w:r>
    </w:p>
    <w:p>
      <w:pPr>
        <w:spacing w:after="0" w:line="195" w:lineRule="exact"/>
        <w:rPr>
          <w:rFonts w:ascii="Times New Roman" w:cs="Times New Roman" w:eastAsia="Times New Roman" w:hAnsi="Times New Roman"/>
          <w:sz w:val="22"/>
          <w:szCs w:val="22"/>
          <w:color w:val="auto"/>
        </w:rPr>
      </w:pPr>
    </w:p>
    <w:p>
      <w:pPr>
        <w:jc w:val="both"/>
        <w:ind w:firstLine="1304"/>
        <w:spacing w:after="0" w:line="245" w:lineRule="auto"/>
        <w:tabs>
          <w:tab w:leader="none" w:pos="1939"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local law);</w:t>
      </w:r>
    </w:p>
    <w:p>
      <w:pPr>
        <w:spacing w:after="0" w:line="19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Administrator in its discretion, the Restricted Stock Units and the benefits evidenced by this Award Agreement do not create any entitlement to have the Restricted Stock Units or any such benefits transferred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7" w:right="339" w:bottom="1440" w:gutter="0" w:footer="0" w:header="0"/>
        </w:sectPr>
      </w:pPr>
    </w:p>
    <w:bookmarkStart w:id="399" w:name="page400"/>
    <w:bookmarkEnd w:id="399"/>
    <w:p>
      <w:pPr>
        <w:spacing w:after="0" w:line="271" w:lineRule="auto"/>
        <w:rPr>
          <w:sz w:val="20"/>
          <w:szCs w:val="20"/>
          <w:color w:val="auto"/>
        </w:rPr>
      </w:pPr>
      <w:r>
        <w:rPr>
          <w:rFonts w:ascii="Times New Roman" w:cs="Times New Roman" w:eastAsia="Times New Roman" w:hAnsi="Times New Roman"/>
          <w:sz w:val="22"/>
          <w:szCs w:val="22"/>
          <w:color w:val="auto"/>
        </w:rPr>
        <w:t>or assumed by, another company nor be exchanged, cashed out or substituted for, in connection with any corporate transaction affecting the Shares; and</w:t>
      </w:r>
    </w:p>
    <w:p>
      <w:pPr>
        <w:spacing w:after="0" w:line="158" w:lineRule="exact"/>
        <w:rPr>
          <w:sz w:val="20"/>
          <w:szCs w:val="20"/>
          <w:color w:val="auto"/>
        </w:rPr>
      </w:pPr>
    </w:p>
    <w:p>
      <w:pPr>
        <w:ind w:left="1940" w:hanging="636"/>
        <w:spacing w:after="0"/>
        <w:tabs>
          <w:tab w:leader="none" w:pos="1940" w:val="left"/>
        </w:tabs>
        <w:numPr>
          <w:ilvl w:val="1"/>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Participant is providing services outside the United States:</w:t>
      </w:r>
    </w:p>
    <w:p>
      <w:pPr>
        <w:spacing w:after="0" w:line="219"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2"/>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subject to the Restricted Stock Units are not part of normal or expected compensation or salary for any purpose;</w:t>
      </w:r>
    </w:p>
    <w:p>
      <w:pPr>
        <w:spacing w:after="0" w:line="157"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6" w:val="left"/>
        </w:tabs>
        <w:numPr>
          <w:ilvl w:val="2"/>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79" w:lineRule="exact"/>
        <w:rPr>
          <w:rFonts w:ascii="Times New Roman" w:cs="Times New Roman" w:eastAsia="Times New Roman" w:hAnsi="Times New Roman"/>
          <w:sz w:val="22"/>
          <w:szCs w:val="22"/>
          <w:color w:val="auto"/>
        </w:rPr>
      </w:pPr>
    </w:p>
    <w:p>
      <w:pPr>
        <w:jc w:val="both"/>
        <w:ind w:firstLine="1952"/>
        <w:spacing w:after="0" w:line="246" w:lineRule="auto"/>
        <w:tabs>
          <w:tab w:leader="none" w:pos="2592" w:val="left"/>
        </w:tabs>
        <w:numPr>
          <w:ilvl w:val="2"/>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making any recommendations regarding Participant’s participation in the Plan, or Participant’s acquisition or sale of the Shares underlying the Restricted Stock Units. Participant is hereby advised to consult with his or her own personal tax, legal and financial advisers regarding his or her participation in the Plan before taking any action related to the Plan.</w:t>
      </w:r>
    </w:p>
    <w:p>
      <w:pPr>
        <w:spacing w:after="0" w:line="173" w:lineRule="exact"/>
        <w:rPr>
          <w:rFonts w:ascii="Times New Roman" w:cs="Times New Roman" w:eastAsia="Times New Roman" w:hAnsi="Times New Roman"/>
          <w:sz w:val="22"/>
          <w:szCs w:val="22"/>
          <w:color w:val="auto"/>
        </w:rPr>
      </w:pPr>
    </w:p>
    <w:p>
      <w:pPr>
        <w:jc w:val="both"/>
        <w:ind w:firstLine="656"/>
        <w:spacing w:after="0" w:line="254" w:lineRule="auto"/>
        <w:tabs>
          <w:tab w:leader="none" w:pos="1296"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Data Privacy.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1" w:right="339" w:bottom="1440" w:gutter="0" w:footer="0" w:header="0"/>
        </w:sectPr>
      </w:pPr>
    </w:p>
    <w:bookmarkStart w:id="400" w:name="page401"/>
    <w:bookmarkEnd w:id="400"/>
    <w:p>
      <w:pPr>
        <w:jc w:val="both"/>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canceled, exercised, vested, unvested or outstanding in Participant’s favor (“Data”), for the exclusive purpose of implementing, administering and managing the Plan.</w:t>
      </w:r>
    </w:p>
    <w:p>
      <w:pPr>
        <w:spacing w:after="0" w:line="14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203" w:lineRule="exact"/>
        <w:rPr>
          <w:sz w:val="20"/>
          <w:szCs w:val="20"/>
          <w:color w:val="auto"/>
        </w:rPr>
      </w:pPr>
    </w:p>
    <w:p>
      <w:pPr>
        <w:jc w:val="both"/>
        <w:ind w:firstLine="656"/>
        <w:spacing w:after="0" w:line="259" w:lineRule="auto"/>
        <w:tabs>
          <w:tab w:leader="none" w:pos="1296"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addressed to the Company at Seer, Inc., 3800 Bridge Parkway Suite 102, Redwood City, California 94065, or at such other address as the Company may hereafter designate in writing.</w:t>
      </w:r>
    </w:p>
    <w:p>
      <w:pPr>
        <w:spacing w:after="0" w:line="166"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5" w:right="339" w:bottom="1440" w:gutter="0" w:footer="0" w:header="0"/>
        </w:sectPr>
      </w:pPr>
    </w:p>
    <w:bookmarkStart w:id="401" w:name="page402"/>
    <w:bookmarkEnd w:id="401"/>
    <w:p>
      <w:pPr>
        <w:jc w:val="both"/>
        <w:ind w:firstLine="656"/>
        <w:spacing w:after="0" w:line="246" w:lineRule="auto"/>
        <w:tabs>
          <w:tab w:leader="none" w:pos="1296"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Additional Conditions to Issuance of Stock</w:t>
      </w:r>
      <w:r>
        <w:rPr>
          <w:rFonts w:ascii="Times New Roman" w:cs="Times New Roman" w:eastAsia="Times New Roman" w:hAnsi="Times New Roman"/>
          <w:sz w:val="22"/>
          <w:szCs w:val="22"/>
          <w:color w:val="auto"/>
        </w:rPr>
        <w:t>. If at any time the Company will determine, in its discretion,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82"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Language</w:t>
      </w:r>
      <w:r>
        <w:rPr>
          <w:rFonts w:ascii="Times New Roman" w:cs="Times New Roman" w:eastAsia="Times New Roman" w:hAnsi="Times New Roman"/>
          <w:sz w:val="22"/>
          <w:szCs w:val="22"/>
          <w:color w:val="auto"/>
        </w:rPr>
        <w:t>. If Participant has received this Award Agreement or any other document related to the Plan translated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into a language other than English and if the meaning of the translated version is different than the English version, the English version will control.</w:t>
      </w:r>
    </w:p>
    <w:p>
      <w:pPr>
        <w:spacing w:after="0" w:line="166"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Interpretation</w:t>
      </w:r>
      <w:r>
        <w:rPr>
          <w:rFonts w:ascii="Times New Roman" w:cs="Times New Roman" w:eastAsia="Times New Roman" w:hAnsi="Times New Roman"/>
          <w:sz w:val="22"/>
          <w:szCs w:val="22"/>
          <w:color w:val="auto"/>
        </w:rPr>
        <w:t>. The Administrator will have the power to interpret the Plan and this Award Agreement and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1"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5" w:lineRule="exact"/>
        <w:rPr>
          <w:rFonts w:ascii="Times New Roman" w:cs="Times New Roman" w:eastAsia="Times New Roman" w:hAnsi="Times New Roman"/>
          <w:sz w:val="22"/>
          <w:szCs w:val="22"/>
          <w:color w:val="auto"/>
        </w:rPr>
      </w:pPr>
    </w:p>
    <w:p>
      <w:pPr>
        <w:ind w:firstLine="656"/>
        <w:spacing w:after="0" w:line="275" w:lineRule="auto"/>
        <w:tabs>
          <w:tab w:leader="none" w:pos="1296"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construction of this Award Agreement.</w:t>
      </w:r>
    </w:p>
    <w:p>
      <w:pPr>
        <w:spacing w:after="0" w:line="149"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17" w:right="339" w:bottom="1440" w:gutter="0" w:footer="0" w:header="0"/>
        </w:sectPr>
      </w:pPr>
    </w:p>
    <w:bookmarkStart w:id="402" w:name="page403"/>
    <w:bookmarkEnd w:id="402"/>
    <w:p>
      <w:pPr>
        <w:jc w:val="both"/>
        <w:ind w:firstLine="656"/>
        <w:spacing w:after="0" w:line="248" w:lineRule="auto"/>
        <w:tabs>
          <w:tab w:leader="none" w:pos="1296"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Country Addendum</w:t>
      </w:r>
      <w:r>
        <w:rPr>
          <w:rFonts w:ascii="Times New Roman" w:cs="Times New Roman" w:eastAsia="Times New Roman" w:hAnsi="Times New Roman"/>
          <w:sz w:val="22"/>
          <w:szCs w:val="22"/>
          <w:color w:val="auto"/>
        </w:rPr>
        <w:t>. Notwithstanding any provisions in this Award Agreement, the Restricted Stock Unit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subject to any special terms and conditions set forth in an appendix (if any) to this Award Agreement for any country whose laws are applicable to Participant and this Award of Restricted Stock Units (as determined by the Administrator in its sole discretion) (the “</w:t>
      </w:r>
      <w:r>
        <w:rPr>
          <w:rFonts w:ascii="Times New Roman" w:cs="Times New Roman" w:eastAsia="Times New Roman" w:hAnsi="Times New Roman"/>
          <w:sz w:val="22"/>
          <w:szCs w:val="22"/>
          <w:b w:val="1"/>
          <w:bCs w:val="1"/>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81"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185"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5"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 Severability</w:t>
      </w:r>
      <w:r>
        <w:rPr>
          <w:rFonts w:ascii="Times New Roman" w:cs="Times New Roman" w:eastAsia="Times New Roman" w:hAnsi="Times New Roman"/>
          <w:sz w:val="22"/>
          <w:szCs w:val="22"/>
          <w:color w:val="auto"/>
        </w:rPr>
        <w:t>. This Award Agreement and the Restricted Stock Units are governed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75"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The Plan is incorporated herein by reference. The Plan and this Award Agreement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9" w:lineRule="exact"/>
        <w:rPr>
          <w:rFonts w:ascii="Times New Roman" w:cs="Times New Roman" w:eastAsia="Times New Roman" w:hAnsi="Times New Roman"/>
          <w:sz w:val="22"/>
          <w:szCs w:val="22"/>
          <w:color w:val="auto"/>
        </w:rPr>
      </w:pPr>
    </w:p>
    <w:p>
      <w:pPr>
        <w:ind w:left="4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17" w:right="339" w:bottom="1440" w:gutter="0" w:footer="0" w:header="0"/>
        </w:sectPr>
      </w:pPr>
    </w:p>
    <w:bookmarkStart w:id="403" w:name="page404"/>
    <w:bookmarkEnd w:id="403"/>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 ADDENDUM TO RESTRICTED STOCK UNIT AGREEMENT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Unless otherwise defined herein, capitalized terms used in this Country Addendum to Restricted Stock Unit Agreement (the “</w:t>
      </w:r>
      <w:r>
        <w:rPr>
          <w:rFonts w:ascii="Times New Roman" w:cs="Times New Roman" w:eastAsia="Times New Roman" w:hAnsi="Times New Roman"/>
          <w:sz w:val="22"/>
          <w:szCs w:val="22"/>
          <w:b w:val="1"/>
          <w:bCs w:val="1"/>
          <w:color w:val="auto"/>
        </w:rPr>
        <w:t>Country Addendum</w:t>
      </w:r>
      <w:r>
        <w:rPr>
          <w:rFonts w:ascii="Times New Roman" w:cs="Times New Roman" w:eastAsia="Times New Roman" w:hAnsi="Times New Roman"/>
          <w:sz w:val="22"/>
          <w:szCs w:val="22"/>
          <w:color w:val="auto"/>
        </w:rPr>
        <w:t>”) will be ascribed the same defined meanings as set forth in the Restricted Stock Unit Agreement of which this Country Addendum forms a part (or the Plan or other written agreement as specified in the Restricted Stock Unit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This Country Addendum includes additional terms and conditions that govern the Award of Restricted Stock Units granted pursuant to the terms and conditions of the Seer, Inc. 2020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and the Restricted Stock Unit Agreement to which this Country Addendum is attached (the “</w:t>
      </w:r>
      <w:r>
        <w:rPr>
          <w:rFonts w:ascii="Times New Roman" w:cs="Times New Roman" w:eastAsia="Times New Roman" w:hAnsi="Times New Roman"/>
          <w:sz w:val="22"/>
          <w:szCs w:val="22"/>
          <w:b w:val="1"/>
          <w:bCs w:val="1"/>
          <w:color w:val="auto"/>
        </w:rPr>
        <w:t>Restricted Stock Unit Agreement</w:t>
      </w:r>
      <w:r>
        <w:rPr>
          <w:rFonts w:ascii="Times New Roman" w:cs="Times New Roman" w:eastAsia="Times New Roman" w:hAnsi="Times New Roman"/>
          <w:sz w:val="22"/>
          <w:szCs w:val="22"/>
          <w:color w:val="auto"/>
        </w:rPr>
        <w:t>”) to the extent the individual to whom the Restricted Stock Units were granted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resides and/or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Award of Restricted Stock Units is granted, the Company, in its discretion, will determine to what extent the terms and conditions contained herein will apply to the Participant.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Country Addendum also may include information regarding exchange controls and certain other issues of which Participant should be aware with respect to his or her participation in the Plan. The information is based on the securities, exchange control and other Applicable Laws in effect in the respective countries as of [______], 20[__]. Such Applicable Laws</w:t>
      </w:r>
    </w:p>
    <w:p>
      <w:pPr>
        <w:spacing w:after="0" w:line="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Restricted Stock Units.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currently is residing and/or working, transfers residence and/or employment to</w:t>
      </w:r>
    </w:p>
    <w:p>
      <w:pPr>
        <w:sectPr>
          <w:pgSz w:w="11900" w:h="16838" w:orient="portrait"/>
          <w:cols w:equalWidth="0" w:num="1">
            <w:col w:w="11240"/>
          </w:cols>
          <w:pgMar w:left="320" w:top="1440" w:right="339" w:bottom="1440" w:gutter="0" w:footer="0" w:header="0"/>
        </w:sectPr>
      </w:pPr>
    </w:p>
    <w:bookmarkStart w:id="404" w:name="page405"/>
    <w:bookmarkEnd w:id="404"/>
    <w:p>
      <w:pPr>
        <w:spacing w:after="0" w:line="271" w:lineRule="auto"/>
        <w:rPr>
          <w:sz w:val="20"/>
          <w:szCs w:val="20"/>
          <w:color w:val="auto"/>
        </w:rPr>
      </w:pPr>
      <w:r>
        <w:rPr>
          <w:rFonts w:ascii="Times New Roman" w:cs="Times New Roman" w:eastAsia="Times New Roman" w:hAnsi="Times New Roman"/>
          <w:sz w:val="22"/>
          <w:szCs w:val="22"/>
          <w:color w:val="auto"/>
        </w:rPr>
        <w:t>another country after the grant of the Restricted Stock Units, or is considered a resident of another country for local law purposes, the information in this Country Addendum may not apply to Participant in the same manner.</w:t>
      </w:r>
    </w:p>
    <w:p>
      <w:pPr>
        <w:sectPr>
          <w:pgSz w:w="11900" w:h="16838" w:orient="portrait"/>
          <w:cols w:equalWidth="0" w:num="1">
            <w:col w:w="11240"/>
          </w:cols>
          <w:pgMar w:left="320" w:top="1421" w:right="339" w:bottom="1440" w:gutter="0" w:footer="0" w:header="0"/>
        </w:sectPr>
      </w:pPr>
    </w:p>
    <w:bookmarkStart w:id="405" w:name="page406"/>
    <w:bookmarkEnd w:id="40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Stock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November 18, 2020)</w:t>
      </w:r>
    </w:p>
    <w:p>
      <w:pPr>
        <w:spacing w:after="0" w:line="220" w:lineRule="exact"/>
        <w:rPr>
          <w:sz w:val="20"/>
          <w:szCs w:val="20"/>
          <w:color w:val="auto"/>
        </w:rPr>
      </w:pPr>
    </w:p>
    <w:p>
      <w:pPr>
        <w:ind w:left="1300" w:hanging="644"/>
        <w:spacing w:after="0"/>
        <w:tabs>
          <w:tab w:leader="none" w:pos="1300" w:val="left"/>
        </w:tabs>
        <w:numPr>
          <w:ilvl w:val="0"/>
          <w:numId w:val="3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purpose of this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is to secure for Seer, Inc., a Delaware corporation, or any successor thereto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its shareholders the benefits arising from capital stock ownership by employees, officers and directors of,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consultants or advisors to, the Company and its parent and subsidiary corporations who are expected to contribute to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Company’s future growth and success. Under the Plan recipients may be awarded both (i) Options (as defined in Section 2.1)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purchase the Company’s Class A Common Stock, par value $0.00001 per share (“</w:t>
      </w:r>
      <w:r>
        <w:rPr>
          <w:rFonts w:ascii="Times New Roman" w:cs="Times New Roman" w:eastAsia="Times New Roman" w:hAnsi="Times New Roman"/>
          <w:sz w:val="22"/>
          <w:szCs w:val="22"/>
          <w:u w:val="single" w:color="auto"/>
          <w:color w:val="auto"/>
        </w:rPr>
        <w:t>Class A Common Stock</w:t>
      </w:r>
      <w:r>
        <w:rPr>
          <w:rFonts w:ascii="Times New Roman" w:cs="Times New Roman" w:eastAsia="Times New Roman" w:hAnsi="Times New Roman"/>
          <w:sz w:val="22"/>
          <w:szCs w:val="22"/>
          <w:color w:val="auto"/>
        </w:rPr>
        <w:t>”), and (ii) shares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w:t>
      </w:r>
      <w:r>
        <w:rPr>
          <w:rFonts w:ascii="Times New Roman" w:cs="Times New Roman" w:eastAsia="Times New Roman" w:hAnsi="Times New Roman"/>
          <w:sz w:val="22"/>
          <w:szCs w:val="22"/>
          <w:u w:val="single" w:color="auto"/>
          <w:color w:val="auto"/>
        </w:rPr>
        <w:t>Restricted Stock Awards</w:t>
      </w:r>
      <w:r>
        <w:rPr>
          <w:rFonts w:ascii="Times New Roman" w:cs="Times New Roman" w:eastAsia="Times New Roman" w:hAnsi="Times New Roman"/>
          <w:sz w:val="22"/>
          <w:szCs w:val="22"/>
          <w:color w:val="auto"/>
        </w:rPr>
        <w:t>”). Except where the context otherwise requires, the term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include any parent and all present and future subsidiaries of the Company as defined in Sections 424(e) and 424(f) of the Internal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Revenue Code of 1986, as amended or replaced from time to time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Those provisions of the Plan which make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express reference to Section 422 of the Code shall apply only to Incentive Stock Options (as that term is defined below).</w:t>
      </w:r>
    </w:p>
    <w:p>
      <w:pPr>
        <w:spacing w:after="0" w:line="192" w:lineRule="exact"/>
        <w:rPr>
          <w:sz w:val="20"/>
          <w:szCs w:val="20"/>
          <w:color w:val="auto"/>
        </w:rPr>
      </w:pPr>
    </w:p>
    <w:p>
      <w:pPr>
        <w:ind w:left="1300" w:hanging="644"/>
        <w:spacing w:after="0"/>
        <w:tabs>
          <w:tab w:leader="none" w:pos="1300" w:val="left"/>
        </w:tabs>
        <w:numPr>
          <w:ilvl w:val="0"/>
          <w:numId w:val="3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Types of Awards and Administration.</w:t>
      </w:r>
    </w:p>
    <w:p>
      <w:pPr>
        <w:spacing w:after="0" w:line="220" w:lineRule="exact"/>
        <w:rPr>
          <w:sz w:val="20"/>
          <w:szCs w:val="20"/>
          <w:color w:val="auto"/>
        </w:rPr>
      </w:pPr>
    </w:p>
    <w:p>
      <w:pPr>
        <w:ind w:right="4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xml:space="preserve"> Options granted pursuant to the Plan (“</w:t>
      </w: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shall be authorized by action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and may be either incentive stock options (“</w:t>
      </w:r>
      <w:r>
        <w:rPr>
          <w:rFonts w:ascii="Times New Roman" w:cs="Times New Roman" w:eastAsia="Times New Roman" w:hAnsi="Times New Roman"/>
          <w:sz w:val="22"/>
          <w:szCs w:val="22"/>
          <w:u w:val="single" w:color="auto"/>
          <w:color w:val="auto"/>
        </w:rPr>
        <w:t>Incentive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meeting the requirements of Section 422 of the Code or non-statutory Options which are not intended to meet the requirements of Section 422. All Options when granted are intended to be non-statutory Options, unless the applicable Option Agreement (as defined in Section 5.1) explicitly states that the Option is intended to be an Incentive Stock Option. The vesting of Options may be conditioned upon the completion of a specified period of employment with the Company and/or such other conditions or events as the Board may determine. The Board may also provide that Options are immediately exercisable subject to certain repurchase rights in the Company dependent upon the continued employment of the optionee and/or such other conditions or events as the Board may determine.</w:t>
      </w:r>
    </w:p>
    <w:p>
      <w:pPr>
        <w:spacing w:after="0" w:line="181" w:lineRule="exact"/>
        <w:rPr>
          <w:sz w:val="20"/>
          <w:szCs w:val="20"/>
          <w:color w:val="auto"/>
        </w:rPr>
      </w:pPr>
    </w:p>
    <w:p>
      <w:pPr>
        <w:ind w:right="20" w:firstLine="2268"/>
        <w:spacing w:after="0" w:line="247"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b w:val="1"/>
          <w:bCs w:val="1"/>
          <w:color w:val="auto"/>
        </w:rPr>
        <w:t>Incentive Stock Options.</w:t>
      </w:r>
      <w:r>
        <w:rPr>
          <w:rFonts w:ascii="Times New Roman" w:cs="Times New Roman" w:eastAsia="Times New Roman" w:hAnsi="Times New Roman"/>
          <w:sz w:val="22"/>
          <w:szCs w:val="22"/>
          <w:color w:val="auto"/>
        </w:rPr>
        <w:t xml:space="preserve"> Incentive Stock Options may only be granted to employees of the Company. For so long as the Code shall so provide, Options granted to any employee under the Plan (and any other incentive stock option plans of the Company) which are intended to constitute Incentive Stock Options shall not constitute Incentive Stock Options to the extent that such Options, in the aggregate, become exercisable for the first time in any one calendar year for shares of Class A Common Stock with an aggregate fair market value (determined as of the respective date or dates of grant) of more than $100,000. If an Option is intended to be an Incentive Stock Option, and if for any reason such Option (or any portion thereof) shall not qualify as an Incentive Stock Option, then, to the extent of such nonqualification, such Option (or portion thereof) shall be regarded as a non-statutory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240"/>
          </w:cols>
          <w:pgMar w:left="320" w:top="117" w:right="339" w:bottom="1440" w:gutter="0" w:footer="0" w:header="0"/>
        </w:sectPr>
      </w:pPr>
    </w:p>
    <w:bookmarkStart w:id="406" w:name="page407"/>
    <w:bookmarkEnd w:id="406"/>
    <w:p>
      <w:pPr>
        <w:ind w:right="520"/>
        <w:spacing w:after="0" w:line="271" w:lineRule="auto"/>
        <w:rPr>
          <w:sz w:val="20"/>
          <w:szCs w:val="20"/>
          <w:color w:val="auto"/>
        </w:rPr>
      </w:pPr>
      <w:r>
        <w:rPr>
          <w:rFonts w:ascii="Times New Roman" w:cs="Times New Roman" w:eastAsia="Times New Roman" w:hAnsi="Times New Roman"/>
          <w:sz w:val="22"/>
          <w:szCs w:val="22"/>
          <w:color w:val="auto"/>
        </w:rPr>
        <w:t>appropriately granted under the Plan provided that such Option (or portion thereof) otherwise meets the Plan’s requirements relating to non-statutory Options.</w:t>
      </w:r>
    </w:p>
    <w:p>
      <w:pPr>
        <w:spacing w:after="0" w:line="154" w:lineRule="exact"/>
        <w:rPr>
          <w:sz w:val="20"/>
          <w:szCs w:val="20"/>
          <w:color w:val="auto"/>
        </w:rPr>
      </w:pPr>
    </w:p>
    <w:p>
      <w:pPr>
        <w:ind w:right="18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color w:val="auto"/>
        </w:rPr>
        <w:t>Restricted Stock Awards.</w:t>
      </w:r>
      <w:r>
        <w:rPr>
          <w:rFonts w:ascii="Times New Roman" w:cs="Times New Roman" w:eastAsia="Times New Roman" w:hAnsi="Times New Roman"/>
          <w:sz w:val="22"/>
          <w:szCs w:val="22"/>
          <w:color w:val="auto"/>
        </w:rPr>
        <w:t xml:space="preserve"> The Board in its discretion may grant Restricted Stock Awards, entitling the recipient to acquire, for a purchase price determined by the Board, shares of Class A Common Stock subject to such restrictions and conditions as the Board may determine at the time of grant (“</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including continued employment and/or achievement of pre-established performance goals and objectives.</w:t>
      </w:r>
    </w:p>
    <w:p>
      <w:pPr>
        <w:spacing w:after="0" w:line="175" w:lineRule="exact"/>
        <w:rPr>
          <w:sz w:val="20"/>
          <w:szCs w:val="20"/>
          <w:color w:val="auto"/>
        </w:rPr>
      </w:pPr>
    </w:p>
    <w:p>
      <w:pPr>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b w:val="1"/>
          <w:bCs w:val="1"/>
          <w:color w:val="auto"/>
        </w:rPr>
        <w:t>Administration.</w:t>
      </w:r>
      <w:r>
        <w:rPr>
          <w:rFonts w:ascii="Times New Roman" w:cs="Times New Roman" w:eastAsia="Times New Roman" w:hAnsi="Times New Roman"/>
          <w:sz w:val="22"/>
          <w:szCs w:val="22"/>
          <w:color w:val="auto"/>
        </w:rPr>
        <w:t xml:space="preserve"> The Plan shall be administered by the Board, whose construction and interpretation of the terms and provisions of the Plan shall be final and conclusive. The Board may in its sole discretion authorize issuance of Restricted Stock, the grant of Options and the issuance of shares upon exercise of such Options as provided in the Plan. The Board shall have authority, subject to the express provisions of the Plan, to construe Restricted Stock Agreements, Option Agreements and the Plan, to prescribe, amend and rescind rules and regulations relating to the Plan, to determine the terms and provisions of Restricted Stock Agreements and Option Agreements, and to make all other determinations in the judgment of the Board necessary or desirable for the administration of the Plan. The Board may correct any defect or supply any omission or reconcile any inconsistency in the Plan or in any Restricted Stock Agreement or Option Agreement in the manner and to the extent it shall deem expedient to carry the Plan into effect and it shall be the sole and final judge of such expediency. Subject to the consent of any adversely affected optionee or recipient of Restricted Stock, the Board may unilaterally institute and determine the terms of a program under which (i) outstanding Options or Restricted Stock Awards are surrendered or cancelled in exchange for awards of the same type (which may have higher or lower exercise prices and different terms), awards of a different type, and/or cash, (ii) optionees or recipients of Restricted Stock would have the opportunity to transfer any outstanding options or Restricted Stock Awards to a financial institution or other person or entity selected by the Board, and/or (iii) the exercise price of an outstanding Option is reduced or increased (each, an “</w:t>
      </w:r>
      <w:r>
        <w:rPr>
          <w:rFonts w:ascii="Times New Roman" w:cs="Times New Roman" w:eastAsia="Times New Roman" w:hAnsi="Times New Roman"/>
          <w:sz w:val="22"/>
          <w:szCs w:val="22"/>
          <w:u w:val="single" w:color="auto"/>
          <w:color w:val="auto"/>
        </w:rPr>
        <w:t>Exchange Program</w:t>
      </w:r>
      <w:r>
        <w:rPr>
          <w:rFonts w:ascii="Times New Roman" w:cs="Times New Roman" w:eastAsia="Times New Roman" w:hAnsi="Times New Roman"/>
          <w:sz w:val="22"/>
          <w:szCs w:val="22"/>
          <w:color w:val="auto"/>
        </w:rPr>
        <w:t>”). The Board will determine the terms and conditions of any Exchange Program in its sole discretion. No director or person acting pursuant to authority delegated by the Board shall be liable for any action or determination under the Plan made in good faith. The Board may, to the full extent permitted by or consistent with applicable laws or regulations, delegate any or all of its powers under the Plan to a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appointed by the Board, and if the Committee is so appointed, to the extent of such delegation, all references to the Board in the Plan shall mean and relate to such Committee, other than references to the Board in this sentence and in Section 18 (as to amendment or termination of the Plan) and Section 22.</w:t>
      </w:r>
    </w:p>
    <w:p>
      <w:pPr>
        <w:spacing w:after="0" w:line="201" w:lineRule="exact"/>
        <w:rPr>
          <w:sz w:val="20"/>
          <w:szCs w:val="20"/>
          <w:color w:val="auto"/>
        </w:rPr>
      </w:pPr>
    </w:p>
    <w:p>
      <w:pPr>
        <w:ind w:left="1300" w:hanging="644"/>
        <w:spacing w:after="0"/>
        <w:tabs>
          <w:tab w:leader="none" w:pos="1300" w:val="left"/>
        </w:tabs>
        <w:numPr>
          <w:ilvl w:val="0"/>
          <w:numId w:val="3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w:t>
      </w:r>
    </w:p>
    <w:p>
      <w:pPr>
        <w:spacing w:after="0" w:line="224"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Options may be granted, and Restricted Stock may be issued, to persons who are, at the time of such grant or issuance, employees, officers or directors of, or consultants or advisors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240"/>
          </w:cols>
          <w:pgMar w:left="320" w:top="1421" w:right="339" w:bottom="1440" w:gutter="0" w:footer="0" w:header="0"/>
        </w:sectPr>
      </w:pPr>
    </w:p>
    <w:bookmarkStart w:id="407" w:name="page408"/>
    <w:bookmarkEnd w:id="407"/>
    <w:p>
      <w:pPr>
        <w:ind w:right="80"/>
        <w:spacing w:after="0" w:line="275" w:lineRule="auto"/>
        <w:rPr>
          <w:sz w:val="20"/>
          <w:szCs w:val="20"/>
          <w:color w:val="auto"/>
        </w:rPr>
      </w:pPr>
      <w:r>
        <w:rPr>
          <w:rFonts w:ascii="Times New Roman" w:cs="Times New Roman" w:eastAsia="Times New Roman" w:hAnsi="Times New Roman"/>
          <w:sz w:val="22"/>
          <w:szCs w:val="22"/>
          <w:color w:val="auto"/>
        </w:rPr>
        <w:t xml:space="preserve">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class of persons to whom Incentive Stock Options may be granted shall be limited to employees of the Company.</w:t>
      </w:r>
    </w:p>
    <w:p>
      <w:pPr>
        <w:spacing w:after="0" w:line="149" w:lineRule="exact"/>
        <w:rPr>
          <w:sz w:val="20"/>
          <w:szCs w:val="20"/>
          <w:color w:val="auto"/>
        </w:rPr>
      </w:pPr>
    </w:p>
    <w:p>
      <w:pPr>
        <w:ind w:right="6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10% Shareholder</w:t>
      </w:r>
      <w:r>
        <w:rPr>
          <w:rFonts w:ascii="Times New Roman" w:cs="Times New Roman" w:eastAsia="Times New Roman" w:hAnsi="Times New Roman"/>
          <w:sz w:val="22"/>
          <w:szCs w:val="22"/>
          <w:color w:val="auto"/>
        </w:rPr>
        <w:t>. If any employee to whom an Incentive Stock Option is to be granted is, at the time of the grant of such Option, the owner of stock possessing more than 10% of the total combined voting power of all classes of stock of the Company (after taking into account the attribution of stock ownership rules of Section 424(d) of the Code) (a “</w:t>
      </w:r>
      <w:r>
        <w:rPr>
          <w:rFonts w:ascii="Times New Roman" w:cs="Times New Roman" w:eastAsia="Times New Roman" w:hAnsi="Times New Roman"/>
          <w:sz w:val="22"/>
          <w:szCs w:val="22"/>
          <w:u w:val="single" w:color="auto"/>
          <w:color w:val="auto"/>
        </w:rPr>
        <w:t>Greater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Than 10% Shareholder</w:t>
      </w:r>
      <w:r>
        <w:rPr>
          <w:rFonts w:ascii="Times New Roman" w:cs="Times New Roman" w:eastAsia="Times New Roman" w:hAnsi="Times New Roman"/>
          <w:sz w:val="22"/>
          <w:szCs w:val="22"/>
          <w:color w:val="auto"/>
        </w:rPr>
        <w:t>”), any Incentive Stock Option granted to such individual must: (i) have an exercise price per share of not less than 110% of the fair market value of one share of Class A Common Stock at the time of grant; and (ii) expire by its terms not more than five years from the date of grant.</w:t>
      </w:r>
    </w:p>
    <w:p>
      <w:pPr>
        <w:spacing w:after="0" w:line="180" w:lineRule="exact"/>
        <w:rPr>
          <w:sz w:val="20"/>
          <w:szCs w:val="20"/>
          <w:color w:val="auto"/>
        </w:rPr>
      </w:pPr>
    </w:p>
    <w:p>
      <w:pPr>
        <w:ind w:left="1300" w:hanging="644"/>
        <w:spacing w:after="0"/>
        <w:tabs>
          <w:tab w:leader="none" w:pos="1300" w:val="left"/>
        </w:tabs>
        <w:numPr>
          <w:ilvl w:val="0"/>
          <w:numId w:val="3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 Subject to Plan.</w:t>
      </w:r>
    </w:p>
    <w:p>
      <w:pPr>
        <w:spacing w:after="0" w:line="224"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Subject to adjustment as provided in Section 14.2 below, the maximum number of shares of Class A Common Stock which may be issued under the Plan is 5,000,000 shares, all of which may be issued with respect to Incentive Stock Options. If an Option shall expire or terminate for any reason without having been exercised in full, the unpurchased shares subject to such Option shall again be available for subsequent Option grants or Restricted Stock Awards under the Plan. If shares of Restricted Stock shall be forfeited to, or otherwise repurchased by, the Company pursuant to a Restricted Stock Agreement, such repurchased shares shall again be available for subsequent Option grants or Restricted Stock Awards under the Plan. If shares otherwise issuable upon exercise of an Option are withheld by the Company in payment of the exercise price of an Option or to satisfy tax withholding obligations with respect to such exercise, such withheld shares shall again be available for subsequent Option grants or Restricted Stock Awards under the Plan.</w:t>
      </w:r>
    </w:p>
    <w:p>
      <w:pPr>
        <w:spacing w:after="0" w:line="187" w:lineRule="exact"/>
        <w:rPr>
          <w:sz w:val="20"/>
          <w:szCs w:val="20"/>
          <w:color w:val="auto"/>
        </w:rPr>
      </w:pPr>
    </w:p>
    <w:p>
      <w:pPr>
        <w:ind w:left="1300" w:hanging="644"/>
        <w:spacing w:after="0"/>
        <w:tabs>
          <w:tab w:leader="none" w:pos="1300" w:val="left"/>
        </w:tabs>
        <w:numPr>
          <w:ilvl w:val="0"/>
          <w:numId w:val="3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Forms of Restricted Stock Agreements and Option Agreements.</w:t>
      </w:r>
    </w:p>
    <w:p>
      <w:pPr>
        <w:spacing w:after="0" w:line="220" w:lineRule="exact"/>
        <w:rPr>
          <w:sz w:val="20"/>
          <w:szCs w:val="20"/>
          <w:color w:val="auto"/>
        </w:rPr>
      </w:pPr>
    </w:p>
    <w:p>
      <w:pPr>
        <w:ind w:right="60" w:firstLine="1296"/>
        <w:spacing w:after="0" w:line="259"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color w:val="auto"/>
        </w:rPr>
        <w:t>Option Agreement.</w:t>
      </w:r>
      <w:r>
        <w:rPr>
          <w:rFonts w:ascii="Times New Roman" w:cs="Times New Roman" w:eastAsia="Times New Roman" w:hAnsi="Times New Roman"/>
          <w:sz w:val="22"/>
          <w:szCs w:val="22"/>
          <w:color w:val="auto"/>
        </w:rPr>
        <w:t xml:space="preserve"> Each recipient of an Option shall execute an option agreement (“</w:t>
      </w:r>
      <w:r>
        <w:rPr>
          <w:rFonts w:ascii="Times New Roman" w:cs="Times New Roman" w:eastAsia="Times New Roman" w:hAnsi="Times New Roman"/>
          <w:sz w:val="22"/>
          <w:szCs w:val="22"/>
          <w:u w:val="single" w:color="auto"/>
          <w:color w:val="auto"/>
        </w:rPr>
        <w:t>Option Agreement</w:t>
      </w:r>
      <w:r>
        <w:rPr>
          <w:rFonts w:ascii="Times New Roman" w:cs="Times New Roman" w:eastAsia="Times New Roman" w:hAnsi="Times New Roman"/>
          <w:sz w:val="22"/>
          <w:szCs w:val="22"/>
          <w:color w:val="auto"/>
        </w:rPr>
        <w:t>”) in such form not inconsistent with the Plan as may be approved by the Board of Directors. Such Option Agreements may differ among recipients.</w:t>
      </w:r>
    </w:p>
    <w:p>
      <w:pPr>
        <w:spacing w:after="0" w:line="166" w:lineRule="exact"/>
        <w:rPr>
          <w:sz w:val="20"/>
          <w:szCs w:val="20"/>
          <w:color w:val="auto"/>
        </w:rPr>
      </w:pPr>
    </w:p>
    <w:p>
      <w:pPr>
        <w:ind w:right="100" w:firstLine="1296"/>
        <w:spacing w:after="0" w:line="259"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Restricted Stock Agreement.</w:t>
      </w:r>
      <w:r>
        <w:rPr>
          <w:rFonts w:ascii="Times New Roman" w:cs="Times New Roman" w:eastAsia="Times New Roman" w:hAnsi="Times New Roman"/>
          <w:sz w:val="22"/>
          <w:szCs w:val="22"/>
          <w:color w:val="auto"/>
        </w:rPr>
        <w:t xml:space="preserve"> Each recipient of a grant of Restricted Stock shall execute an agreement (“</w:t>
      </w:r>
      <w:r>
        <w:rPr>
          <w:rFonts w:ascii="Times New Roman" w:cs="Times New Roman" w:eastAsia="Times New Roman" w:hAnsi="Times New Roman"/>
          <w:sz w:val="22"/>
          <w:szCs w:val="22"/>
          <w:u w:val="single" w:color="auto"/>
          <w:color w:val="auto"/>
        </w:rPr>
        <w:t>Restricted Stock Agreement</w:t>
      </w:r>
      <w:r>
        <w:rPr>
          <w:rFonts w:ascii="Times New Roman" w:cs="Times New Roman" w:eastAsia="Times New Roman" w:hAnsi="Times New Roman"/>
          <w:sz w:val="22"/>
          <w:szCs w:val="22"/>
          <w:color w:val="auto"/>
        </w:rPr>
        <w:t>”) in such form not inconsistent with the Plan as may be approved by the Board of Directors. Such Restricted Stock Agreements may differ among recipients.</w:t>
      </w:r>
    </w:p>
    <w:p>
      <w:pPr>
        <w:spacing w:after="0" w:line="166" w:lineRule="exact"/>
        <w:rPr>
          <w:sz w:val="20"/>
          <w:szCs w:val="20"/>
          <w:color w:val="auto"/>
        </w:rPr>
      </w:pPr>
    </w:p>
    <w:p>
      <w:pPr>
        <w:ind w:right="2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color w:val="auto"/>
        </w:rPr>
        <w:t>“Lock-Up” Agreement.</w:t>
      </w:r>
      <w:r>
        <w:rPr>
          <w:rFonts w:ascii="Times New Roman" w:cs="Times New Roman" w:eastAsia="Times New Roman" w:hAnsi="Times New Roman"/>
          <w:sz w:val="22"/>
          <w:szCs w:val="22"/>
          <w:color w:val="auto"/>
        </w:rPr>
        <w:t xml:space="preserve"> Unless the Board specifies otherwise, each Restricted Stock Agreement and Option Agreement shall provide that upon the request of the Company or the managing underwriter(s) of any offering of securities of the Company that is the subject of a registration statement filed under the United States Securities Act of 1933, as amended from time to time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the holder of any Option or the purchaser of any Restricted Stock shall, in connection therewith, agree in writing (in such form as the Company or such managing underwriter(s) shall request) to the general effect that for a period of time (not to exceed 180 days) from the effective date of the registration statement under the Act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220"/>
          </w:cols>
          <w:pgMar w:left="320" w:top="1417" w:right="359" w:bottom="1440" w:gutter="0" w:footer="0" w:header="0"/>
        </w:sectPr>
      </w:pPr>
    </w:p>
    <w:bookmarkStart w:id="408" w:name="page409"/>
    <w:bookmarkEnd w:id="408"/>
    <w:p>
      <w:pPr>
        <w:ind w:right="420"/>
        <w:spacing w:after="0" w:line="271" w:lineRule="auto"/>
        <w:rPr>
          <w:sz w:val="20"/>
          <w:szCs w:val="20"/>
          <w:color w:val="auto"/>
        </w:rPr>
      </w:pPr>
      <w:r>
        <w:rPr>
          <w:rFonts w:ascii="Times New Roman" w:cs="Times New Roman" w:eastAsia="Times New Roman" w:hAnsi="Times New Roman"/>
          <w:sz w:val="22"/>
          <w:szCs w:val="22"/>
          <w:color w:val="auto"/>
        </w:rPr>
        <w:t>offering, the holder or purchaser will not sell, make any short sale of, loan, grant any option for the purchase of, or otherwise dispose of any shares of the common stock of the Company owned or controlled by him or her.</w:t>
      </w:r>
    </w:p>
    <w:p>
      <w:pPr>
        <w:spacing w:after="0" w:line="154" w:lineRule="exact"/>
        <w:rPr>
          <w:sz w:val="20"/>
          <w:szCs w:val="20"/>
          <w:color w:val="auto"/>
        </w:rPr>
      </w:pPr>
    </w:p>
    <w:p>
      <w:pPr>
        <w:ind w:left="1300" w:hanging="644"/>
        <w:spacing w:after="0"/>
        <w:tabs>
          <w:tab w:leader="none" w:pos="1300" w:val="left"/>
        </w:tabs>
        <w:numPr>
          <w:ilvl w:val="0"/>
          <w:numId w:val="3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Purchase Price.</w:t>
      </w:r>
    </w:p>
    <w:p>
      <w:pPr>
        <w:spacing w:after="0" w:line="220"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b w:val="1"/>
          <w:bCs w:val="1"/>
          <w:color w:val="auto"/>
        </w:rPr>
        <w:t>General.</w:t>
      </w:r>
      <w:r>
        <w:rPr>
          <w:rFonts w:ascii="Times New Roman" w:cs="Times New Roman" w:eastAsia="Times New Roman" w:hAnsi="Times New Roman"/>
          <w:sz w:val="21"/>
          <w:szCs w:val="21"/>
          <w:color w:val="auto"/>
        </w:rPr>
        <w:t xml:space="preserve"> The purchase price per share of Restricted Stock and per share of stock deliverable upon the exercise of an Option shall be determined by the Board, provided, however, that in the case of any Option, the exercise price shall not be less than 100% of the fair market value of such stock, as determined by the Board, at the time of grant of such Option, or less than 110% of such fair market value in the case of any Incentive Stock Option granted to a Greater Than 10% Shareholder.</w:t>
      </w:r>
    </w:p>
    <w:p>
      <w:pPr>
        <w:spacing w:after="0" w:line="159" w:lineRule="exact"/>
        <w:rPr>
          <w:sz w:val="20"/>
          <w:szCs w:val="20"/>
          <w:color w:val="auto"/>
        </w:rPr>
      </w:pPr>
    </w:p>
    <w:p>
      <w:pPr>
        <w:ind w:right="20" w:firstLine="1296"/>
        <w:spacing w:after="0" w:line="259"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Payment of Purchase Price.</w:t>
      </w:r>
      <w:r>
        <w:rPr>
          <w:rFonts w:ascii="Times New Roman" w:cs="Times New Roman" w:eastAsia="Times New Roman" w:hAnsi="Times New Roman"/>
          <w:sz w:val="22"/>
          <w:szCs w:val="22"/>
          <w:color w:val="auto"/>
        </w:rPr>
        <w:t xml:space="preserve"> Option Agreements may provide for the payment of the exercise price by delivery of cash or a check to the order of the Company in an amount equal to the exercise price of such Options, or, to the extent provided in the applicable Option Agreement, by one of the following methods:</w:t>
      </w:r>
    </w:p>
    <w:p>
      <w:pPr>
        <w:spacing w:after="0" w:line="170" w:lineRule="exact"/>
        <w:rPr>
          <w:sz w:val="20"/>
          <w:szCs w:val="20"/>
          <w:color w:val="auto"/>
        </w:rPr>
      </w:pPr>
    </w:p>
    <w:p>
      <w:pPr>
        <w:jc w:val="both"/>
        <w:ind w:left="660" w:right="280" w:firstLine="1292"/>
        <w:spacing w:after="0" w:line="257" w:lineRule="auto"/>
        <w:tabs>
          <w:tab w:leader="none" w:pos="2592"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consent of the Board, by delivery to the Company of shares of the Company’s common stock; such surrendered shares shall have a fair market value equal in amount to the exercise price of the Options being exercised,</w:t>
      </w:r>
    </w:p>
    <w:p>
      <w:pPr>
        <w:spacing w:after="0" w:line="172" w:lineRule="exact"/>
        <w:rPr>
          <w:rFonts w:ascii="Times New Roman" w:cs="Times New Roman" w:eastAsia="Times New Roman" w:hAnsi="Times New Roman"/>
          <w:sz w:val="22"/>
          <w:szCs w:val="22"/>
          <w:color w:val="auto"/>
        </w:rPr>
      </w:pPr>
    </w:p>
    <w:p>
      <w:pPr>
        <w:jc w:val="both"/>
        <w:ind w:left="660" w:right="20" w:firstLine="1292"/>
        <w:spacing w:after="0" w:line="252" w:lineRule="auto"/>
        <w:tabs>
          <w:tab w:leader="none" w:pos="2598"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consent of the Board, a personal recourse note issued by the optionee to the Company in a principal amount equal to such aggregate exercise price and with such other terms, including interest rate and maturity, as the Company may determine in its discretion; provided, however, that the interest rate borne by such note shall not be less than the lowest applicable federal rate, as defined in Section 1274(d) of the Code,</w:t>
      </w:r>
    </w:p>
    <w:p>
      <w:pPr>
        <w:spacing w:after="0" w:line="179" w:lineRule="exact"/>
        <w:rPr>
          <w:rFonts w:ascii="Times New Roman" w:cs="Times New Roman" w:eastAsia="Times New Roman" w:hAnsi="Times New Roman"/>
          <w:sz w:val="22"/>
          <w:szCs w:val="22"/>
          <w:color w:val="auto"/>
        </w:rPr>
      </w:pPr>
    </w:p>
    <w:p>
      <w:pPr>
        <w:ind w:left="660" w:right="20" w:firstLine="1292"/>
        <w:spacing w:after="0" w:line="252" w:lineRule="auto"/>
        <w:tabs>
          <w:tab w:leader="none" w:pos="2604"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consent of the Board, if the Class A Common Stock is registered under the Securities Exchange Act of 1934 at such time, subject to rules as may be established by the Board, by delivery to the Company of a properly executed exercise notice along with irrevocable instructions to a broker to promptly deliver to the Company cash or a check payable and acceptable to the Company for the purchase price,</w:t>
      </w:r>
    </w:p>
    <w:p>
      <w:pPr>
        <w:spacing w:after="0" w:line="179" w:lineRule="exact"/>
        <w:rPr>
          <w:rFonts w:ascii="Times New Roman" w:cs="Times New Roman" w:eastAsia="Times New Roman" w:hAnsi="Times New Roman"/>
          <w:sz w:val="22"/>
          <w:szCs w:val="22"/>
          <w:color w:val="auto"/>
        </w:rPr>
      </w:pPr>
    </w:p>
    <w:p>
      <w:pPr>
        <w:jc w:val="both"/>
        <w:ind w:left="660" w:right="200" w:firstLine="1292"/>
        <w:spacing w:after="0" w:line="257" w:lineRule="auto"/>
        <w:tabs>
          <w:tab w:leader="none" w:pos="2592"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consent of the Board, by reducing the number of Option shares otherwise issuable to the optionee upon exercise of the Option by a number of shares of Class A Common Stock having a fair market value equal to such aggregate exercise price,</w:t>
      </w:r>
    </w:p>
    <w:p>
      <w:pPr>
        <w:spacing w:after="0" w:line="17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consent of the Board, by any combination of such methods of payment.</w:t>
      </w:r>
    </w:p>
    <w:p>
      <w:pPr>
        <w:spacing w:after="0" w:line="220"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2"/>
          <w:szCs w:val="22"/>
          <w:color w:val="auto"/>
        </w:rPr>
        <w:t>The fair market value of any shares of Class A Common Stock or other non-cash consideration which may be delivered upon exercise of an Option shall be determined by the Board of Directors. Restricted Stock Agreements may provide for the payment of any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220"/>
          </w:cols>
          <w:pgMar w:left="320" w:top="1421" w:right="35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22"/>
          <w:szCs w:val="22"/>
          <w:color w:val="auto"/>
        </w:rPr>
        <w:t>price in any manner approved by the Board of Directors at the time of authorizing the issuance thereof.</w:t>
      </w:r>
    </w:p>
    <w:p>
      <w:pPr>
        <w:spacing w:after="0" w:line="216" w:lineRule="exact"/>
        <w:rPr>
          <w:sz w:val="20"/>
          <w:szCs w:val="20"/>
          <w:color w:val="auto"/>
        </w:rPr>
      </w:pPr>
    </w:p>
    <w:p>
      <w:pPr>
        <w:ind w:left="1300" w:hanging="644"/>
        <w:spacing w:after="0"/>
        <w:tabs>
          <w:tab w:leader="none" w:pos="1300" w:val="left"/>
        </w:tabs>
        <w:numPr>
          <w:ilvl w:val="0"/>
          <w:numId w:val="3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Option Period.</w:t>
      </w:r>
    </w:p>
    <w:p>
      <w:pPr>
        <w:spacing w:after="0" w:line="22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Notwithstanding any other provision of the Plan or any Option Agreement, each Option and all rights thereunder shall expire on the date specified in the applicable Option Agreement, provided that such date shall not be later than ten years after the date on which the Option is granted (or five years in the case of an Incentive Stock Option granted to a Greater Than 10% Shareholder), and in either case, shall be subject to earlier termination as provided in the Plan or Option Agreement.</w:t>
      </w:r>
    </w:p>
    <w:p>
      <w:pPr>
        <w:spacing w:after="0" w:line="175" w:lineRule="exact"/>
        <w:rPr>
          <w:sz w:val="20"/>
          <w:szCs w:val="20"/>
          <w:color w:val="auto"/>
        </w:rPr>
      </w:pPr>
    </w:p>
    <w:p>
      <w:pPr>
        <w:ind w:left="1300" w:hanging="644"/>
        <w:spacing w:after="0"/>
        <w:tabs>
          <w:tab w:leader="none" w:pos="1300" w:val="left"/>
        </w:tabs>
        <w:numPr>
          <w:ilvl w:val="0"/>
          <w:numId w:val="3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Exercise of Options.</w:t>
      </w:r>
    </w:p>
    <w:p>
      <w:pPr>
        <w:spacing w:after="0" w:line="220"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xml:space="preserve"> Each Option shall be exercisable either in full or in installments at such time or times and during such period as shall be set forth in the Option Agreement evidencing such Option, subject to the provisions of the Plan. To the extent not exercised, installments shall accumulate and be exercisable, in whole or in part, at any time after becoming exercisable, but not later than the date the Option expires.</w:t>
      </w:r>
    </w:p>
    <w:p>
      <w:pPr>
        <w:spacing w:after="0" w:line="175" w:lineRule="exact"/>
        <w:rPr>
          <w:sz w:val="20"/>
          <w:szCs w:val="20"/>
          <w:color w:val="auto"/>
        </w:rPr>
      </w:pPr>
    </w:p>
    <w:p>
      <w:pPr>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color w:val="auto"/>
        </w:rPr>
        <w:t>Notice of Exercise.</w:t>
      </w:r>
      <w:r>
        <w:rPr>
          <w:rFonts w:ascii="Times New Roman" w:cs="Times New Roman" w:eastAsia="Times New Roman" w:hAnsi="Times New Roman"/>
          <w:sz w:val="22"/>
          <w:szCs w:val="22"/>
          <w:color w:val="auto"/>
        </w:rPr>
        <w:t xml:space="preserve"> An Option may be exercised by the optionee by delivering to the Company on any business day a written notice specifying the number of shares of Class A Common Stock the optionee then desires to purchase and specifying the address to which the certificates for such shares are to be mailed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accompanied by payment for such shares. In addition, the Company may require any individual to whom an Option is granted, as a condition of exercising such Option, to give written assurances (the “</w:t>
      </w:r>
      <w:r>
        <w:rPr>
          <w:rFonts w:ascii="Times New Roman" w:cs="Times New Roman" w:eastAsia="Times New Roman" w:hAnsi="Times New Roman"/>
          <w:sz w:val="22"/>
          <w:szCs w:val="22"/>
          <w:u w:val="single" w:color="auto"/>
          <w:color w:val="auto"/>
        </w:rPr>
        <w:t>Investment Letter</w:t>
      </w:r>
      <w:r>
        <w:rPr>
          <w:rFonts w:ascii="Times New Roman" w:cs="Times New Roman" w:eastAsia="Times New Roman" w:hAnsi="Times New Roman"/>
          <w:sz w:val="22"/>
          <w:szCs w:val="22"/>
          <w:color w:val="auto"/>
        </w:rPr>
        <w:t>”) in a substance and form satisfactory to the Company to the effect that such individual is acquiring the Class A Common Stock subject to the Option for his or her own account for investment and not with a view to the resale or distribution thereof, and to such other effects as the Company deems necessary or advisable in order to comply with any securities law(s).</w:t>
      </w:r>
    </w:p>
    <w:p>
      <w:pPr>
        <w:spacing w:after="0" w:line="185" w:lineRule="exact"/>
        <w:rPr>
          <w:sz w:val="20"/>
          <w:szCs w:val="20"/>
          <w:color w:val="auto"/>
        </w:rPr>
      </w:pPr>
    </w:p>
    <w:p>
      <w:pPr>
        <w:ind w:right="10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color w:val="auto"/>
        </w:rPr>
        <w:t>Delivery.</w:t>
      </w:r>
      <w:r>
        <w:rPr>
          <w:rFonts w:ascii="Times New Roman" w:cs="Times New Roman" w:eastAsia="Times New Roman" w:hAnsi="Times New Roman"/>
          <w:sz w:val="22"/>
          <w:szCs w:val="22"/>
          <w:color w:val="auto"/>
        </w:rPr>
        <w:t xml:space="preserve"> As promptly as practicable after receipt of the Notice, the Investment Letter (if required) and payment, the Company shall deliver or cause to be delivered to the optionee certificates for the number of shares with respect to which such Option has been so exercised, issued in the optionee’s name; provided, however, that such delivery shall be deemed effected for all purposes when the Company or a stock transfer agent shall have deposited such certificates in the United States mail, addressed to the optionee, at the address specified in the Notice.</w:t>
      </w:r>
    </w:p>
    <w:p>
      <w:pPr>
        <w:spacing w:after="0" w:line="176" w:lineRule="exact"/>
        <w:rPr>
          <w:sz w:val="20"/>
          <w:szCs w:val="20"/>
          <w:color w:val="auto"/>
        </w:rPr>
      </w:pPr>
    </w:p>
    <w:p>
      <w:pPr>
        <w:ind w:left="1300" w:hanging="644"/>
        <w:spacing w:after="0"/>
        <w:tabs>
          <w:tab w:leader="none" w:pos="1300" w:val="left"/>
        </w:tabs>
        <w:numPr>
          <w:ilvl w:val="0"/>
          <w:numId w:val="3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Options.</w:t>
      </w:r>
    </w:p>
    <w:p>
      <w:pPr>
        <w:spacing w:after="0" w:line="224"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No Option shall be assignable or transferable by the person to whom it is granted, either voluntarily or by operation of law, except by will or the laws of descent and distribution. During the life of an optionee, an Option shall be exercisable only by the 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160"/>
          </w:cols>
          <w:pgMar w:left="320" w:top="1421" w:right="419" w:bottom="1440" w:gutter="0" w:footer="0" w:header="0"/>
        </w:sectPr>
      </w:pPr>
    </w:p>
    <w:bookmarkStart w:id="410" w:name="page411"/>
    <w:bookmarkEnd w:id="410"/>
    <w:p>
      <w:pPr>
        <w:ind w:right="340" w:firstLine="656"/>
        <w:spacing w:after="0" w:line="275" w:lineRule="auto"/>
        <w:tabs>
          <w:tab w:leader="none" w:pos="1296" w:val="left"/>
        </w:tabs>
        <w:numPr>
          <w:ilvl w:val="0"/>
          <w:numId w:val="3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Employment; Disability; Death. </w:t>
      </w:r>
      <w:r>
        <w:rPr>
          <w:rFonts w:ascii="Times New Roman" w:cs="Times New Roman" w:eastAsia="Times New Roman" w:hAnsi="Times New Roman"/>
          <w:sz w:val="22"/>
          <w:szCs w:val="22"/>
          <w:color w:val="auto"/>
        </w:rPr>
        <w:t>Except as may be otherwise expressly provided in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conditions of the Option Agreement, Options shall terminate on the earliest to occur of:</w:t>
      </w:r>
    </w:p>
    <w:p>
      <w:pPr>
        <w:spacing w:after="0" w:line="153"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expiration thereof;</w:t>
      </w:r>
    </w:p>
    <w:p>
      <w:pPr>
        <w:spacing w:after="0" w:line="219" w:lineRule="exact"/>
        <w:rPr>
          <w:rFonts w:ascii="Times New Roman" w:cs="Times New Roman" w:eastAsia="Times New Roman" w:hAnsi="Times New Roman"/>
          <w:sz w:val="22"/>
          <w:szCs w:val="22"/>
          <w:color w:val="auto"/>
        </w:rPr>
      </w:pPr>
    </w:p>
    <w:p>
      <w:pPr>
        <w:ind w:left="1960" w:hanging="656"/>
        <w:spacing w:after="0" w:line="271" w:lineRule="auto"/>
        <w:tabs>
          <w:tab w:leader="none" w:pos="1954" w:val="left"/>
        </w:tabs>
        <w:numPr>
          <w:ilvl w:val="1"/>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upon termination of the optionee’s employment with, or provision of services to, the Company by the Company for Cause (as hereinafter defined);</w:t>
      </w:r>
    </w:p>
    <w:p>
      <w:pPr>
        <w:spacing w:after="0" w:line="157" w:lineRule="exact"/>
        <w:rPr>
          <w:rFonts w:ascii="Times New Roman" w:cs="Times New Roman" w:eastAsia="Times New Roman" w:hAnsi="Times New Roman"/>
          <w:sz w:val="22"/>
          <w:szCs w:val="22"/>
          <w:color w:val="auto"/>
        </w:rPr>
      </w:pPr>
    </w:p>
    <w:p>
      <w:pPr>
        <w:ind w:left="1960" w:right="60" w:hanging="656"/>
        <w:spacing w:after="0" w:line="295" w:lineRule="auto"/>
        <w:tabs>
          <w:tab w:leader="none" w:pos="1960" w:val="left"/>
        </w:tabs>
        <w:numPr>
          <w:ilvl w:val="1"/>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 days after the date of voluntary termination of the optionee’s employment with, or provision of services to, the Company by the optionee (other than for death or permanent disability as defined below); or</w:t>
      </w:r>
    </w:p>
    <w:p>
      <w:pPr>
        <w:spacing w:after="0" w:line="135" w:lineRule="exact"/>
        <w:rPr>
          <w:rFonts w:ascii="Times New Roman" w:cs="Times New Roman" w:eastAsia="Times New Roman" w:hAnsi="Times New Roman"/>
          <w:sz w:val="21"/>
          <w:szCs w:val="21"/>
          <w:color w:val="auto"/>
        </w:rPr>
      </w:pPr>
    </w:p>
    <w:p>
      <w:pPr>
        <w:ind w:left="1960" w:hanging="656"/>
        <w:spacing w:after="0" w:line="295" w:lineRule="auto"/>
        <w:tabs>
          <w:tab w:leader="none" w:pos="1948" w:val="left"/>
        </w:tabs>
        <w:numPr>
          <w:ilvl w:val="1"/>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 days after the date of termination of the optionee’s employment with, or provision of services to, the Company by the Company without Cause (other than for death or permanent disability as defined below).</w:t>
      </w:r>
    </w:p>
    <w:p>
      <w:pPr>
        <w:spacing w:after="0" w:line="135" w:lineRule="exact"/>
        <w:rPr>
          <w:sz w:val="20"/>
          <w:szCs w:val="20"/>
          <w:color w:val="auto"/>
        </w:rPr>
      </w:pPr>
    </w:p>
    <w:p>
      <w:pPr>
        <w:ind w:right="700" w:firstLine="648"/>
        <w:spacing w:after="0" w:line="271" w:lineRule="auto"/>
        <w:rPr>
          <w:sz w:val="20"/>
          <w:szCs w:val="20"/>
          <w:color w:val="auto"/>
        </w:rPr>
      </w:pPr>
      <w:r>
        <w:rPr>
          <w:rFonts w:ascii="Times New Roman" w:cs="Times New Roman" w:eastAsia="Times New Roman" w:hAnsi="Times New Roman"/>
          <w:sz w:val="22"/>
          <w:szCs w:val="22"/>
          <w:color w:val="auto"/>
        </w:rPr>
        <w:t>Until the date on which the Option so expires, the optionee may exercise that portion of his or her Option which is exercisable at the time of termination of the employment or service relationship.</w:t>
      </w:r>
    </w:p>
    <w:p>
      <w:pPr>
        <w:spacing w:after="0" w:line="15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color w:val="auto"/>
        </w:rPr>
        <w:t>An employment or service relationship between the Company and the optionee shall be deemed to exist during any period during which the optionee is employed by or providing services to the Company. Whether an authorized leave of absence or an absence due to military or government service shall constitute termination of the employment relationship between the Company and the optionee shall be determined by the Board at the time thereof.</w:t>
      </w:r>
    </w:p>
    <w:p>
      <w:pPr>
        <w:spacing w:after="0" w:line="17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1"/>
          <w:szCs w:val="21"/>
          <w:color w:val="auto"/>
        </w:rPr>
        <w:t>For purposes of this Section 10, the term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mean (a) any material breach by the optionee of any agreement to which the optionee and the Company are both parties, (b) any act (other than retirement) or omission to act by the optionee which may have a material and adverse effect on the Company’s business or on the optionee’s ability to perform services for the Company, including, without limitation, the commission of any crime (other than minor traffic violations), or (c) any material misconduct or material neglect of duties by the optionee in connection with the business or affairs of the Company. An optionee’s employment shall be deemed to have been terminated for Cause if the Company determines within thirty (30) days of the termination of employment (whether such termination was voluntary or involuntary) that termination for Cause was warranted.</w:t>
      </w:r>
    </w:p>
    <w:p>
      <w:pPr>
        <w:spacing w:after="0" w:line="173"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22"/>
          <w:szCs w:val="22"/>
          <w:color w:val="auto"/>
        </w:rPr>
        <w:t>In the event of the permanent and total disability or death of an optionee while in an employment or other relationship with the Company, any Option held by such optionee shall terminate on the earlier of the date of expiration of the Option or 180 days following the date of such disability or death. After disability or death, the optionee (or in the case of death, his or her executor, administrator or any person or persons to whom this option may be transferred by will or by laws of descent and distribution) shall have the right, at any time prior to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240"/>
          </w:cols>
          <w:pgMar w:left="320" w:top="1417" w:right="339" w:bottom="1440" w:gutter="0" w:footer="0" w:header="0"/>
        </w:sectPr>
      </w:pPr>
    </w:p>
    <w:bookmarkStart w:id="411" w:name="page412"/>
    <w:bookmarkEnd w:id="411"/>
    <w:p>
      <w:pPr>
        <w:ind w:right="220"/>
        <w:spacing w:after="0" w:line="250" w:lineRule="auto"/>
        <w:rPr>
          <w:sz w:val="20"/>
          <w:szCs w:val="20"/>
          <w:color w:val="auto"/>
        </w:rPr>
      </w:pPr>
      <w:r>
        <w:rPr>
          <w:rFonts w:ascii="Times New Roman" w:cs="Times New Roman" w:eastAsia="Times New Roman" w:hAnsi="Times New Roman"/>
          <w:sz w:val="22"/>
          <w:szCs w:val="22"/>
          <w:color w:val="auto"/>
        </w:rPr>
        <w:t>of an Option , to exercise the Option to the extent the optionee was entitled to exercise such Option as of the date of his or her disability or death. An optionee is permanently and totally disabled if he or she is unable to engage in any substantial gainful activity by reason of any medically determinable physical or mental impairment which can be expected to last for a continuous period of not less than 12 months; permanent and total disability shall be determined in accordance with Section 22(e)(3) of the Code and the regulations issued thereunder.</w:t>
      </w:r>
    </w:p>
    <w:p>
      <w:pPr>
        <w:spacing w:after="0" w:line="177" w:lineRule="exact"/>
        <w:rPr>
          <w:sz w:val="20"/>
          <w:szCs w:val="20"/>
          <w:color w:val="auto"/>
        </w:rPr>
      </w:pPr>
    </w:p>
    <w:p>
      <w:pPr>
        <w:ind w:right="100" w:firstLine="656"/>
        <w:spacing w:after="0" w:line="253" w:lineRule="auto"/>
        <w:tabs>
          <w:tab w:leader="none" w:pos="1284" w:val="left"/>
        </w:tabs>
        <w:numPr>
          <w:ilvl w:val="0"/>
          <w:numId w:val="3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Rights as a Shareholder. </w:t>
      </w:r>
      <w:r>
        <w:rPr>
          <w:rFonts w:ascii="Times New Roman" w:cs="Times New Roman" w:eastAsia="Times New Roman" w:hAnsi="Times New Roman"/>
          <w:sz w:val="22"/>
          <w:szCs w:val="22"/>
          <w:color w:val="auto"/>
        </w:rPr>
        <w:t>The holder of an Option shall have no rights as a shareholder with respect to any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covered by the Option (including, without limitation, any rights to receive dividends or non-cash distributions with respect to such shares) until the date of issue of a stock certificate to him or her for such shares. No adjustment shall be made for dividends or other rights for which the record date is prior to the date such stock certificate is issued.</w:t>
      </w:r>
    </w:p>
    <w:p>
      <w:pPr>
        <w:spacing w:after="0" w:line="175" w:lineRule="exact"/>
        <w:rPr>
          <w:rFonts w:ascii="Times New Roman" w:cs="Times New Roman" w:eastAsia="Times New Roman" w:hAnsi="Times New Roman"/>
          <w:sz w:val="22"/>
          <w:szCs w:val="22"/>
          <w:b w:val="1"/>
          <w:bCs w:val="1"/>
          <w:color w:val="auto"/>
        </w:rPr>
      </w:pPr>
    </w:p>
    <w:p>
      <w:pPr>
        <w:ind w:right="60" w:firstLine="656"/>
        <w:spacing w:after="0" w:line="262" w:lineRule="auto"/>
        <w:tabs>
          <w:tab w:leader="none" w:pos="1296" w:val="left"/>
        </w:tabs>
        <w:numPr>
          <w:ilvl w:val="0"/>
          <w:numId w:val="3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Additional Provisions. </w:t>
      </w:r>
      <w:r>
        <w:rPr>
          <w:rFonts w:ascii="Times New Roman" w:cs="Times New Roman" w:eastAsia="Times New Roman" w:hAnsi="Times New Roman"/>
          <w:sz w:val="21"/>
          <w:szCs w:val="21"/>
          <w:color w:val="auto"/>
        </w:rPr>
        <w:t>The Board of Directors may, in its sole discretion, include additional provisions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Restricted Stock Agreements and Option Agreements, including, without limitation, restrictions on transfer, rights of the Company to repurchase shares of Restricted Stock or shares of Class A Common Stock acquired upon exercise of Options, commitments to pay cash bonuses, to make, arrange for or guaranty loans or to transfer other property to optionees upon exercise of Options, or such other provisions as shall be determined by the Board of Directors;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such additional provisions shall not be inconsistent with any other term or condition of the Plan and such additional provisions shall not be such as to cause any Incentive Stock Option to fail to qualify as an Incentive Stock Option within the meaning of Section 422 of the Code.</w:t>
      </w:r>
    </w:p>
    <w:p>
      <w:pPr>
        <w:spacing w:after="0" w:line="166" w:lineRule="exact"/>
        <w:rPr>
          <w:rFonts w:ascii="Times New Roman" w:cs="Times New Roman" w:eastAsia="Times New Roman" w:hAnsi="Times New Roman"/>
          <w:sz w:val="21"/>
          <w:szCs w:val="21"/>
          <w:b w:val="1"/>
          <w:bCs w:val="1"/>
          <w:color w:val="auto"/>
        </w:rPr>
      </w:pPr>
    </w:p>
    <w:p>
      <w:pPr>
        <w:ind w:right="40" w:firstLine="656"/>
        <w:spacing w:after="0" w:line="259" w:lineRule="auto"/>
        <w:tabs>
          <w:tab w:leader="none" w:pos="1296" w:val="left"/>
        </w:tabs>
        <w:numPr>
          <w:ilvl w:val="0"/>
          <w:numId w:val="3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Acceleration, Extension, Etc. </w:t>
      </w:r>
      <w:r>
        <w:rPr>
          <w:rFonts w:ascii="Times New Roman" w:cs="Times New Roman" w:eastAsia="Times New Roman" w:hAnsi="Times New Roman"/>
          <w:sz w:val="22"/>
          <w:szCs w:val="22"/>
          <w:color w:val="auto"/>
        </w:rPr>
        <w:t>The Board of Directors may, in its sole discretion, (i) accelerate the date or dates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which all or any particular Option or Options may be exercised or (ii) extend the period or periods of time during which all, or any particular, Option or Options may be exercised.</w:t>
      </w:r>
    </w:p>
    <w:p>
      <w:pPr>
        <w:spacing w:after="0" w:line="16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3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 Upon Changes in Capitalization</w:t>
      </w:r>
    </w:p>
    <w:p>
      <w:pPr>
        <w:spacing w:after="0" w:line="220" w:lineRule="exact"/>
        <w:rPr>
          <w:sz w:val="20"/>
          <w:szCs w:val="20"/>
          <w:color w:val="auto"/>
        </w:rPr>
      </w:pPr>
    </w:p>
    <w:p>
      <w:pPr>
        <w:ind w:right="6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b w:val="1"/>
          <w:bCs w:val="1"/>
          <w:color w:val="auto"/>
        </w:rPr>
        <w:t>No Effect of Options upon Certain Corporate Transactions.</w:t>
      </w:r>
      <w:r>
        <w:rPr>
          <w:rFonts w:ascii="Times New Roman" w:cs="Times New Roman" w:eastAsia="Times New Roman" w:hAnsi="Times New Roman"/>
          <w:sz w:val="22"/>
          <w:szCs w:val="22"/>
          <w:color w:val="auto"/>
        </w:rPr>
        <w:t xml:space="preserve"> The existence of outstanding Options shall not affect in any way the right or power of the Company to make or authorize any or all adjustments, recapitalizations, reorganizations or other changes in the Company’s capital structure or its business, or any merger or consolidation, or any issue of Class A Common Stock, or any issue of bonds, debentures, preferred or prior preference stock ahead of or affecting the Class A Common Stock or the rights thereof, or the dissolution or liquidation of the Company, or any sale or transfer of all or any part of its assets or business, or any other corporate act or proceeding, whether of a similar character or otherwise.</w:t>
      </w:r>
    </w:p>
    <w:p>
      <w:pPr>
        <w:spacing w:after="0" w:line="18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b w:val="1"/>
          <w:bCs w:val="1"/>
          <w:color w:val="auto"/>
        </w:rPr>
        <w:t>Adjustment Provisions.</w:t>
      </w:r>
      <w:r>
        <w:rPr>
          <w:rFonts w:ascii="Times New Roman" w:cs="Times New Roman" w:eastAsia="Times New Roman" w:hAnsi="Times New Roman"/>
          <w:sz w:val="22"/>
          <w:szCs w:val="22"/>
          <w:color w:val="auto"/>
        </w:rPr>
        <w:t xml:space="preserve"> If, through or as a result of any merger, consolidation, sale of all or substantially all of the assets of the Company, reorganization, recapitalization, reclassification, stock dividend, stock split, reverse stock split or other similar transaction, (i) the outstanding shares of Class A Common Stock are increased, decreased or exchanged for a different number or kind of shares or other securities of the Company, or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240"/>
          </w:cols>
          <w:pgMar w:left="320" w:top="1421" w:right="339" w:bottom="1440" w:gutter="0" w:footer="0" w:header="0"/>
        </w:sectPr>
      </w:pPr>
    </w:p>
    <w:bookmarkStart w:id="412" w:name="page413"/>
    <w:bookmarkEnd w:id="412"/>
    <w:p>
      <w:pPr>
        <w:spacing w:after="0" w:line="258" w:lineRule="auto"/>
        <w:rPr>
          <w:sz w:val="20"/>
          <w:szCs w:val="20"/>
          <w:color w:val="auto"/>
        </w:rPr>
      </w:pPr>
      <w:r>
        <w:rPr>
          <w:rFonts w:ascii="Times New Roman" w:cs="Times New Roman" w:eastAsia="Times New Roman" w:hAnsi="Times New Roman"/>
          <w:sz w:val="21"/>
          <w:szCs w:val="21"/>
          <w:color w:val="auto"/>
        </w:rPr>
        <w:t>additional shares or new or different shares or other securities of the Company or other non-cash assets are distributed with respect to such shares of Class A Common Stock or other securities, an appropriate and proportionate adjustment shall be made in (x) the maximum number and kind of shares reserved for issuance under the Plan, (y) the number and kind of shares or other securities subject to any then outstanding Options, and (z) the price for each share or other security subject to any then outstanding Options, so that upon exercise of such Options, in lieu of the shares of Class A Common Stock for which such Options were then exercisable, the relevant optionee shall be entitled to receive, for the same aggregate consideration, the same total number and kind of shares or other securities, cash or property that the owner of an equal number of outstanding shares of Class A Common Stock immediately prior to the event requiring adjustment would own as a result of the event. If any such event shall occur, appropriate adjustment shall also be made in the application of the provisions of this Section 14 and Section 15 with respect to Options and the rights of optionees after the event so that the provisions of such Sections shall be applicable after the event and be as nearly equivalent as practicable in operation after the event as they were before the event.</w:t>
      </w:r>
    </w:p>
    <w:p>
      <w:pPr>
        <w:spacing w:after="0" w:line="178"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21"/>
          <w:szCs w:val="21"/>
          <w:color w:val="auto"/>
        </w:rPr>
        <w:t xml:space="preserve">14.3 </w:t>
      </w:r>
      <w:r>
        <w:rPr>
          <w:rFonts w:ascii="Times New Roman" w:cs="Times New Roman" w:eastAsia="Times New Roman" w:hAnsi="Times New Roman"/>
          <w:sz w:val="21"/>
          <w:szCs w:val="21"/>
          <w:b w:val="1"/>
          <w:bCs w:val="1"/>
          <w:color w:val="auto"/>
        </w:rPr>
        <w:t>No Adjustment in Certain Cases.</w:t>
      </w:r>
      <w:r>
        <w:rPr>
          <w:rFonts w:ascii="Times New Roman" w:cs="Times New Roman" w:eastAsia="Times New Roman" w:hAnsi="Times New Roman"/>
          <w:sz w:val="21"/>
          <w:szCs w:val="21"/>
          <w:color w:val="auto"/>
        </w:rPr>
        <w:t xml:space="preserve"> Except as hereinbefore expressly provided, the issue by the Company of shares of stock of any class, or securities convertible into shares of stock of any class, for cash or property or for labor or services, either upon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or price of shares of Class A Common Stock then subject to outstanding options.</w:t>
      </w:r>
    </w:p>
    <w:p>
      <w:pPr>
        <w:spacing w:after="0" w:line="160" w:lineRule="exact"/>
        <w:rPr>
          <w:sz w:val="20"/>
          <w:szCs w:val="20"/>
          <w:color w:val="auto"/>
        </w:rPr>
      </w:pPr>
    </w:p>
    <w:p>
      <w:pPr>
        <w:ind w:right="40" w:firstLine="1296"/>
        <w:spacing w:after="0" w:line="259" w:lineRule="auto"/>
        <w:rPr>
          <w:sz w:val="20"/>
          <w:szCs w:val="20"/>
          <w:color w:val="auto"/>
        </w:rPr>
      </w:pPr>
      <w:r>
        <w:rPr>
          <w:rFonts w:ascii="Times New Roman" w:cs="Times New Roman" w:eastAsia="Times New Roman" w:hAnsi="Times New Roman"/>
          <w:sz w:val="22"/>
          <w:szCs w:val="22"/>
          <w:color w:val="auto"/>
        </w:rPr>
        <w:t xml:space="preserve">14.4 </w:t>
      </w:r>
      <w:r>
        <w:rPr>
          <w:rFonts w:ascii="Times New Roman" w:cs="Times New Roman" w:eastAsia="Times New Roman" w:hAnsi="Times New Roman"/>
          <w:sz w:val="22"/>
          <w:szCs w:val="22"/>
          <w:b w:val="1"/>
          <w:bCs w:val="1"/>
          <w:color w:val="auto"/>
        </w:rPr>
        <w:t>Board Authority to Make Adjustments.</w:t>
      </w:r>
      <w:r>
        <w:rPr>
          <w:rFonts w:ascii="Times New Roman" w:cs="Times New Roman" w:eastAsia="Times New Roman" w:hAnsi="Times New Roman"/>
          <w:sz w:val="22"/>
          <w:szCs w:val="22"/>
          <w:color w:val="auto"/>
        </w:rPr>
        <w:t xml:space="preserve"> Any adjustments under this Section 14 will be made by the Board of Directors, whose determination as to what adjustments, if any, will be made and the extent thereof will be final, binding and conclusive. No fractional shares will be issued under the Plan on account of any such adjustments.</w:t>
      </w:r>
    </w:p>
    <w:p>
      <w:pPr>
        <w:spacing w:after="0" w:line="166" w:lineRule="exact"/>
        <w:rPr>
          <w:sz w:val="20"/>
          <w:szCs w:val="20"/>
          <w:color w:val="auto"/>
        </w:rPr>
      </w:pPr>
    </w:p>
    <w:p>
      <w:pPr>
        <w:ind w:left="1300" w:hanging="644"/>
        <w:spacing w:after="0"/>
        <w:tabs>
          <w:tab w:leader="none" w:pos="1300" w:val="left"/>
        </w:tabs>
        <w:numPr>
          <w:ilvl w:val="0"/>
          <w:numId w:val="3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 of Certain Transactions</w:t>
      </w:r>
    </w:p>
    <w:p>
      <w:pPr>
        <w:spacing w:after="0" w:line="220" w:lineRule="exact"/>
        <w:rPr>
          <w:sz w:val="20"/>
          <w:szCs w:val="20"/>
          <w:color w:val="auto"/>
        </w:rPr>
      </w:pPr>
    </w:p>
    <w:p>
      <w:pPr>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xml:space="preserve"> Except as provided in any Option Agreement or Restricted Stock Agreement to the contrary, if the Company is merged with or into or consolidated with another corporation under circumstances where the stockholders of the Company immediately prior to such merger or consolidation do not own after such merger or consolidation shares representing at least fifty percent (50%) of the voting power of the Company or the surviving or resulting corporation, as the case may be, or if shares representing fifty percent (50%) or more of the voting power of the Company are transferred to an Unrelated Third Party, as hereinafter defined, or if the Company is liquidated, or sells or otherwise disposes of all or substantially all its assets (each such transaction is referred to herein as a “</w:t>
      </w:r>
      <w:r>
        <w:rPr>
          <w:rFonts w:ascii="Times New Roman" w:cs="Times New Roman" w:eastAsia="Times New Roman" w:hAnsi="Times New Roman"/>
          <w:sz w:val="22"/>
          <w:szCs w:val="22"/>
          <w:u w:val="single" w:color="auto"/>
          <w:color w:val="auto"/>
        </w:rPr>
        <w:t>Change in Control Transaction</w:t>
      </w:r>
      <w:r>
        <w:rPr>
          <w:rFonts w:ascii="Times New Roman" w:cs="Times New Roman" w:eastAsia="Times New Roman" w:hAnsi="Times New Roman"/>
          <w:sz w:val="22"/>
          <w:szCs w:val="22"/>
          <w:color w:val="auto"/>
        </w:rPr>
        <w:t xml:space="preserve">”), the Board, or the board of directors of any corporation assuming the obligations of the Company, may, in its discretion, take any one or more of the following actions, as to some or all outstanding Options or Restricted Stock Awards (and need not take the same action as to each such Option or Restricted Stock Award): (i) provide that such Options shall be assumed, or equivalent Options shall be substituted, by the acquiring or succeeding corporation (or an affiliate thereof), </w:t>
      </w:r>
      <w:r>
        <w:rPr>
          <w:rFonts w:ascii="Times New Roman" w:cs="Times New Roman" w:eastAsia="Times New Roman" w:hAnsi="Times New Roman"/>
          <w:sz w:val="22"/>
          <w:szCs w:val="22"/>
          <w:i w:val="1"/>
          <w:iCs w:val="1"/>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200"/>
          </w:cols>
          <w:pgMar w:left="320" w:top="1421" w:right="379" w:bottom="1440" w:gutter="0" w:footer="0" w:header="0"/>
        </w:sectPr>
      </w:pPr>
    </w:p>
    <w:bookmarkStart w:id="413" w:name="page414"/>
    <w:bookmarkEnd w:id="413"/>
    <w:p>
      <w:pPr>
        <w:spacing w:after="0" w:line="245" w:lineRule="auto"/>
        <w:rPr>
          <w:sz w:val="20"/>
          <w:szCs w:val="20"/>
          <w:color w:val="auto"/>
        </w:rPr>
      </w:pPr>
      <w:r>
        <w:rPr>
          <w:rFonts w:ascii="Times New Roman" w:cs="Times New Roman" w:eastAsia="Times New Roman" w:hAnsi="Times New Roman"/>
          <w:sz w:val="22"/>
          <w:szCs w:val="22"/>
          <w:i w:val="1"/>
          <w:iCs w:val="1"/>
          <w:color w:val="auto"/>
        </w:rPr>
        <w:t xml:space="preserve">that </w:t>
      </w:r>
      <w:r>
        <w:rPr>
          <w:rFonts w:ascii="Times New Roman" w:cs="Times New Roman" w:eastAsia="Times New Roman" w:hAnsi="Times New Roman"/>
          <w:sz w:val="22"/>
          <w:szCs w:val="22"/>
          <w:color w:val="auto"/>
        </w:rPr>
        <w:t>any such Options substituted for Incentive Stock Options shall meet the requirements of Section 424(a) of the Code, (ii)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upon written notice to the optionees, provide that all unexercised Options (whether vested or unvested) will terminate immediately prior to the consummation of the Change in Control Transaction unless exercised by the optionee to the extent otherwise then exercisable within a specified period following the date of such notice, (iii) upon written notice to the grantees, provide that all unvested shares of Restricted Stock shall be repurchased at cost, (iv) make or provide for a cash payment to the optionees equal to the difference between (A) the fair market value of the per share consideration (whether cash, securities or other property or any combination of the above) the holder of a share of Class A Common Stock will receive upon consummation of the Change in Control Transaction (the “</w:t>
      </w:r>
      <w:r>
        <w:rPr>
          <w:rFonts w:ascii="Times New Roman" w:cs="Times New Roman" w:eastAsia="Times New Roman" w:hAnsi="Times New Roman"/>
          <w:sz w:val="22"/>
          <w:szCs w:val="22"/>
          <w:u w:val="single" w:color="auto"/>
          <w:color w:val="auto"/>
        </w:rPr>
        <w:t>Per Share Transaction Price</w:t>
      </w:r>
      <w:r>
        <w:rPr>
          <w:rFonts w:ascii="Times New Roman" w:cs="Times New Roman" w:eastAsia="Times New Roman" w:hAnsi="Times New Roman"/>
          <w:sz w:val="22"/>
          <w:szCs w:val="22"/>
          <w:color w:val="auto"/>
        </w:rPr>
        <w:t>”) times the number of shares of Class A Common Stock subject to outstanding vested Options (to the extent then exercisable at prices not equal to or in excess of the Per Share Transaction Price) and (B) the aggregate exercise price of such outstanding vested Options, in exchange for the termination of such Options, or (v) provide that all or any outstanding Options shall become exercisable and all or any outstanding Restricted Stock Awards shall vest in part or in full immediately prior to such event. To the extent that any Options are exercisable at a price equal to or in excess of the Per Share Transaction Price, the Board may provide that such Options shall terminate immediately upon the consummation of the Change in Control Transaction without any payment being made to the holders of such Options. “</w:t>
      </w:r>
      <w:r>
        <w:rPr>
          <w:rFonts w:ascii="Times New Roman" w:cs="Times New Roman" w:eastAsia="Times New Roman" w:hAnsi="Times New Roman"/>
          <w:sz w:val="22"/>
          <w:szCs w:val="22"/>
          <w:u w:val="single" w:color="auto"/>
          <w:color w:val="auto"/>
        </w:rPr>
        <w:t>Unrelated Third Party</w:t>
      </w:r>
      <w:r>
        <w:rPr>
          <w:rFonts w:ascii="Times New Roman" w:cs="Times New Roman" w:eastAsia="Times New Roman" w:hAnsi="Times New Roman"/>
          <w:sz w:val="22"/>
          <w:szCs w:val="22"/>
          <w:color w:val="auto"/>
        </w:rPr>
        <w:t>” shall mean any person who is not, on the date of adoption of this Plan by the Board, a holder of stock of any class or preference or any stock option of the Company</w:t>
      </w:r>
      <w:r>
        <w:rPr>
          <w:rFonts w:ascii="Times New Roman" w:cs="Times New Roman" w:eastAsia="Times New Roman" w:hAnsi="Times New Roman"/>
          <w:sz w:val="22"/>
          <w:szCs w:val="22"/>
          <w:b w:val="1"/>
          <w:bCs w:val="1"/>
          <w:color w:val="auto"/>
        </w:rPr>
        <w:t>.</w:t>
      </w:r>
    </w:p>
    <w:p>
      <w:pPr>
        <w:spacing w:after="0" w:line="192" w:lineRule="exact"/>
        <w:rPr>
          <w:sz w:val="20"/>
          <w:szCs w:val="20"/>
          <w:color w:val="auto"/>
        </w:rPr>
      </w:pPr>
    </w:p>
    <w:p>
      <w:pPr>
        <w:ind w:right="100" w:firstLine="1620"/>
        <w:spacing w:after="0" w:line="258" w:lineRule="auto"/>
        <w:rPr>
          <w:sz w:val="20"/>
          <w:szCs w:val="20"/>
          <w:color w:val="auto"/>
        </w:rPr>
      </w:pPr>
      <w:r>
        <w:rPr>
          <w:rFonts w:ascii="Times New Roman" w:cs="Times New Roman" w:eastAsia="Times New Roman" w:hAnsi="Times New Roman"/>
          <w:sz w:val="21"/>
          <w:szCs w:val="21"/>
          <w:color w:val="auto"/>
        </w:rPr>
        <w:t>In the event that the successor corporation does not assume or substitute for Options or Restricted Stock Awards (or portion thereof), optionees or holders of Restricted Stock will fully vest in and have the right to exercise outstanding Options (or portions thereof) not assumed or substituted for, including shares of Class A Common Stock as to which such Options would not otherwise be vested or exercisable, all restrictions on Awards of Restricted Stock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Option Agreement or Restricted Stock Agreement or other written agreement authorized by the Board between an optionee or holder of Restricted Stock and the Company or any of its subsidiaries or parents, as applicable. In addition, unless specifically provided otherwise under the applicable Option Agreement or other written agreement authorized by the Board between the optionee and the Company or any of its subsidiaries or parents, as applicable, if an Option (or portion thereof) is not assumed or substituted in the event of a Change in Control Transaction, the Board will notify affected optionees in writing or electronically that the Option (or its applicable portion) will be exercisable for a period of time determined by the Board in its sole discretion, and the Option (or its applicable portion) will terminate upon the expiration of such period.</w:t>
      </w:r>
    </w:p>
    <w:p>
      <w:pPr>
        <w:spacing w:after="0" w:line="169" w:lineRule="exact"/>
        <w:rPr>
          <w:sz w:val="20"/>
          <w:szCs w:val="20"/>
          <w:color w:val="auto"/>
        </w:rPr>
      </w:pPr>
    </w:p>
    <w:p>
      <w:pPr>
        <w:jc w:val="both"/>
        <w:ind w:right="500" w:firstLine="1296"/>
        <w:spacing w:after="0" w:line="259"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b w:val="1"/>
          <w:bCs w:val="1"/>
          <w:color w:val="auto"/>
        </w:rPr>
        <w:t>Substitute Options.</w:t>
      </w:r>
      <w:r>
        <w:rPr>
          <w:rFonts w:ascii="Times New Roman" w:cs="Times New Roman" w:eastAsia="Times New Roman" w:hAnsi="Times New Roman"/>
          <w:sz w:val="22"/>
          <w:szCs w:val="22"/>
          <w:color w:val="auto"/>
        </w:rPr>
        <w:t xml:space="preserve"> The Company may grant Options in substitution for options held by employees, officers or directors of, or consultants or advisors to, another corporation who become employees, officers or directors of, or consultants or advisors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240"/>
          </w:cols>
          <w:pgMar w:left="320" w:top="1417" w:right="339" w:bottom="1440" w:gutter="0" w:footer="0" w:header="0"/>
        </w:sectPr>
      </w:pPr>
    </w:p>
    <w:bookmarkStart w:id="414" w:name="page415"/>
    <w:bookmarkEnd w:id="414"/>
    <w:p>
      <w:pPr>
        <w:ind w:right="140"/>
        <w:spacing w:after="0" w:line="257" w:lineRule="auto"/>
        <w:rPr>
          <w:sz w:val="20"/>
          <w:szCs w:val="20"/>
          <w:color w:val="auto"/>
        </w:rPr>
      </w:pPr>
      <w:r>
        <w:rPr>
          <w:rFonts w:ascii="Times New Roman" w:cs="Times New Roman" w:eastAsia="Times New Roman" w:hAnsi="Times New Roman"/>
          <w:sz w:val="22"/>
          <w:szCs w:val="22"/>
          <w:color w:val="auto"/>
        </w:rPr>
        <w:t>Company, as the result of a merger or consolidation of the employing corporation with the Company or as a result of the acquisition by the Company of property or stock of the employing corporation. The Company may direct that substitute Options be granted on such terms and conditions as the Board considers appropriate in the circumstances.</w:t>
      </w:r>
    </w:p>
    <w:p>
      <w:pPr>
        <w:spacing w:after="0" w:line="16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15.3 </w:t>
      </w: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 xml:space="preserve"> In the event of a business combination or other transaction of the type detailed in Section 15.1, any securities, cash or other property received in exchange for shares of Restricted Stock shall continue to be governed by the provisions of any Restricted Stock Agreement pursuant to which they were issued, including any provision regarding vesting, and such securities, cash, or other property may be held in escrow on such terms as the Board of Directors may direct, to insure compliance with the terms of any such Restricted Stock Agreement.</w:t>
      </w:r>
    </w:p>
    <w:p>
      <w:pPr>
        <w:spacing w:after="0" w:line="176" w:lineRule="exact"/>
        <w:rPr>
          <w:sz w:val="20"/>
          <w:szCs w:val="20"/>
          <w:color w:val="auto"/>
        </w:rPr>
      </w:pPr>
    </w:p>
    <w:p>
      <w:pPr>
        <w:ind w:right="40" w:firstLine="656"/>
        <w:spacing w:after="0" w:line="253" w:lineRule="auto"/>
        <w:tabs>
          <w:tab w:leader="none" w:pos="1296" w:val="left"/>
        </w:tabs>
        <w:numPr>
          <w:ilvl w:val="0"/>
          <w:numId w:val="3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Special Employment Rights. </w:t>
      </w:r>
      <w:r>
        <w:rPr>
          <w:rFonts w:ascii="Times New Roman" w:cs="Times New Roman" w:eastAsia="Times New Roman" w:hAnsi="Times New Roman"/>
          <w:sz w:val="22"/>
          <w:szCs w:val="22"/>
          <w:color w:val="auto"/>
        </w:rPr>
        <w:t>Nothing contained in the Plan or in any Option Agreement or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confer upon any optionee or holder of Restricted Stock any right with respect to the continuation of his or her employment by the Company or interfere in any way with the right of the Company at any time to terminate such employment or to increase or decrease his or her compensation.</w:t>
      </w:r>
    </w:p>
    <w:p>
      <w:pPr>
        <w:spacing w:after="0" w:line="175" w:lineRule="exact"/>
        <w:rPr>
          <w:rFonts w:ascii="Times New Roman" w:cs="Times New Roman" w:eastAsia="Times New Roman" w:hAnsi="Times New Roman"/>
          <w:sz w:val="22"/>
          <w:szCs w:val="22"/>
          <w:b w:val="1"/>
          <w:bCs w:val="1"/>
          <w:color w:val="auto"/>
        </w:rPr>
      </w:pPr>
    </w:p>
    <w:p>
      <w:pPr>
        <w:ind w:right="40" w:firstLine="656"/>
        <w:spacing w:after="0" w:line="251" w:lineRule="auto"/>
        <w:tabs>
          <w:tab w:leader="none" w:pos="1296" w:val="left"/>
        </w:tabs>
        <w:numPr>
          <w:ilvl w:val="0"/>
          <w:numId w:val="3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Employee Benefits. </w:t>
      </w:r>
      <w:r>
        <w:rPr>
          <w:rFonts w:ascii="Times New Roman" w:cs="Times New Roman" w:eastAsia="Times New Roman" w:hAnsi="Times New Roman"/>
          <w:sz w:val="22"/>
          <w:szCs w:val="22"/>
          <w:color w:val="auto"/>
        </w:rPr>
        <w:t>The amount of any compensation deemed to be received by an employee as a result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issuance of shares of Restricted Stock or the grant or exercise of an Option or the sale of shares received upon issuance of a Restricted Stock Award or exercise of an Option will not constitute compensation with respect to which any other employee benefits of such employee are determined, including, without limitation, benefits under any bonus, pension, profit-sharing, life insurance or salary continuation plan, except as otherwise specifically determined by the Board of Directors.</w:t>
      </w:r>
    </w:p>
    <w:p>
      <w:pPr>
        <w:spacing w:after="0" w:line="175"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3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of the Plan.</w:t>
      </w:r>
    </w:p>
    <w:p>
      <w:pPr>
        <w:spacing w:after="0" w:line="224" w:lineRule="exact"/>
        <w:rPr>
          <w:sz w:val="20"/>
          <w:szCs w:val="20"/>
          <w:color w:val="auto"/>
        </w:rPr>
      </w:pPr>
    </w:p>
    <w:p>
      <w:pPr>
        <w:ind w:right="160" w:firstLine="1296"/>
        <w:spacing w:after="0" w:line="250" w:lineRule="auto"/>
        <w:rPr>
          <w:sz w:val="20"/>
          <w:szCs w:val="20"/>
          <w:color w:val="auto"/>
        </w:rPr>
      </w:pPr>
      <w:r>
        <w:rPr>
          <w:rFonts w:ascii="Times New Roman" w:cs="Times New Roman" w:eastAsia="Times New Roman" w:hAnsi="Times New Roman"/>
          <w:sz w:val="22"/>
          <w:szCs w:val="22"/>
          <w:color w:val="auto"/>
        </w:rPr>
        <w:t>18.1 The Board may at any time, and from time to time, modify or amend in any respect or terminate the Plan. If shareholder approval is not obtained within twelve months after any amendment increasing the number of shares authorized under the Plan or changing the class of persons eligible to receive Options under the Plan, no Options granted pursuant to such amendments shall be deemed to be Incentive Stock Options and no Incentive Stock Options shall be issued pursuant to such amendments thereafter.</w:t>
      </w:r>
    </w:p>
    <w:p>
      <w:pPr>
        <w:spacing w:after="0" w:line="181"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22"/>
          <w:szCs w:val="22"/>
          <w:color w:val="auto"/>
        </w:rPr>
        <w:t>18.2 The termination or any modification or amendment of the Plan shall not, without the consent of an optionee or the holder of Restricted Stock, adversely affect his or her rights under an Option or Restricted Stock Award previously granted to him or her. With the consent of the recipient of Restricted Stock or optionee affected, the Board may amend outstanding Restricted Stock Agreements or Option Agreements in a manner not inconsistent with the Plan.</w:t>
      </w:r>
    </w:p>
    <w:p>
      <w:pPr>
        <w:spacing w:after="0" w:line="175" w:lineRule="exact"/>
        <w:rPr>
          <w:sz w:val="20"/>
          <w:szCs w:val="20"/>
          <w:color w:val="auto"/>
        </w:rPr>
      </w:pPr>
    </w:p>
    <w:p>
      <w:pPr>
        <w:ind w:right="200" w:firstLine="656"/>
        <w:spacing w:after="0" w:line="259" w:lineRule="auto"/>
        <w:tabs>
          <w:tab w:leader="none" w:pos="1296" w:val="left"/>
        </w:tabs>
        <w:numPr>
          <w:ilvl w:val="0"/>
          <w:numId w:val="3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Withholding. </w:t>
      </w:r>
      <w:r>
        <w:rPr>
          <w:rFonts w:ascii="Times New Roman" w:cs="Times New Roman" w:eastAsia="Times New Roman" w:hAnsi="Times New Roman"/>
          <w:sz w:val="22"/>
          <w:szCs w:val="22"/>
          <w:color w:val="auto"/>
        </w:rPr>
        <w:t>The Company shall have the right to deduct from payments of any kind otherwise due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optionee or recipient of Restricted Stock, any U.S. federal, state, local, non-U.S., and other taxes of any kind required by law to be withheld with respect to issuance of</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3" w:lineRule="exact"/>
        <w:rPr>
          <w:rFonts w:ascii="Times New Roman" w:cs="Times New Roman" w:eastAsia="Times New Roman" w:hAnsi="Times New Roman"/>
          <w:sz w:val="22"/>
          <w:szCs w:val="22"/>
          <w:b w:val="1"/>
          <w:bCs w:val="1"/>
          <w:color w:val="auto"/>
        </w:rPr>
      </w:pPr>
    </w:p>
    <w:p>
      <w:pPr>
        <w:ind w:left="5540" w:hanging="111"/>
        <w:spacing w:after="0"/>
        <w:tabs>
          <w:tab w:leader="none" w:pos="554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1220"/>
          </w:cols>
          <w:pgMar w:left="320" w:top="1421" w:right="359" w:bottom="1440" w:gutter="0" w:footer="0" w:header="0"/>
        </w:sectPr>
      </w:pPr>
    </w:p>
    <w:bookmarkStart w:id="415" w:name="page416"/>
    <w:bookmarkEnd w:id="415"/>
    <w:p>
      <w:pPr>
        <w:spacing w:after="0" w:line="244" w:lineRule="auto"/>
        <w:rPr>
          <w:sz w:val="20"/>
          <w:szCs w:val="20"/>
          <w:color w:val="auto"/>
        </w:rPr>
      </w:pPr>
      <w:r>
        <w:rPr>
          <w:rFonts w:ascii="Times New Roman" w:cs="Times New Roman" w:eastAsia="Times New Roman" w:hAnsi="Times New Roman"/>
          <w:sz w:val="22"/>
          <w:szCs w:val="22"/>
          <w:color w:val="auto"/>
        </w:rPr>
        <w:t>any shares of Restricted Stock or shares issued upon exercise of Options (“</w:t>
      </w:r>
      <w:r>
        <w:rPr>
          <w:rFonts w:ascii="Times New Roman" w:cs="Times New Roman" w:eastAsia="Times New Roman" w:hAnsi="Times New Roman"/>
          <w:sz w:val="22"/>
          <w:szCs w:val="22"/>
          <w:u w:val="single" w:color="auto"/>
          <w:color w:val="auto"/>
        </w:rPr>
        <w:t>Withholding Obligations</w:t>
      </w:r>
      <w:r>
        <w:rPr>
          <w:rFonts w:ascii="Times New Roman" w:cs="Times New Roman" w:eastAsia="Times New Roman" w:hAnsi="Times New Roman"/>
          <w:sz w:val="22"/>
          <w:szCs w:val="22"/>
          <w:color w:val="auto"/>
        </w:rPr>
        <w:t>”). Prior to delivery of any Class A Common Stock pursuant to the terms of this Plan and any procedures as it may specify from time to time, the Board may permit an optionee or recipient of Restricted Stock to satisfy any applicable Withholding Obligations, in whole or in part by such methods as the Board shall determine, including without limitation: (i) paying cash, (ii) electing to have the Company withhold otherwise deliverable cash or shares of Class A Common Stock having a fair market value equal to the minimum statutory amount required to be withheld or such greater amount as the Board may determine if such amount would not have adverse accounting consequences, as the Board determines in its sole discretion, (iii) delivering to the Company already-owned shares of Class A Common Stock having a fair market value equal to the minimum statutory amount required to be withheld or such greater amount as the Board may determine, in each case, provided the delivery of such shares of Class A Common Stock will not result in any adverse accounting consequences, as the Board determines in its sole discretion, (iv) selling a sufficient number of shares of Class A Common Stock otherwise deliverable to the optionee or recipient of Restricted Stock through such means as the Board may determine in its sole discretion (whether through a broker or otherwise) equal to the amount required to be withheld or paid, (v) such other consideration and method of payment for the meeting of tax liabilities or Withholding Obligations as the Board may determine to the extent permitted by applicable laws, or (vi) any combination of the foregoing methods of payment. The amount of the Withholding Obligations will be deemed to include any amount which the Board agrees may be withheld at the time the election is made, not to exceed the amount determined by using the maximum federal, state or local marginal income tax rates applicable to the optionee or recipient of Restricted Stock with respect to the Option or Restricted Stock Award on the date that the amount of tax to be withheld is to be determined or such greater amount as the Board may determine if such amount would not have adverse accounting consequences, as the Board determines in its sole discretion. The fair market value of the shares of Class A Common Stock to be withheld or delivered will be determined as of the date that the taxes are required to be withheld. A person who has made an election pursuant to this Section 19 may only satisfy his or her withholding obligation with shares of Class A Common Stock which are not subject to any repurchase, forfeiture, unfulfilled vesting or other similar restrictions.</w:t>
      </w:r>
    </w:p>
    <w:p>
      <w:pPr>
        <w:spacing w:after="0" w:line="196" w:lineRule="exact"/>
        <w:rPr>
          <w:sz w:val="20"/>
          <w:szCs w:val="20"/>
          <w:color w:val="auto"/>
        </w:rPr>
      </w:pPr>
    </w:p>
    <w:p>
      <w:pPr>
        <w:ind w:left="1300" w:hanging="644"/>
        <w:spacing w:after="0"/>
        <w:tabs>
          <w:tab w:leader="none" w:pos="1300" w:val="left"/>
        </w:tabs>
        <w:numPr>
          <w:ilvl w:val="0"/>
          <w:numId w:val="3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Effective Date and Duration of the Plan.</w:t>
      </w:r>
    </w:p>
    <w:p>
      <w:pPr>
        <w:spacing w:after="0" w:line="220" w:lineRule="exact"/>
        <w:rPr>
          <w:sz w:val="20"/>
          <w:szCs w:val="20"/>
          <w:color w:val="auto"/>
        </w:rPr>
      </w:pPr>
    </w:p>
    <w:p>
      <w:pPr>
        <w:jc w:val="both"/>
        <w:ind w:right="220" w:firstLine="1296"/>
        <w:spacing w:after="0" w:line="264" w:lineRule="auto"/>
        <w:rPr>
          <w:sz w:val="20"/>
          <w:szCs w:val="20"/>
          <w:color w:val="auto"/>
        </w:rPr>
      </w:pPr>
      <w:r>
        <w:rPr>
          <w:rFonts w:ascii="Times New Roman" w:cs="Times New Roman" w:eastAsia="Times New Roman" w:hAnsi="Times New Roman"/>
          <w:sz w:val="21"/>
          <w:szCs w:val="21"/>
          <w:color w:val="auto"/>
        </w:rPr>
        <w:t xml:space="preserve">20.1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xml:space="preserve"> The Plan shall become effective when adopted by the Board of Directors. If shareholder approval is not obtained within twelve months after the date of the Board’s adoption of the Plan, no Options previously granted under the Plan shall be deemed to be Incentive Stock Options and no Incentive Stock Options shall be granted thereafter.</w:t>
      </w:r>
    </w:p>
    <w:p>
      <w:pPr>
        <w:spacing w:after="0" w:line="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Amendments to the Plan not requiring shareholder approval shall become effective when adopted by the Board. Amendments requiring shareholder approval shall become effective when adopted by the Board, but if shareholder approval is not obtained within twelve months of the Board’s adoption of such amendment, any Incentive Stock Options granted pursuant to such amendment shall be deemed to be non-statutory Options provided that such Options are authorized by the Plan. Subject to this limitation, Options may be granted under the Plan at any time after the effective date and before the date fixed for termination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21" w:right="359" w:bottom="1440" w:gutter="0" w:footer="0" w:header="0"/>
        </w:sectPr>
      </w:pPr>
    </w:p>
    <w:bookmarkStart w:id="416" w:name="page417"/>
    <w:bookmarkEnd w:id="416"/>
    <w:p>
      <w:pPr>
        <w:ind w:right="140" w:firstLine="1296"/>
        <w:spacing w:after="0" w:line="275"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xml:space="preserve"> Unless sooner terminated by action of the Board of Directors, the Plan shall terminate upon the close of business on the day next preceding the tenth anniversary of the date of its adoption by the Board of Directors.</w:t>
      </w:r>
    </w:p>
    <w:p>
      <w:pPr>
        <w:spacing w:after="0" w:line="149" w:lineRule="exact"/>
        <w:rPr>
          <w:sz w:val="20"/>
          <w:szCs w:val="20"/>
          <w:color w:val="auto"/>
        </w:rPr>
      </w:pPr>
    </w:p>
    <w:p>
      <w:pPr>
        <w:jc w:val="both"/>
        <w:ind w:firstLine="656"/>
        <w:spacing w:after="0" w:line="253" w:lineRule="auto"/>
        <w:tabs>
          <w:tab w:leader="none" w:pos="1296" w:val="left"/>
        </w:tabs>
        <w:numPr>
          <w:ilvl w:val="0"/>
          <w:numId w:val="3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Provision for Foreign Participants. </w:t>
      </w:r>
      <w:r>
        <w:rPr>
          <w:rFonts w:ascii="Times New Roman" w:cs="Times New Roman" w:eastAsia="Times New Roman" w:hAnsi="Times New Roman"/>
          <w:sz w:val="22"/>
          <w:szCs w:val="22"/>
          <w:color w:val="auto"/>
        </w:rPr>
        <w:t>The Board of Directors may, without amending the Plan, modify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Agreements or Restricted Stock Agreements to differ from those specified in the Plan with respect to participants who are foreign nationals or employed outside the United States to recognize differences in laws, rules, regulations or customs of such foreign jurisdictions with respect to tax, securities, currency, employee benefit or other matters.</w:t>
      </w:r>
    </w:p>
    <w:p>
      <w:pPr>
        <w:spacing w:after="0" w:line="175" w:lineRule="exact"/>
        <w:rPr>
          <w:rFonts w:ascii="Times New Roman" w:cs="Times New Roman" w:eastAsia="Times New Roman" w:hAnsi="Times New Roman"/>
          <w:sz w:val="22"/>
          <w:szCs w:val="22"/>
          <w:b w:val="1"/>
          <w:bCs w:val="1"/>
          <w:color w:val="auto"/>
        </w:rPr>
      </w:pPr>
    </w:p>
    <w:p>
      <w:pPr>
        <w:ind w:right="40" w:firstLine="656"/>
        <w:spacing w:after="0" w:line="245" w:lineRule="auto"/>
        <w:tabs>
          <w:tab w:leader="none" w:pos="1296" w:val="left"/>
        </w:tabs>
        <w:numPr>
          <w:ilvl w:val="0"/>
          <w:numId w:val="3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Requirements of Law. </w:t>
      </w:r>
      <w:r>
        <w:rPr>
          <w:rFonts w:ascii="Times New Roman" w:cs="Times New Roman" w:eastAsia="Times New Roman" w:hAnsi="Times New Roman"/>
          <w:sz w:val="22"/>
          <w:szCs w:val="22"/>
          <w:color w:val="auto"/>
        </w:rPr>
        <w:t>The Company shall not be required to sell or issue any shares under any Option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Award if the issuance of such shares shall constitute a violation by the optionee, the Restricted Stock Award recipient, or by the Company of any provision of any law or regulation of any governmental authority. In addition, in connection with the Act, the Company shall not be required to issue any shares upon exercise of any Option unless the Company has received evidence satisfactory to it to the effect that the holder of such Option will not transfer such shares except pursuant to a registration statement in effect under the Act or unless an opinion of counsel satisfactory to the Company has been received by the Company to the effect that such registration is not required in connection with any such transfer. Any determination in this connection by the Board shall be final, binding and conclusive. In the event the shares issuable on exercise of an Option are not registered under the Act or under the securities laws of each relevant state or other jurisdiction, the Company may imprint on the certificate(s) appropriate legends that counsel for the Company considers necessary or advisable to comply with the Act or any such state or other securities law. The Company may register, but in no event shall be obligated to register, any securities covered by the Plan pursuant to the Act; and in the event any shares are so registered the Company may remove any legend on certificates representing such shares. The Company shall not be obligated to take any affirmative action in order to cause the exercise of an Option, the grant of any Restricted Stock Award or the issuance of shares pursuant thereto to comply with any law or regulation of any governmental authority.</w:t>
      </w:r>
    </w:p>
    <w:p>
      <w:pPr>
        <w:spacing w:after="0" w:line="189" w:lineRule="exact"/>
        <w:rPr>
          <w:rFonts w:ascii="Times New Roman" w:cs="Times New Roman" w:eastAsia="Times New Roman" w:hAnsi="Times New Roman"/>
          <w:sz w:val="22"/>
          <w:szCs w:val="22"/>
          <w:b w:val="1"/>
          <w:bCs w:val="1"/>
          <w:color w:val="auto"/>
        </w:rPr>
      </w:pPr>
    </w:p>
    <w:p>
      <w:pPr>
        <w:ind w:right="20" w:firstLine="656"/>
        <w:spacing w:after="0" w:line="246" w:lineRule="auto"/>
        <w:tabs>
          <w:tab w:leader="none" w:pos="1296" w:val="left"/>
        </w:tabs>
        <w:numPr>
          <w:ilvl w:val="0"/>
          <w:numId w:val="3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Conversion of Incentive Stock Options into Non-Qualified Options; Termination. </w:t>
      </w:r>
      <w:r>
        <w:rPr>
          <w:rFonts w:ascii="Times New Roman" w:cs="Times New Roman" w:eastAsia="Times New Roman" w:hAnsi="Times New Roman"/>
          <w:sz w:val="22"/>
          <w:szCs w:val="22"/>
          <w:color w:val="auto"/>
        </w:rPr>
        <w:t>The Board of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consent of any optionee, may in its discretion take such actions as may be necessary to convert such optionee’s Incentive Stock Options (or any installments or portions of installments thereof) that have not been exercised on the date of conversion into non-statutory Options at any time prior to the expiration of such Incentive Stock Options, regardless of whether the optionee is an employee of the Company or a parent or subsidiary of the Company at the time of such conversion. At the time of such conversion, the Board of Directors (with the consent of the optionee) may impose such conditions on the exercise of the resulting non-statutory Options as the Board of Directors in its discretion may determine, provided that such conditions shall not be inconsistent with this Plan. Nothing in this Plan shall be deemed to give any optionee the right to have such optionee’s Incentive Stock Options converted into non-statutory Options, and no such conversion shall occur until and unless the Board of Directors takes appropriate action. The Board of Directors, with the consent</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24" w:lineRule="exact"/>
        <w:rPr>
          <w:rFonts w:ascii="Times New Roman" w:cs="Times New Roman" w:eastAsia="Times New Roman" w:hAnsi="Times New Roman"/>
          <w:sz w:val="22"/>
          <w:szCs w:val="22"/>
          <w:b w:val="1"/>
          <w:bCs w:val="1"/>
          <w:color w:val="auto"/>
        </w:rPr>
      </w:pPr>
    </w:p>
    <w:p>
      <w:pPr>
        <w:ind w:left="5540" w:hanging="111"/>
        <w:spacing w:after="0"/>
        <w:tabs>
          <w:tab w:leader="none" w:pos="554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1240"/>
          </w:cols>
          <w:pgMar w:left="320" w:top="1417" w:right="339" w:bottom="1440" w:gutter="0" w:footer="0" w:header="0"/>
        </w:sectPr>
      </w:pPr>
    </w:p>
    <w:bookmarkStart w:id="417" w:name="page418"/>
    <w:bookmarkEnd w:id="417"/>
    <w:p>
      <w:pPr>
        <w:ind w:right="440"/>
        <w:spacing w:after="0" w:line="271" w:lineRule="auto"/>
        <w:rPr>
          <w:sz w:val="20"/>
          <w:szCs w:val="20"/>
          <w:color w:val="auto"/>
        </w:rPr>
      </w:pPr>
      <w:r>
        <w:rPr>
          <w:rFonts w:ascii="Times New Roman" w:cs="Times New Roman" w:eastAsia="Times New Roman" w:hAnsi="Times New Roman"/>
          <w:sz w:val="22"/>
          <w:szCs w:val="22"/>
          <w:color w:val="auto"/>
        </w:rPr>
        <w:t>of the optionee, may also terminate any portion of any Incentive Stock Option that has not been exercised at the time of such termination.</w:t>
      </w:r>
    </w:p>
    <w:p>
      <w:pPr>
        <w:spacing w:after="0" w:line="154" w:lineRule="exact"/>
        <w:rPr>
          <w:sz w:val="20"/>
          <w:szCs w:val="20"/>
          <w:color w:val="auto"/>
        </w:rPr>
      </w:pPr>
    </w:p>
    <w:p>
      <w:pPr>
        <w:ind w:firstLine="656"/>
        <w:spacing w:after="0" w:line="251" w:lineRule="auto"/>
        <w:tabs>
          <w:tab w:leader="none" w:pos="1296" w:val="left"/>
        </w:tabs>
        <w:numPr>
          <w:ilvl w:val="0"/>
          <w:numId w:val="3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Non-Exclusivity of this Plan; Non-Uniform Determinations. </w:t>
      </w:r>
      <w:r>
        <w:rPr>
          <w:rFonts w:ascii="Times New Roman" w:cs="Times New Roman" w:eastAsia="Times New Roman" w:hAnsi="Times New Roman"/>
          <w:sz w:val="22"/>
          <w:szCs w:val="22"/>
          <w:color w:val="auto"/>
        </w:rPr>
        <w:t>Neither the adoption of this Plan by the Board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nor the approval of this Plan by the stockholders of the Company shall be construed as creating any limitations on the power of the Board of Directors to adopt such other incentive arrangements as it may deem desirable, including, without limitation, the granting of stock options otherwise than under this Plan, and such arrangements may be either applicable generally or only in specific cases.</w:t>
      </w:r>
    </w:p>
    <w:p>
      <w:pPr>
        <w:spacing w:after="0" w:line="180"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The determinations of the Board of Directors under this Plan need not be uniform and may be made by it selectively among persons who receive or are eligible to receive Options or Restricted Stock Awards under this Plan (whether or not such persons are similarly situated). Without limiting the generality of the foregoing, the Board of Directors shall be entitled, among other things, to make non-uniform and selective determinations, and to enter into non-uniform and selective Option Agreements and Restricted Stock Agreements, as to (a) the persons to receive Options or Restricted Stock Awards under this Plan, (b) the terms and provisions of Options or Restricted Stock Awards, (c) the exercise by the Board of Directors of its discretion in respect of the exercise of Options pursuant to the terms of this Plan, and (d) the treatment of leaves of absence pursuant to Section 10 hereof.</w:t>
      </w:r>
    </w:p>
    <w:p>
      <w:pPr>
        <w:spacing w:after="0" w:line="181" w:lineRule="exact"/>
        <w:rPr>
          <w:sz w:val="20"/>
          <w:szCs w:val="20"/>
          <w:color w:val="auto"/>
        </w:rPr>
      </w:pPr>
    </w:p>
    <w:p>
      <w:pPr>
        <w:ind w:right="580" w:firstLine="656"/>
        <w:spacing w:after="0" w:line="275" w:lineRule="auto"/>
        <w:tabs>
          <w:tab w:leader="none" w:pos="1296" w:val="left"/>
        </w:tabs>
        <w:numPr>
          <w:ilvl w:val="0"/>
          <w:numId w:val="3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Plan and each Option or Restricted Stock Award shall be governed by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Commonwealth of Massachusetts, without regard to its principles of conflicts of law.</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385" w:lineRule="exact"/>
        <w:rPr>
          <w:rFonts w:ascii="Times New Roman" w:cs="Times New Roman" w:eastAsia="Times New Roman" w:hAnsi="Times New Roman"/>
          <w:sz w:val="22"/>
          <w:szCs w:val="22"/>
          <w:b w:val="1"/>
          <w:bCs w:val="1"/>
          <w:color w:val="auto"/>
        </w:rPr>
      </w:pPr>
    </w:p>
    <w:p>
      <w:pPr>
        <w:ind w:left="5540" w:hanging="111"/>
        <w:spacing w:after="0"/>
        <w:tabs>
          <w:tab w:leader="none" w:pos="554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1220"/>
          </w:cols>
          <w:pgMar w:left="320" w:top="1421" w:right="359" w:bottom="1440" w:gutter="0" w:footer="0" w:header="0"/>
        </w:sectPr>
      </w:pPr>
    </w:p>
    <w:bookmarkStart w:id="418" w:name="page419"/>
    <w:bookmarkEnd w:id="418"/>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2020 RSU EQUITY INCENTIVE PLAN</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(As amended and restated November 18, 2020)</w:t>
      </w:r>
    </w:p>
    <w:p>
      <w:pPr>
        <w:spacing w:after="0" w:line="196" w:lineRule="exact"/>
        <w:rPr>
          <w:sz w:val="20"/>
          <w:szCs w:val="20"/>
          <w:color w:val="auto"/>
        </w:rPr>
      </w:pPr>
    </w:p>
    <w:p>
      <w:pPr>
        <w:ind w:left="1300" w:hanging="644"/>
        <w:spacing w:after="0"/>
        <w:tabs>
          <w:tab w:leader="none" w:pos="1300"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Purposes of the Plan</w:t>
      </w:r>
      <w:r>
        <w:rPr>
          <w:rFonts w:ascii="Times New Roman" w:cs="Times New Roman" w:eastAsia="Times New Roman" w:hAnsi="Times New Roman"/>
          <w:sz w:val="22"/>
          <w:szCs w:val="22"/>
          <w:color w:val="auto"/>
        </w:rPr>
        <w:t>. The purposes of this Plan are:</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attract and retain the best available personnel for positions of substantial responsibility,</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additional incentive to Employees, Directors and Consultants, and</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promote the success of the Company’s business.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Plan permits the grant of Restricted Stock Units.</w:t>
      </w:r>
    </w:p>
    <w:p>
      <w:pPr>
        <w:spacing w:after="0" w:line="220" w:lineRule="exact"/>
        <w:rPr>
          <w:sz w:val="20"/>
          <w:szCs w:val="20"/>
          <w:color w:val="auto"/>
        </w:rPr>
      </w:pPr>
    </w:p>
    <w:p>
      <w:pPr>
        <w:ind w:left="1300" w:hanging="644"/>
        <w:spacing w:after="0"/>
        <w:tabs>
          <w:tab w:leader="none" w:pos="1300"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herein, the following definitions will apply:</w:t>
      </w:r>
    </w:p>
    <w:p>
      <w:pPr>
        <w:spacing w:after="0" w:line="219" w:lineRule="exact"/>
        <w:rPr>
          <w:rFonts w:ascii="Times New Roman" w:cs="Times New Roman" w:eastAsia="Times New Roman" w:hAnsi="Times New Roman"/>
          <w:sz w:val="22"/>
          <w:szCs w:val="22"/>
          <w:color w:val="auto"/>
        </w:rPr>
      </w:pPr>
    </w:p>
    <w:p>
      <w:pPr>
        <w:ind w:right="20" w:firstLine="1304"/>
        <w:spacing w:after="0" w:line="271" w:lineRule="auto"/>
        <w:tabs>
          <w:tab w:leader="none" w:pos="1941"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means the Board or any of its Committees as will be administering the Plan, in accordance with Section 4 of the Plan.</w:t>
      </w:r>
    </w:p>
    <w:p>
      <w:pPr>
        <w:spacing w:after="0" w:line="15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8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individually or collectively, a grant under the Plan of Restricted Stock Units.</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means the written or electronic agreement setting forth the terms and provisions applicable to each Award granted under the Plan. The Award Agreement is subject to the terms and conditions of the Plan.</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1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occurrence of any of the following events:</w:t>
      </w:r>
    </w:p>
    <w:p>
      <w:pPr>
        <w:spacing w:after="0" w:line="219"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0" w:val="left"/>
        </w:tabs>
        <w:numPr>
          <w:ilvl w:val="2"/>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Ownership of the Company</w:t>
      </w:r>
      <w:r>
        <w:rPr>
          <w:rFonts w:ascii="Times New Roman" w:cs="Times New Roman" w:eastAsia="Times New Roman" w:hAnsi="Times New Roman"/>
          <w:sz w:val="22"/>
          <w:szCs w:val="22"/>
          <w:color w:val="auto"/>
        </w:rPr>
        <w:t>. A change in the ownership of the Company which occurs on the date that any one person, or more than one person acting as a group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w:t>
      </w:r>
    </w:p>
    <w:p>
      <w:pPr>
        <w:sectPr>
          <w:pgSz w:w="11900" w:h="16838" w:orient="portrait"/>
          <w:cols w:equalWidth="0" w:num="1">
            <w:col w:w="11240"/>
          </w:cols>
          <w:pgMar w:left="320" w:top="117" w:right="339" w:bottom="1440" w:gutter="0" w:footer="0" w:header="0"/>
        </w:sectPr>
      </w:pPr>
    </w:p>
    <w:bookmarkStart w:id="419" w:name="page420"/>
    <w:bookmarkEnd w:id="419"/>
    <w:p>
      <w:pPr>
        <w:jc w:val="both"/>
        <w:spacing w:after="0" w:line="246" w:lineRule="auto"/>
        <w:rPr>
          <w:sz w:val="20"/>
          <w:szCs w:val="20"/>
          <w:color w:val="auto"/>
        </w:rPr>
      </w:pPr>
      <w:r>
        <w:rPr>
          <w:rFonts w:ascii="Times New Roman" w:cs="Times New Roman" w:eastAsia="Times New Roman" w:hAnsi="Times New Roman"/>
          <w:sz w:val="22"/>
          <w:szCs w:val="22"/>
          <w:color w:val="auto"/>
        </w:rPr>
        <w:t>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91" w:lineRule="exact"/>
        <w:rPr>
          <w:sz w:val="20"/>
          <w:szCs w:val="20"/>
          <w:color w:val="auto"/>
        </w:rPr>
      </w:pPr>
    </w:p>
    <w:p>
      <w:pPr>
        <w:jc w:val="both"/>
        <w:ind w:firstLine="1952"/>
        <w:spacing w:after="0" w:line="248" w:lineRule="auto"/>
        <w:tabs>
          <w:tab w:leader="none" w:pos="2586"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Effective Control of the Company</w:t>
      </w:r>
      <w:r>
        <w:rPr>
          <w:rFonts w:ascii="Times New Roman" w:cs="Times New Roman" w:eastAsia="Times New Roman" w:hAnsi="Times New Roman"/>
          <w:sz w:val="22"/>
          <w:szCs w:val="22"/>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86" w:lineRule="exact"/>
        <w:rPr>
          <w:rFonts w:ascii="Times New Roman" w:cs="Times New Roman" w:eastAsia="Times New Roman" w:hAnsi="Times New Roman"/>
          <w:sz w:val="22"/>
          <w:szCs w:val="22"/>
          <w:color w:val="auto"/>
        </w:rPr>
      </w:pPr>
    </w:p>
    <w:p>
      <w:pPr>
        <w:jc w:val="both"/>
        <w:ind w:firstLine="1952"/>
        <w:spacing w:after="0" w:line="258" w:lineRule="auto"/>
        <w:tabs>
          <w:tab w:leader="none" w:pos="2700" w:val="left"/>
        </w:tabs>
        <w:numPr>
          <w:ilvl w:val="1"/>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Ownership of a Substantial Portion of the Company’s Assets</w:t>
      </w:r>
      <w:r>
        <w:rPr>
          <w:rFonts w:ascii="Times New Roman" w:cs="Times New Roman" w:eastAsia="Times New Roman" w:hAnsi="Times New Roman"/>
          <w:sz w:val="21"/>
          <w:szCs w:val="21"/>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w:t>
      </w:r>
    </w:p>
    <w:p>
      <w:pPr>
        <w:spacing w:after="0" w:line="5" w:lineRule="exact"/>
        <w:rPr>
          <w:rFonts w:ascii="Times New Roman" w:cs="Times New Roman" w:eastAsia="Times New Roman" w:hAnsi="Times New Roman"/>
          <w:sz w:val="21"/>
          <w:szCs w:val="21"/>
          <w:color w:val="auto"/>
        </w:rPr>
      </w:pPr>
    </w:p>
    <w:p>
      <w:pPr>
        <w:jc w:val="both"/>
        <w:ind w:firstLine="8"/>
        <w:spacing w:after="0" w:line="244" w:lineRule="auto"/>
        <w:tabs>
          <w:tab w:leader="none" w:pos="374"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86"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22"/>
          <w:szCs w:val="22"/>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1" w:right="339" w:bottom="1440" w:gutter="0" w:footer="0" w:header="0"/>
        </w:sectPr>
      </w:pPr>
    </w:p>
    <w:bookmarkStart w:id="420" w:name="page421"/>
    <w:bookmarkEnd w:id="420"/>
    <w:p>
      <w:pPr>
        <w:jc w:val="both"/>
        <w:ind w:firstLine="1944"/>
        <w:spacing w:after="0" w:line="252"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9"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22"/>
          <w:szCs w:val="22"/>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79" w:lineRule="exact"/>
        <w:rPr>
          <w:sz w:val="20"/>
          <w:szCs w:val="20"/>
          <w:color w:val="auto"/>
        </w:rPr>
      </w:pPr>
    </w:p>
    <w:p>
      <w:pPr>
        <w:jc w:val="both"/>
        <w:ind w:firstLine="1304"/>
        <w:spacing w:after="0" w:line="268" w:lineRule="auto"/>
        <w:tabs>
          <w:tab w:leader="none" w:pos="1939" w:val="left"/>
        </w:tabs>
        <w:numPr>
          <w:ilvl w:val="0"/>
          <w:numId w:val="3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 Reference to a specific section of the Code or regulation thereunder will include such section or regulation, any valid regulation or formal guidance of general or direct applicability promulgated under such section or regulation (and any comparable provision of any future legislation, regulation or formal guidance of general or direct applicability amending, supplementing or superseding such section or regulation).</w:t>
      </w:r>
    </w:p>
    <w:p>
      <w:pPr>
        <w:spacing w:after="0" w:line="163" w:lineRule="exact"/>
        <w:rPr>
          <w:rFonts w:ascii="Times New Roman" w:cs="Times New Roman" w:eastAsia="Times New Roman" w:hAnsi="Times New Roman"/>
          <w:sz w:val="21"/>
          <w:szCs w:val="21"/>
          <w:color w:val="auto"/>
        </w:rPr>
      </w:pPr>
    </w:p>
    <w:p>
      <w:pPr>
        <w:ind w:right="20" w:firstLine="1304"/>
        <w:spacing w:after="0" w:line="271" w:lineRule="auto"/>
        <w:tabs>
          <w:tab w:leader="none" w:pos="1939"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a committee of Directors or of other individuals satisfying Applicable Laws appointed by the Board, or by a duly authorized committee of the Board, in accordance with Section 4 hereof.</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Class A Common Stock of the Company.</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Seer, Inc., a Delaware corporation, or any successor thereto.</w:t>
      </w:r>
    </w:p>
    <w:p>
      <w:pPr>
        <w:spacing w:after="0" w:line="21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8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 member of the Board.</w:t>
      </w:r>
    </w:p>
    <w:p>
      <w:pPr>
        <w:spacing w:after="0" w:line="219"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932"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total and permanent disability as defined in Code Section 22(e)(3), provided that the Administrator in its discretion may determine whether a permanent and total disability exists in accordance with uniform and non-discriminatory standards adopted by the Administrator from time to time.</w:t>
      </w:r>
    </w:p>
    <w:p>
      <w:pPr>
        <w:spacing w:after="0" w:line="172" w:lineRule="exact"/>
        <w:rPr>
          <w:rFonts w:ascii="Times New Roman" w:cs="Times New Roman" w:eastAsia="Times New Roman" w:hAnsi="Times New Roman"/>
          <w:sz w:val="22"/>
          <w:szCs w:val="22"/>
          <w:color w:val="auto"/>
        </w:rPr>
      </w:pPr>
    </w:p>
    <w:p>
      <w:pPr>
        <w:ind w:right="20" w:firstLine="1304"/>
        <w:spacing w:after="0" w:line="271" w:lineRule="auto"/>
        <w:tabs>
          <w:tab w:leader="none" w:pos="1939"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any person, including officers and Directors, employed by the Company or any Parent or Subsidiary of the Company. Neither service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1" w:right="33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22"/>
          <w:szCs w:val="22"/>
          <w:color w:val="auto"/>
        </w:rPr>
        <w:t>Director nor payment of a director’s fee by the Company will be sufficient to constitute “employment” by the Company.</w:t>
      </w:r>
    </w:p>
    <w:p>
      <w:pPr>
        <w:spacing w:after="0" w:line="220" w:lineRule="exact"/>
        <w:rPr>
          <w:sz w:val="20"/>
          <w:szCs w:val="20"/>
          <w:color w:val="auto"/>
        </w:rPr>
      </w:pPr>
    </w:p>
    <w:p>
      <w:pPr>
        <w:ind w:left="1940" w:hanging="636"/>
        <w:spacing w:after="0"/>
        <w:tabs>
          <w:tab w:leader="none" w:pos="194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U.S. Securities Exchange Act of 1934, as amended.</w:t>
      </w:r>
    </w:p>
    <w:p>
      <w:pPr>
        <w:spacing w:after="0" w:line="219"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39" w:val="left"/>
        </w:tabs>
        <w:numPr>
          <w:ilvl w:val="0"/>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Program</w:t>
      </w:r>
      <w:r>
        <w:rPr>
          <w:rFonts w:ascii="Times New Roman" w:cs="Times New Roman" w:eastAsia="Times New Roman" w:hAnsi="Times New Roman"/>
          <w:sz w:val="21"/>
          <w:szCs w:val="21"/>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165"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as of any date, the value of Common Stock determined as follows:</w:t>
      </w:r>
    </w:p>
    <w:p>
      <w:pPr>
        <w:spacing w:after="0" w:line="219"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0" w:val="left"/>
        </w:tabs>
        <w:numPr>
          <w:ilvl w:val="1"/>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if no closing sales price was reported on that date, as applicable, on the last trading date such closing sales price was reported) as quoted on such exchange or system on the day of determination,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86" w:lineRule="exact"/>
        <w:rPr>
          <w:rFonts w:ascii="Times New Roman" w:cs="Times New Roman" w:eastAsia="Times New Roman" w:hAnsi="Times New Roman"/>
          <w:sz w:val="22"/>
          <w:szCs w:val="22"/>
          <w:color w:val="auto"/>
        </w:rPr>
      </w:pPr>
    </w:p>
    <w:p>
      <w:pPr>
        <w:jc w:val="both"/>
        <w:ind w:firstLine="1952"/>
        <w:spacing w:after="0" w:line="268" w:lineRule="auto"/>
        <w:tabs>
          <w:tab w:leader="none" w:pos="2586" w:val="left"/>
        </w:tabs>
        <w:numPr>
          <w:ilvl w:val="1"/>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Times New Roman" w:cs="Times New Roman" w:eastAsia="Times New Roman" w:hAnsi="Times New Roman"/>
          <w:sz w:val="21"/>
          <w:szCs w:val="21"/>
          <w:i w:val="1"/>
          <w:iCs w:val="1"/>
          <w:color w:val="auto"/>
        </w:rPr>
        <w:t>The Wall Street Journal</w:t>
      </w:r>
      <w:r>
        <w:rPr>
          <w:rFonts w:ascii="Times New Roman" w:cs="Times New Roman" w:eastAsia="Times New Roman" w:hAnsi="Times New Roman"/>
          <w:sz w:val="21"/>
          <w:szCs w:val="21"/>
          <w:color w:val="auto"/>
        </w:rPr>
        <w:t xml:space="preserve"> or such other source as the Administrator deems reliable; or</w:t>
      </w:r>
    </w:p>
    <w:p>
      <w:pPr>
        <w:spacing w:after="0" w:line="163" w:lineRule="exact"/>
        <w:rPr>
          <w:rFonts w:ascii="Times New Roman" w:cs="Times New Roman" w:eastAsia="Times New Roman" w:hAnsi="Times New Roman"/>
          <w:sz w:val="21"/>
          <w:szCs w:val="21"/>
          <w:color w:val="auto"/>
        </w:rPr>
      </w:pPr>
    </w:p>
    <w:p>
      <w:pPr>
        <w:ind w:firstLine="1952"/>
        <w:spacing w:after="0" w:line="271" w:lineRule="auto"/>
        <w:tabs>
          <w:tab w:leader="none" w:pos="2592" w:val="left"/>
        </w:tabs>
        <w:numPr>
          <w:ilvl w:val="1"/>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 established market for the Common Stock, the Fair Market Value will be determined in good faith by the Administrator.</w:t>
      </w:r>
    </w:p>
    <w:p>
      <w:pPr>
        <w:spacing w:after="0" w:line="15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a  “parent  corporation,”  whether  now  or  hereafter  existing,  as  defined  in  Code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424(e).</w:t>
      </w:r>
    </w:p>
    <w:p>
      <w:pPr>
        <w:spacing w:after="0" w:line="19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the holder of an outstanding Award.</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this 2020 RSU Equity Incentive Plan.</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 Unit</w:t>
      </w:r>
      <w:r>
        <w:rPr>
          <w:rFonts w:ascii="Times New Roman" w:cs="Times New Roman" w:eastAsia="Times New Roman" w:hAnsi="Times New Roman"/>
          <w:sz w:val="22"/>
          <w:szCs w:val="22"/>
          <w:color w:val="auto"/>
        </w:rPr>
        <w:t>” means a bookkeeping entry representing an amount equal to the Fair Market Value of one Share, granted pursuant to Section 6. Each Restricted Stock Unit represents an unfunded and unsecured obligation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1" w:right="339" w:bottom="1440" w:gutter="0" w:footer="0" w:header="0"/>
        </w:sectPr>
      </w:pPr>
    </w:p>
    <w:bookmarkStart w:id="422" w:name="page423"/>
    <w:bookmarkEnd w:id="422"/>
    <w:p>
      <w:pPr>
        <w:ind w:firstLine="1304"/>
        <w:spacing w:after="0" w:line="271" w:lineRule="auto"/>
        <w:tabs>
          <w:tab w:leader="none" w:pos="1939"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Code Section 409A and the Treasury Regulations and guidance thereunder, and any applicable state law equivalent, as each may be promulgated, amended or modified from time to time.</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U.S. Securities Act of 1933, as amended.</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Provider</w:t>
      </w:r>
      <w:r>
        <w:rPr>
          <w:rFonts w:ascii="Times New Roman" w:cs="Times New Roman" w:eastAsia="Times New Roman" w:hAnsi="Times New Roman"/>
          <w:sz w:val="22"/>
          <w:szCs w:val="22"/>
          <w:color w:val="auto"/>
        </w:rPr>
        <w:t>” means an Employee, Director or Consultant.</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means a share of the Common Stock, as adjusted in accordance with Section 10 of the Plan.</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 “subsidiary corporation,” whether now or hereafter existing, as defined in Code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424(f).</w:t>
      </w:r>
    </w:p>
    <w:p>
      <w:pPr>
        <w:spacing w:after="0" w:line="19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Subject to the Plan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Subject to the Plan</w:t>
      </w:r>
      <w:r>
        <w:rPr>
          <w:rFonts w:ascii="Times New Roman" w:cs="Times New Roman" w:eastAsia="Times New Roman" w:hAnsi="Times New Roman"/>
          <w:sz w:val="22"/>
          <w:szCs w:val="22"/>
          <w:color w:val="auto"/>
        </w:rPr>
        <w:t>. Subject to the provisions of Section 10 of the Plan, the maximum aggregate number of Shares that may be subject to Awards and sold under the Plan is 817,319 Shares. The Shares may be authorized but unissued, or reacquired Common Stock.</w:t>
      </w:r>
    </w:p>
    <w:p>
      <w:pPr>
        <w:spacing w:after="0" w:line="172"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39" w:val="left"/>
        </w:tabs>
        <w:numPr>
          <w:ilvl w:val="1"/>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Lapsed Awards</w:t>
      </w:r>
      <w:r>
        <w:rPr>
          <w:rFonts w:ascii="Times New Roman" w:cs="Times New Roman" w:eastAsia="Times New Roman" w:hAnsi="Times New Roman"/>
          <w:sz w:val="22"/>
          <w:szCs w:val="22"/>
          <w:color w:val="auto"/>
        </w:rPr>
        <w:t>. If an Award expires or becomes unexercisable without having been exercised in full, is surrendered pursuant to an Exchange Program, or, is forfeited to or repurchased by the Company due to the failure to vest, the forfeited or repurchased Shares which were subject thereto will become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Units are repurchased by the Company or are forfeited to the Company due to the failure to vest, such Shares will become available for future grant under the Plan. Shares used to pay the exercise price of an Award or to satisfy the tax withholdings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187"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Reserve</w:t>
      </w:r>
      <w:r>
        <w:rPr>
          <w:rFonts w:ascii="Times New Roman" w:cs="Times New Roman" w:eastAsia="Times New Roman" w:hAnsi="Times New Roman"/>
          <w:sz w:val="22"/>
          <w:szCs w:val="22"/>
          <w:color w:val="auto"/>
        </w:rPr>
        <w:t>. The Company, during the term of this Plan, will at all times reserve and keep available such number of Shares as will be sufficient to satisfy the requirements of the Plan.</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Plan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20" w:firstLine="1952"/>
        <w:spacing w:after="0" w:line="271" w:lineRule="auto"/>
        <w:tabs>
          <w:tab w:leader="none" w:pos="2580" w:val="left"/>
        </w:tabs>
        <w:numPr>
          <w:ilvl w:val="2"/>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Multiple Administrative Bodies</w:t>
      </w:r>
      <w:r>
        <w:rPr>
          <w:rFonts w:ascii="Times New Roman" w:cs="Times New Roman" w:eastAsia="Times New Roman" w:hAnsi="Times New Roman"/>
          <w:sz w:val="22"/>
          <w:szCs w:val="22"/>
          <w:color w:val="auto"/>
        </w:rPr>
        <w:t>. Different Committees with respect to different groups of Service Providers may administer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1" w:right="339" w:bottom="1440" w:gutter="0" w:footer="0" w:header="0"/>
        </w:sectPr>
      </w:pPr>
    </w:p>
    <w:bookmarkStart w:id="423" w:name="page424"/>
    <w:bookmarkEnd w:id="423"/>
    <w:p>
      <w:pPr>
        <w:ind w:left="-20" w:firstLine="1952"/>
        <w:spacing w:after="0" w:line="271" w:lineRule="auto"/>
        <w:tabs>
          <w:tab w:leader="none" w:pos="2566" w:val="left"/>
        </w:tabs>
        <w:numPr>
          <w:ilvl w:val="1"/>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Administration</w:t>
      </w:r>
      <w:r>
        <w:rPr>
          <w:rFonts w:ascii="Times New Roman" w:cs="Times New Roman" w:eastAsia="Times New Roman" w:hAnsi="Times New Roman"/>
          <w:sz w:val="22"/>
          <w:szCs w:val="22"/>
          <w:color w:val="auto"/>
        </w:rPr>
        <w:t>. Other than as provided above, the Plan will be administered by (A) the Board or (B) a Committee, which Committee will be constituted to satisfy Applicable Laws.</w:t>
      </w:r>
    </w:p>
    <w:p>
      <w:pPr>
        <w:spacing w:after="0" w:line="157" w:lineRule="exact"/>
        <w:rPr>
          <w:rFonts w:ascii="Times New Roman" w:cs="Times New Roman" w:eastAsia="Times New Roman" w:hAnsi="Times New Roman"/>
          <w:sz w:val="22"/>
          <w:szCs w:val="22"/>
          <w:color w:val="auto"/>
        </w:rPr>
      </w:pPr>
    </w:p>
    <w:p>
      <w:pPr>
        <w:ind w:left="-20" w:firstLine="1304"/>
        <w:spacing w:after="0" w:line="295" w:lineRule="auto"/>
        <w:tabs>
          <w:tab w:leader="none" w:pos="1919" w:val="left"/>
        </w:tabs>
        <w:numPr>
          <w:ilvl w:val="0"/>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Powers of the Administrator</w:t>
      </w:r>
      <w:r>
        <w:rPr>
          <w:rFonts w:ascii="Times New Roman" w:cs="Times New Roman" w:eastAsia="Times New Roman" w:hAnsi="Times New Roman"/>
          <w:sz w:val="21"/>
          <w:szCs w:val="21"/>
          <w:color w:val="auto"/>
        </w:rPr>
        <w:t>. Subject to the provisions of the Plan, and in the case of a Committee, subject to the specific duties delegated by the Board to such Committee, the Administrator will have the authority, in its discretion:</w:t>
      </w:r>
    </w:p>
    <w:p>
      <w:pPr>
        <w:spacing w:after="0" w:line="135" w:lineRule="exact"/>
        <w:rPr>
          <w:rFonts w:ascii="Times New Roman" w:cs="Times New Roman" w:eastAsia="Times New Roman" w:hAnsi="Times New Roman"/>
          <w:sz w:val="21"/>
          <w:szCs w:val="21"/>
          <w:color w:val="auto"/>
        </w:rPr>
      </w:pPr>
    </w:p>
    <w:p>
      <w:pPr>
        <w:ind w:left="2560" w:hanging="628"/>
        <w:spacing w:after="0"/>
        <w:tabs>
          <w:tab w:leader="none" w:pos="2560" w:val="left"/>
        </w:tabs>
        <w:numPr>
          <w:ilvl w:val="1"/>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Fair Market Value;</w:t>
      </w:r>
    </w:p>
    <w:p>
      <w:pPr>
        <w:spacing w:after="0" w:line="220" w:lineRule="exact"/>
        <w:rPr>
          <w:sz w:val="20"/>
          <w:szCs w:val="20"/>
          <w:color w:val="auto"/>
        </w:rPr>
      </w:pPr>
    </w:p>
    <w:p>
      <w:pPr>
        <w:ind w:left="2580" w:hanging="648"/>
        <w:spacing w:after="0"/>
        <w:tabs>
          <w:tab w:leader="none" w:pos="258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the Service Providers to whom Awards may be granted hereunder;</w:t>
      </w:r>
    </w:p>
    <w:p>
      <w:pPr>
        <w:spacing w:after="0" w:line="219" w:lineRule="exact"/>
        <w:rPr>
          <w:rFonts w:ascii="Times New Roman" w:cs="Times New Roman" w:eastAsia="Times New Roman" w:hAnsi="Times New Roman"/>
          <w:sz w:val="22"/>
          <w:szCs w:val="22"/>
          <w:color w:val="auto"/>
        </w:rPr>
      </w:pPr>
    </w:p>
    <w:p>
      <w:pPr>
        <w:ind w:left="2580" w:hanging="648"/>
        <w:spacing w:after="0"/>
        <w:tabs>
          <w:tab w:leader="none" w:pos="258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number of Shares to be covered by each Award granted hereunder;</w:t>
      </w:r>
    </w:p>
    <w:p>
      <w:pPr>
        <w:spacing w:after="0" w:line="219" w:lineRule="exact"/>
        <w:rPr>
          <w:rFonts w:ascii="Times New Roman" w:cs="Times New Roman" w:eastAsia="Times New Roman" w:hAnsi="Times New Roman"/>
          <w:sz w:val="22"/>
          <w:szCs w:val="22"/>
          <w:color w:val="auto"/>
        </w:rPr>
      </w:pPr>
    </w:p>
    <w:p>
      <w:pPr>
        <w:ind w:left="2560" w:hanging="628"/>
        <w:spacing w:after="0"/>
        <w:tabs>
          <w:tab w:leader="none" w:pos="256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forms of Award Agreements for use under the Plan;</w:t>
      </w:r>
    </w:p>
    <w:p>
      <w:pPr>
        <w:spacing w:after="0" w:line="219" w:lineRule="exact"/>
        <w:rPr>
          <w:rFonts w:ascii="Times New Roman" w:cs="Times New Roman" w:eastAsia="Times New Roman" w:hAnsi="Times New Roman"/>
          <w:sz w:val="22"/>
          <w:szCs w:val="22"/>
          <w:color w:val="auto"/>
        </w:rPr>
      </w:pPr>
    </w:p>
    <w:p>
      <w:pPr>
        <w:jc w:val="both"/>
        <w:ind w:left="-20" w:firstLine="1952"/>
        <w:spacing w:after="0" w:line="250" w:lineRule="auto"/>
        <w:tabs>
          <w:tab w:leader="none" w:pos="2567"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terms and conditions, not inconsistent with the terms of the Plan, of any Award granted hereunder. Such terms and conditions include, but are not limited to, the exercise price if any,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80" w:lineRule="exact"/>
        <w:rPr>
          <w:rFonts w:ascii="Times New Roman" w:cs="Times New Roman" w:eastAsia="Times New Roman" w:hAnsi="Times New Roman"/>
          <w:sz w:val="22"/>
          <w:szCs w:val="22"/>
          <w:color w:val="auto"/>
        </w:rPr>
      </w:pPr>
    </w:p>
    <w:p>
      <w:pPr>
        <w:ind w:left="2560" w:hanging="628"/>
        <w:spacing w:after="0"/>
        <w:tabs>
          <w:tab w:leader="none" w:pos="256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institute and determine the terms and conditions of an Exchange Program;</w:t>
      </w:r>
    </w:p>
    <w:p>
      <w:pPr>
        <w:spacing w:after="0" w:line="219" w:lineRule="exact"/>
        <w:rPr>
          <w:rFonts w:ascii="Times New Roman" w:cs="Times New Roman" w:eastAsia="Times New Roman" w:hAnsi="Times New Roman"/>
          <w:sz w:val="22"/>
          <w:szCs w:val="22"/>
          <w:color w:val="auto"/>
        </w:rPr>
      </w:pPr>
    </w:p>
    <w:p>
      <w:pPr>
        <w:ind w:left="2580" w:hanging="648"/>
        <w:spacing w:after="0"/>
        <w:tabs>
          <w:tab w:leader="none" w:pos="258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terms of the Plan and Awards granted pursuant to the Plan;</w:t>
      </w:r>
    </w:p>
    <w:p>
      <w:pPr>
        <w:spacing w:after="0" w:line="219" w:lineRule="exact"/>
        <w:rPr>
          <w:rFonts w:ascii="Times New Roman" w:cs="Times New Roman" w:eastAsia="Times New Roman" w:hAnsi="Times New Roman"/>
          <w:sz w:val="22"/>
          <w:szCs w:val="22"/>
          <w:color w:val="auto"/>
        </w:rPr>
      </w:pPr>
    </w:p>
    <w:p>
      <w:pPr>
        <w:jc w:val="both"/>
        <w:ind w:left="-20" w:firstLine="1952"/>
        <w:spacing w:after="0" w:line="257" w:lineRule="auto"/>
        <w:tabs>
          <w:tab w:leader="none" w:pos="2572"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72" w:lineRule="exact"/>
        <w:rPr>
          <w:rFonts w:ascii="Times New Roman" w:cs="Times New Roman" w:eastAsia="Times New Roman" w:hAnsi="Times New Roman"/>
          <w:sz w:val="22"/>
          <w:szCs w:val="22"/>
          <w:color w:val="auto"/>
        </w:rPr>
      </w:pPr>
    </w:p>
    <w:p>
      <w:pPr>
        <w:ind w:left="2560" w:hanging="628"/>
        <w:spacing w:after="0"/>
        <w:tabs>
          <w:tab w:leader="none" w:pos="256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modify or amend each Award (subject to Section 15(c) of the Plan);</w:t>
      </w:r>
    </w:p>
    <w:p>
      <w:pPr>
        <w:spacing w:after="0" w:line="219" w:lineRule="exact"/>
        <w:rPr>
          <w:rFonts w:ascii="Times New Roman" w:cs="Times New Roman" w:eastAsia="Times New Roman" w:hAnsi="Times New Roman"/>
          <w:sz w:val="22"/>
          <w:szCs w:val="22"/>
          <w:color w:val="auto"/>
        </w:rPr>
      </w:pPr>
    </w:p>
    <w:p>
      <w:pPr>
        <w:ind w:left="2580" w:hanging="648"/>
        <w:spacing w:after="0"/>
        <w:tabs>
          <w:tab w:leader="none" w:pos="258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Participants to satisfy withholding tax obligations in a manner prescribed in Section 11;</w:t>
      </w:r>
    </w:p>
    <w:p>
      <w:pPr>
        <w:spacing w:after="0" w:line="219" w:lineRule="exact"/>
        <w:rPr>
          <w:rFonts w:ascii="Times New Roman" w:cs="Times New Roman" w:eastAsia="Times New Roman" w:hAnsi="Times New Roman"/>
          <w:sz w:val="22"/>
          <w:szCs w:val="22"/>
          <w:color w:val="auto"/>
        </w:rPr>
      </w:pPr>
    </w:p>
    <w:p>
      <w:pPr>
        <w:ind w:left="-20" w:right="20" w:firstLine="1952"/>
        <w:spacing w:after="0" w:line="271" w:lineRule="auto"/>
        <w:tabs>
          <w:tab w:leader="none" w:pos="256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any person to execute on behalf of the Company any instrument required to effect the grant of an Award previously granted by the Administrator;</w:t>
      </w:r>
    </w:p>
    <w:p>
      <w:pPr>
        <w:spacing w:after="0" w:line="157" w:lineRule="exact"/>
        <w:rPr>
          <w:rFonts w:ascii="Times New Roman" w:cs="Times New Roman" w:eastAsia="Times New Roman" w:hAnsi="Times New Roman"/>
          <w:sz w:val="22"/>
          <w:szCs w:val="22"/>
          <w:color w:val="auto"/>
        </w:rPr>
      </w:pPr>
    </w:p>
    <w:p>
      <w:pPr>
        <w:ind w:left="-20" w:firstLine="1952"/>
        <w:spacing w:after="0" w:line="271" w:lineRule="auto"/>
        <w:tabs>
          <w:tab w:leader="none" w:pos="2566"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allow a Participant to defer the receipt of the payment of cash or the delivery of Shares that otherwise would be due to such Participant under an Award;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40" w:top="1421" w:right="339" w:bottom="1440" w:gutter="0" w:footer="0" w:header="0"/>
        </w:sectPr>
      </w:pPr>
    </w:p>
    <w:bookmarkStart w:id="424" w:name="page425"/>
    <w:bookmarkEnd w:id="424"/>
    <w:p>
      <w:pPr>
        <w:ind w:left="2580" w:hanging="648"/>
        <w:spacing w:after="0"/>
        <w:tabs>
          <w:tab w:leader="none" w:pos="2580" w:val="left"/>
        </w:tabs>
        <w:numPr>
          <w:ilvl w:val="2"/>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all other determinations deemed necessary or advisable for administering the Plan.</w:t>
      </w:r>
    </w:p>
    <w:p>
      <w:pPr>
        <w:spacing w:after="0" w:line="219" w:lineRule="exact"/>
        <w:rPr>
          <w:rFonts w:ascii="Times New Roman" w:cs="Times New Roman" w:eastAsia="Times New Roman" w:hAnsi="Times New Roman"/>
          <w:sz w:val="22"/>
          <w:szCs w:val="22"/>
          <w:color w:val="auto"/>
        </w:rPr>
      </w:pPr>
    </w:p>
    <w:p>
      <w:pPr>
        <w:jc w:val="both"/>
        <w:ind w:left="-20" w:firstLine="1304"/>
        <w:spacing w:after="0" w:line="257" w:lineRule="auto"/>
        <w:tabs>
          <w:tab w:leader="none" w:pos="1921" w:val="left"/>
        </w:tabs>
        <w:numPr>
          <w:ilvl w:val="1"/>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Administrator’s Decision</w:t>
      </w:r>
      <w:r>
        <w:rPr>
          <w:rFonts w:ascii="Times New Roman" w:cs="Times New Roman" w:eastAsia="Times New Roman" w:hAnsi="Times New Roman"/>
          <w:sz w:val="22"/>
          <w:szCs w:val="22"/>
          <w:color w:val="auto"/>
        </w:rPr>
        <w:t>. The Administrator’s decisions, determinations and interpretations will be final and binding on all Participants and any other holders of Awards and will be given the maximum deference permitted by Applicable Laws.</w:t>
      </w:r>
    </w:p>
    <w:p>
      <w:pPr>
        <w:spacing w:after="0" w:line="172"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Restricted Stock Units may be granted to Service Providers.</w:t>
      </w:r>
    </w:p>
    <w:p>
      <w:pPr>
        <w:spacing w:after="0" w:line="219"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20" w:firstLine="1304"/>
        <w:spacing w:after="0" w:line="275" w:lineRule="auto"/>
        <w:tabs>
          <w:tab w:leader="none" w:pos="1921" w:val="left"/>
        </w:tabs>
        <w:numPr>
          <w:ilvl w:val="1"/>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55" w:lineRule="exact"/>
        <w:rPr>
          <w:rFonts w:ascii="Times New Roman" w:cs="Times New Roman" w:eastAsia="Times New Roman" w:hAnsi="Times New Roman"/>
          <w:sz w:val="21"/>
          <w:szCs w:val="21"/>
          <w:color w:val="auto"/>
        </w:rPr>
      </w:pPr>
    </w:p>
    <w:p>
      <w:pPr>
        <w:jc w:val="both"/>
        <w:ind w:left="-20" w:firstLine="1304"/>
        <w:spacing w:after="0" w:line="250" w:lineRule="auto"/>
        <w:tabs>
          <w:tab w:leader="none" w:pos="1919"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Criteria and Other Terms</w:t>
      </w:r>
      <w:r>
        <w:rPr>
          <w:rFonts w:ascii="Times New Roman" w:cs="Times New Roman" w:eastAsia="Times New Roman" w:hAnsi="Times New Roman"/>
          <w:sz w:val="22"/>
          <w:szCs w:val="22"/>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spacing w:after="0" w:line="180" w:lineRule="exact"/>
        <w:rPr>
          <w:rFonts w:ascii="Times New Roman" w:cs="Times New Roman" w:eastAsia="Times New Roman" w:hAnsi="Times New Roman"/>
          <w:sz w:val="22"/>
          <w:szCs w:val="22"/>
          <w:color w:val="auto"/>
        </w:rPr>
      </w:pPr>
    </w:p>
    <w:p>
      <w:pPr>
        <w:jc w:val="both"/>
        <w:ind w:left="-20" w:firstLine="1304"/>
        <w:spacing w:after="0" w:line="252" w:lineRule="auto"/>
        <w:tabs>
          <w:tab w:leader="none" w:pos="1921"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 Restricted Stock Units</w:t>
      </w:r>
      <w:r>
        <w:rPr>
          <w:rFonts w:ascii="Times New Roman" w:cs="Times New Roman" w:eastAsia="Times New Roman" w:hAnsi="Times New Roman"/>
          <w:sz w:val="22"/>
          <w:szCs w:val="22"/>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9" w:lineRule="exact"/>
        <w:rPr>
          <w:rFonts w:ascii="Times New Roman" w:cs="Times New Roman" w:eastAsia="Times New Roman" w:hAnsi="Times New Roman"/>
          <w:sz w:val="22"/>
          <w:szCs w:val="22"/>
          <w:color w:val="auto"/>
        </w:rPr>
      </w:pPr>
    </w:p>
    <w:p>
      <w:pPr>
        <w:jc w:val="both"/>
        <w:ind w:left="-20" w:firstLine="1304"/>
        <w:spacing w:after="0" w:line="257" w:lineRule="auto"/>
        <w:tabs>
          <w:tab w:leader="none" w:pos="1919"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and Timing of Payment</w:t>
      </w:r>
      <w:r>
        <w:rPr>
          <w:rFonts w:ascii="Times New Roman" w:cs="Times New Roman" w:eastAsia="Times New Roman" w:hAnsi="Times New Roman"/>
          <w:sz w:val="22"/>
          <w:szCs w:val="22"/>
          <w:color w:val="auto"/>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172" w:lineRule="exact"/>
        <w:rPr>
          <w:rFonts w:ascii="Times New Roman" w:cs="Times New Roman" w:eastAsia="Times New Roman" w:hAnsi="Times New Roman"/>
          <w:sz w:val="22"/>
          <w:szCs w:val="22"/>
          <w:color w:val="auto"/>
        </w:rPr>
      </w:pPr>
    </w:p>
    <w:p>
      <w:pPr>
        <w:ind w:left="-20" w:firstLine="1304"/>
        <w:spacing w:after="0" w:line="271" w:lineRule="auto"/>
        <w:tabs>
          <w:tab w:leader="none" w:pos="1921"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w:t>
      </w:r>
      <w:r>
        <w:rPr>
          <w:rFonts w:ascii="Times New Roman" w:cs="Times New Roman" w:eastAsia="Times New Roman" w:hAnsi="Times New Roman"/>
          <w:sz w:val="22"/>
          <w:szCs w:val="22"/>
          <w:color w:val="auto"/>
        </w:rPr>
        <w:t>. On the date set forth in the Award Agreement, all unearned Restricted Stock Units will be forfeited to the Company.</w:t>
      </w:r>
    </w:p>
    <w:p>
      <w:pPr>
        <w:spacing w:after="0" w:line="157" w:lineRule="exact"/>
        <w:rPr>
          <w:rFonts w:ascii="Times New Roman" w:cs="Times New Roman" w:eastAsia="Times New Roman" w:hAnsi="Times New Roman"/>
          <w:sz w:val="22"/>
          <w:szCs w:val="22"/>
          <w:color w:val="auto"/>
        </w:rPr>
      </w:pPr>
    </w:p>
    <w:p>
      <w:pPr>
        <w:jc w:val="both"/>
        <w:ind w:left="-20" w:firstLine="656"/>
        <w:spacing w:after="0" w:line="248" w:lineRule="auto"/>
        <w:tabs>
          <w:tab w:leader="none" w:pos="1276"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w:t>
      </w:r>
      <w:r>
        <w:rPr>
          <w:rFonts w:ascii="Times New Roman" w:cs="Times New Roman" w:eastAsia="Times New Roman" w:hAnsi="Times New Roman"/>
          <w:sz w:val="22"/>
          <w:szCs w:val="22"/>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40" w:top="1421" w:right="339" w:bottom="1440" w:gutter="0" w:footer="0" w:header="0"/>
        </w:sectPr>
      </w:pPr>
    </w:p>
    <w:bookmarkStart w:id="425" w:name="page426"/>
    <w:bookmarkEnd w:id="425"/>
    <w:p>
      <w:pPr>
        <w:jc w:val="both"/>
        <w:spacing w:after="0" w:line="250" w:lineRule="auto"/>
        <w:rPr>
          <w:sz w:val="20"/>
          <w:szCs w:val="20"/>
          <w:color w:val="auto"/>
        </w:rPr>
      </w:pPr>
      <w:r>
        <w:rPr>
          <w:rFonts w:ascii="Times New Roman" w:cs="Times New Roman" w:eastAsia="Times New Roman" w:hAnsi="Times New Roman"/>
          <w:sz w:val="22"/>
          <w:szCs w:val="22"/>
          <w:color w:val="auto"/>
        </w:rPr>
        <w:t>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Parent or Subsidiary have any liability or obligation to reimburse, indemnify, or hold harmless a Participant (or any other person) for any taxes, penalties or interest that may be imposed on, or other costs incurred by, Participant (or any other person) as a result of Section 409A.</w:t>
      </w:r>
    </w:p>
    <w:p>
      <w:pPr>
        <w:spacing w:after="0" w:line="181" w:lineRule="exact"/>
        <w:rPr>
          <w:sz w:val="20"/>
          <w:szCs w:val="20"/>
          <w:color w:val="auto"/>
        </w:rPr>
      </w:pPr>
    </w:p>
    <w:p>
      <w:pPr>
        <w:jc w:val="both"/>
        <w:ind w:firstLine="656"/>
        <w:spacing w:after="0" w:line="252" w:lineRule="auto"/>
        <w:tabs>
          <w:tab w:leader="none" w:pos="1296"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Leaves of Absence/Transfer Between Locations</w:t>
      </w:r>
      <w:r>
        <w:rPr>
          <w:rFonts w:ascii="Times New Roman" w:cs="Times New Roman" w:eastAsia="Times New Roman" w:hAnsi="Times New Roman"/>
          <w:sz w:val="22"/>
          <w:szCs w:val="22"/>
          <w:color w:val="auto"/>
        </w:rPr>
        <w:t>. Unless the Administrator provides otherwise or as otherwise required by Applicable Laws,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w:t>
      </w:r>
    </w:p>
    <w:p>
      <w:pPr>
        <w:spacing w:after="0" w:line="179"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Limited Transferability of Awards</w:t>
      </w:r>
      <w:r>
        <w:rPr>
          <w:rFonts w:ascii="Times New Roman" w:cs="Times New Roman" w:eastAsia="Times New Roman" w:hAnsi="Times New Roman"/>
          <w:sz w:val="22"/>
          <w:szCs w:val="22"/>
          <w:color w:val="auto"/>
        </w:rPr>
        <w:t>. Unless determined otherwise by the Administrator, Awards may not be sold, pledged, assigned, hypothecated, or otherwise transferred in any manner other than by will or by the laws of descent and distribution, and may be exercised, during the lifetime of the Participant, only by the Participant. If the Administrator makes an Award transferable, such Award may only be transferred (i) by will, (ii) by the laws of descent and distribution, or (iii) as permitted by Rule 701 of the Securities Act.</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Dissolution or Liquidation; Merger or Change in Control</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1" w:val="left"/>
        </w:tabs>
        <w:numPr>
          <w:ilvl w:val="1"/>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In the event that any dividend (other than an ordinary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Further, the Administrator will make such adjustments to an Award as required by Section 25102(o) of the California Corporations Code to the extent the Company is relying upon the exemption afforded thereby with respect to the Award.</w:t>
      </w:r>
    </w:p>
    <w:p>
      <w:pPr>
        <w:spacing w:after="0" w:line="190"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1"/>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Dissolution or Liquidation</w:t>
      </w:r>
      <w:r>
        <w:rPr>
          <w:rFonts w:ascii="Times New Roman" w:cs="Times New Roman" w:eastAsia="Times New Roman" w:hAnsi="Times New Roman"/>
          <w:sz w:val="22"/>
          <w:szCs w:val="22"/>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 or Change in Control</w:t>
      </w:r>
      <w:r>
        <w:rPr>
          <w:rFonts w:ascii="Times New Roman" w:cs="Times New Roman" w:eastAsia="Times New Roman" w:hAnsi="Times New Roman"/>
          <w:sz w:val="22"/>
          <w:szCs w:val="22"/>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1" w:right="339" w:bottom="1440" w:gutter="0" w:footer="0" w:header="0"/>
        </w:sectPr>
      </w:pPr>
    </w:p>
    <w:bookmarkStart w:id="426" w:name="page427"/>
    <w:bookmarkEnd w:id="426"/>
    <w:p>
      <w:pPr>
        <w:jc w:val="both"/>
        <w:spacing w:after="0" w:line="262" w:lineRule="auto"/>
        <w:rPr>
          <w:sz w:val="20"/>
          <w:szCs w:val="20"/>
          <w:color w:val="auto"/>
        </w:rPr>
      </w:pPr>
      <w:r>
        <w:rPr>
          <w:rFonts w:ascii="Times New Roman" w:cs="Times New Roman" w:eastAsia="Times New Roman" w:hAnsi="Times New Roman"/>
          <w:sz w:val="21"/>
          <w:szCs w:val="21"/>
          <w:color w:val="auto"/>
        </w:rPr>
        <w:t>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w:t>
      </w:r>
    </w:p>
    <w:p>
      <w:pPr>
        <w:spacing w:after="0" w:line="3" w:lineRule="exact"/>
        <w:rPr>
          <w:sz w:val="20"/>
          <w:szCs w:val="20"/>
          <w:color w:val="auto"/>
        </w:rPr>
      </w:pPr>
    </w:p>
    <w:p>
      <w:pPr>
        <w:jc w:val="both"/>
        <w:ind w:firstLine="8"/>
        <w:spacing w:after="0" w:line="243" w:lineRule="auto"/>
        <w:tabs>
          <w:tab w:leader="none" w:pos="409"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10(c), the Administrator will not be obligated to treat all Awards, all Awards held by a Participant, or all Awards of the same type, similarly.</w:t>
      </w:r>
    </w:p>
    <w:p>
      <w:pPr>
        <w:spacing w:after="0" w:line="182" w:lineRule="exact"/>
        <w:rPr>
          <w:sz w:val="20"/>
          <w:szCs w:val="20"/>
          <w:color w:val="auto"/>
        </w:rPr>
      </w:pPr>
    </w:p>
    <w:p>
      <w:pPr>
        <w:jc w:val="both"/>
        <w:ind w:firstLine="1620"/>
        <w:spacing w:after="0" w:line="236" w:lineRule="auto"/>
        <w:rPr>
          <w:sz w:val="20"/>
          <w:szCs w:val="20"/>
          <w:color w:val="auto"/>
        </w:rPr>
      </w:pPr>
      <w:r>
        <w:rPr>
          <w:rFonts w:ascii="Times New Roman" w:cs="Times New Roman" w:eastAsia="Times New Roman" w:hAnsi="Times New Roman"/>
          <w:sz w:val="22"/>
          <w:szCs w:val="22"/>
          <w:color w:val="auto"/>
        </w:rPr>
        <w:t>In the event that the successor corporation does not assume or substitute for an Award (or portion thereof), all restrictions on Restricted Stock Units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w:t>
      </w:r>
    </w:p>
    <w:p>
      <w:pPr>
        <w:spacing w:after="0" w:line="195"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For the purposes of this subsection 10(c),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payout of a Restricted Stock Unit, for each Share subject to such Award, to be solely common stock of the successor corporation or its Parent equal in fair market value to the per share consideration received by holders of Common Stock in the merger or Change in Control.</w:t>
      </w:r>
    </w:p>
    <w:p>
      <w:pPr>
        <w:spacing w:after="0" w:line="18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Notwithstanding anything in this Section 10(c)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1" w:right="339" w:bottom="1440" w:gutter="0" w:footer="0" w:header="0"/>
        </w:sectPr>
      </w:pPr>
    </w:p>
    <w:bookmarkStart w:id="427" w:name="page428"/>
    <w:bookmarkEnd w:id="427"/>
    <w:p>
      <w:pPr>
        <w:jc w:val="both"/>
        <w:spacing w:after="0" w:line="257" w:lineRule="auto"/>
        <w:rPr>
          <w:sz w:val="20"/>
          <w:szCs w:val="20"/>
          <w:color w:val="auto"/>
        </w:rPr>
      </w:pPr>
      <w:r>
        <w:rPr>
          <w:rFonts w:ascii="Times New Roman" w:cs="Times New Roman" w:eastAsia="Times New Roman" w:hAnsi="Times New Roman"/>
          <w:sz w:val="22"/>
          <w:szCs w:val="22"/>
          <w:color w:val="auto"/>
        </w:rPr>
        <w:t>applicable Award 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7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Notwithstanding anything in this Section 10(c) to the contrary, and unless otherwise provided in an Award Agreement, if an Award that vests, is earned or paid-out under an Award Agreement is subject to Section 409A and if the change in control definition contained in the Award Agreement does not comply with the definition of “change of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87" w:lineRule="exact"/>
        <w:rPr>
          <w:sz w:val="20"/>
          <w:szCs w:val="20"/>
          <w:color w:val="auto"/>
        </w:rPr>
      </w:pPr>
    </w:p>
    <w:p>
      <w:pPr>
        <w:ind w:left="1300" w:hanging="644"/>
        <w:spacing w:after="0"/>
        <w:tabs>
          <w:tab w:leader="none" w:pos="1300"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1"/>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Requirements</w:t>
      </w:r>
      <w:r>
        <w:rPr>
          <w:rFonts w:ascii="Times New Roman" w:cs="Times New Roman" w:eastAsia="Times New Roman" w:hAnsi="Times New Roman"/>
          <w:sz w:val="22"/>
          <w:szCs w:val="22"/>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7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Arrangements</w:t>
      </w:r>
      <w:r>
        <w:rPr>
          <w:rFonts w:ascii="Times New Roman" w:cs="Times New Roman" w:eastAsia="Times New Roman" w:hAnsi="Times New Roman"/>
          <w:sz w:val="21"/>
          <w:szCs w:val="21"/>
          <w:color w:val="auto"/>
        </w:rPr>
        <w:t>. The Administrator, in its sole discretion and pursuant to such procedures as it may specify from time to time, may permit a Participant to satisfy such tax withholding obligation, in whole or in part by such methods as the Administrator shall determine, including, without limitation, (i) paying cash, (ii) electing to have the Company withhold otherwise deliverable Shares having a fair market value equal to the minimum statutory amount required to be withheld or such greater amount as the Administrator may determine if such amount would not have adverse accounting consequences, as the Administrator determines in its sole discretion, (iii)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equal to the amount required to be withheld, (v) such other consideration and method of payment for the meeting of tax withholding obligations as the Administrator may determine to the extent permitted by Applicable Laws, or (vi)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1" w:right="339" w:bottom="1440" w:gutter="0" w:footer="0" w:header="0"/>
        </w:sectPr>
      </w:pPr>
    </w:p>
    <w:bookmarkStart w:id="428" w:name="page429"/>
    <w:bookmarkEnd w:id="428"/>
    <w:p>
      <w:pPr>
        <w:jc w:val="both"/>
        <w:ind w:left="-20" w:firstLine="656"/>
        <w:spacing w:after="0" w:line="250" w:lineRule="auto"/>
        <w:tabs>
          <w:tab w:leader="none" w:pos="1276"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Employment or Service</w:t>
      </w:r>
      <w:r>
        <w:rPr>
          <w:rFonts w:ascii="Times New Roman" w:cs="Times New Roman" w:eastAsia="Times New Roman" w:hAnsi="Times New Roman"/>
          <w:sz w:val="22"/>
          <w:szCs w:val="22"/>
          <w:color w:val="auto"/>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spacing w:after="0" w:line="180" w:lineRule="exact"/>
        <w:rPr>
          <w:rFonts w:ascii="Times New Roman" w:cs="Times New Roman" w:eastAsia="Times New Roman" w:hAnsi="Times New Roman"/>
          <w:sz w:val="22"/>
          <w:szCs w:val="22"/>
          <w:color w:val="auto"/>
        </w:rPr>
      </w:pPr>
    </w:p>
    <w:p>
      <w:pPr>
        <w:jc w:val="both"/>
        <w:ind w:left="-20" w:firstLine="656"/>
        <w:spacing w:after="0" w:line="257" w:lineRule="auto"/>
        <w:tabs>
          <w:tab w:leader="none" w:pos="1276"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The date of grant of an Award will be, for all purposes, the date on which the Administrator makes the determination granting such Award, or such other later date as is determined by the Administrator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Notice of the determination will be provided to each Participant within a reasonable time after the date of such grant.</w:t>
      </w:r>
    </w:p>
    <w:p>
      <w:pPr>
        <w:spacing w:after="0" w:line="172" w:lineRule="exact"/>
        <w:rPr>
          <w:rFonts w:ascii="Times New Roman" w:cs="Times New Roman" w:eastAsia="Times New Roman" w:hAnsi="Times New Roman"/>
          <w:sz w:val="22"/>
          <w:szCs w:val="22"/>
          <w:color w:val="auto"/>
        </w:rPr>
      </w:pPr>
    </w:p>
    <w:p>
      <w:pPr>
        <w:jc w:val="both"/>
        <w:ind w:left="-20" w:right="20" w:firstLine="656"/>
        <w:spacing w:after="0" w:line="252" w:lineRule="auto"/>
        <w:tabs>
          <w:tab w:leader="none" w:pos="1276"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Plan</w:t>
      </w:r>
      <w:r>
        <w:rPr>
          <w:rFonts w:ascii="Times New Roman" w:cs="Times New Roman" w:eastAsia="Times New Roman" w:hAnsi="Times New Roman"/>
          <w:sz w:val="22"/>
          <w:szCs w:val="22"/>
          <w:color w:val="auto"/>
        </w:rPr>
        <w:t>. Subject to Section 18 of the Plan, the Plan will become effective upon its adoption by the Board. Unless sooner terminated under Section 15, it will continue in effect for a term of ten (10) years from the later of (a) the effective date of the Plan, or (b) the earlier of the most recent Board or stockholder approval of an increase in the number of Shares reserved for issuance under the Plan.</w:t>
      </w:r>
    </w:p>
    <w:p>
      <w:pPr>
        <w:spacing w:after="0" w:line="179"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 of the Plan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20" w:hanging="636"/>
        <w:spacing w:after="0"/>
        <w:tabs>
          <w:tab w:leader="none" w:pos="1920"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The Board may at any time amend, alter, suspend or terminate the Plan.</w:t>
      </w:r>
    </w:p>
    <w:p>
      <w:pPr>
        <w:spacing w:after="0" w:line="219" w:lineRule="exact"/>
        <w:rPr>
          <w:rFonts w:ascii="Times New Roman" w:cs="Times New Roman" w:eastAsia="Times New Roman" w:hAnsi="Times New Roman"/>
          <w:sz w:val="22"/>
          <w:szCs w:val="22"/>
          <w:color w:val="auto"/>
        </w:rPr>
      </w:pPr>
    </w:p>
    <w:p>
      <w:pPr>
        <w:ind w:left="-20" w:right="20" w:firstLine="1304"/>
        <w:spacing w:after="0" w:line="271" w:lineRule="auto"/>
        <w:tabs>
          <w:tab w:leader="none" w:pos="1919"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Company will obtain stockholder approval of any Plan amendment to the extent necessary and desirable to comply with Applicable Laws.</w:t>
      </w:r>
    </w:p>
    <w:p>
      <w:pPr>
        <w:spacing w:after="0" w:line="157" w:lineRule="exact"/>
        <w:rPr>
          <w:rFonts w:ascii="Times New Roman" w:cs="Times New Roman" w:eastAsia="Times New Roman" w:hAnsi="Times New Roman"/>
          <w:sz w:val="22"/>
          <w:szCs w:val="22"/>
          <w:color w:val="auto"/>
        </w:rPr>
      </w:pPr>
    </w:p>
    <w:p>
      <w:pPr>
        <w:jc w:val="both"/>
        <w:ind w:left="-20" w:firstLine="1304"/>
        <w:spacing w:after="0" w:line="250" w:lineRule="auto"/>
        <w:tabs>
          <w:tab w:leader="none" w:pos="1921"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Amendment or Termination</w:t>
      </w:r>
      <w:r>
        <w:rPr>
          <w:rFonts w:ascii="Times New Roman" w:cs="Times New Roman" w:eastAsia="Times New Roman" w:hAnsi="Times New Roman"/>
          <w:sz w:val="22"/>
          <w:szCs w:val="22"/>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0"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Upon Issuance of Shares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20" w:firstLine="1304"/>
        <w:spacing w:after="0" w:line="257" w:lineRule="auto"/>
        <w:tabs>
          <w:tab w:leader="none" w:pos="1921"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Compliance</w:t>
      </w:r>
      <w:r>
        <w:rPr>
          <w:rFonts w:ascii="Times New Roman" w:cs="Times New Roman" w:eastAsia="Times New Roman" w:hAnsi="Times New Roman"/>
          <w:sz w:val="22"/>
          <w:szCs w:val="22"/>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2" w:lineRule="exact"/>
        <w:rPr>
          <w:rFonts w:ascii="Times New Roman" w:cs="Times New Roman" w:eastAsia="Times New Roman" w:hAnsi="Times New Roman"/>
          <w:sz w:val="22"/>
          <w:szCs w:val="22"/>
          <w:color w:val="auto"/>
        </w:rPr>
      </w:pPr>
    </w:p>
    <w:p>
      <w:pPr>
        <w:jc w:val="both"/>
        <w:ind w:left="-20" w:firstLine="1304"/>
        <w:spacing w:after="0" w:line="252" w:lineRule="auto"/>
        <w:tabs>
          <w:tab w:leader="none" w:pos="1919"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Representations</w:t>
      </w:r>
      <w:r>
        <w:rPr>
          <w:rFonts w:ascii="Times New Roman" w:cs="Times New Roman" w:eastAsia="Times New Roman" w:hAnsi="Times New Roman"/>
          <w:sz w:val="22"/>
          <w:szCs w:val="22"/>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40" w:top="1421" w:right="339" w:bottom="1440" w:gutter="0" w:footer="0" w:header="0"/>
        </w:sectPr>
      </w:pPr>
    </w:p>
    <w:bookmarkStart w:id="429" w:name="page430"/>
    <w:bookmarkEnd w:id="429"/>
    <w:p>
      <w:pPr>
        <w:jc w:val="both"/>
        <w:ind w:left="-8" w:firstLine="656"/>
        <w:spacing w:after="0" w:line="261" w:lineRule="auto"/>
        <w:tabs>
          <w:tab w:leader="none" w:pos="1288" w:val="left"/>
        </w:tabs>
        <w:numPr>
          <w:ilvl w:val="1"/>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Inability to Obtain Authority</w:t>
      </w:r>
      <w:r>
        <w:rPr>
          <w:rFonts w:ascii="Times New Roman" w:cs="Times New Roman" w:eastAsia="Times New Roman" w:hAnsi="Times New Roman"/>
          <w:sz w:val="21"/>
          <w:szCs w:val="21"/>
          <w:color w:val="auto"/>
        </w:rPr>
        <w:t>. The inability of the Company to obtain authority from any regulatory body having jurisdiction or to complete or comply with the requirements of any registration or other qualification of the Shares under any state, federal or foreign law or under the rules and regulations of the Securities and Exchange Commission (the “</w:t>
      </w:r>
      <w:r>
        <w:rPr>
          <w:rFonts w:ascii="Times New Roman" w:cs="Times New Roman" w:eastAsia="Times New Roman" w:hAnsi="Times New Roman"/>
          <w:sz w:val="21"/>
          <w:szCs w:val="21"/>
          <w:u w:val="single" w:color="auto"/>
          <w:color w:val="auto"/>
        </w:rPr>
        <w:t>Commission</w:t>
      </w:r>
      <w:r>
        <w:rPr>
          <w:rFonts w:ascii="Times New Roman" w:cs="Times New Roman" w:eastAsia="Times New Roman" w:hAnsi="Times New Roman"/>
          <w:sz w:val="21"/>
          <w:szCs w:val="21"/>
          <w:color w:val="auto"/>
        </w:rPr>
        <w:t>”),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73" w:lineRule="exact"/>
        <w:rPr>
          <w:rFonts w:ascii="Times New Roman" w:cs="Times New Roman" w:eastAsia="Times New Roman" w:hAnsi="Times New Roman"/>
          <w:sz w:val="21"/>
          <w:szCs w:val="21"/>
          <w:color w:val="auto"/>
        </w:rPr>
      </w:pPr>
    </w:p>
    <w:p>
      <w:pPr>
        <w:ind w:left="1292" w:hanging="644"/>
        <w:spacing w:after="0"/>
        <w:tabs>
          <w:tab w:leader="none" w:pos="1292" w:val="left"/>
        </w:tabs>
        <w:numPr>
          <w:ilvl w:val="1"/>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Plan will be subject to approval by the stockholders of the Company within twelve</w:t>
      </w:r>
    </w:p>
    <w:p>
      <w:pPr>
        <w:spacing w:after="0" w:line="27" w:lineRule="exact"/>
        <w:rPr>
          <w:rFonts w:ascii="Times New Roman" w:cs="Times New Roman" w:eastAsia="Times New Roman" w:hAnsi="Times New Roman"/>
          <w:sz w:val="22"/>
          <w:szCs w:val="22"/>
          <w:color w:val="auto"/>
        </w:rPr>
      </w:pPr>
    </w:p>
    <w:p>
      <w:pPr>
        <w:ind w:left="-8" w:firstLine="8"/>
        <w:spacing w:after="0" w:line="248" w:lineRule="auto"/>
        <w:tabs>
          <w:tab w:leader="none" w:pos="411"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the date the Plan is adopted by the Board. Such stockholder approval will be obtained in the manner and to the degree required under Applicable Laws.</w:t>
      </w:r>
    </w:p>
    <w:p>
      <w:pPr>
        <w:spacing w:after="0" w:line="182" w:lineRule="exact"/>
        <w:rPr>
          <w:rFonts w:ascii="Times New Roman" w:cs="Times New Roman" w:eastAsia="Times New Roman" w:hAnsi="Times New Roman"/>
          <w:sz w:val="22"/>
          <w:szCs w:val="22"/>
          <w:color w:val="auto"/>
        </w:rPr>
      </w:pPr>
    </w:p>
    <w:p>
      <w:pPr>
        <w:jc w:val="both"/>
        <w:ind w:left="-8" w:firstLine="656"/>
        <w:spacing w:after="0" w:line="245" w:lineRule="auto"/>
        <w:tabs>
          <w:tab w:leader="none" w:pos="1288" w:val="left"/>
        </w:tabs>
        <w:numPr>
          <w:ilvl w:val="1"/>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to Participants</w:t>
      </w:r>
      <w:r>
        <w:rPr>
          <w:rFonts w:ascii="Times New Roman" w:cs="Times New Roman" w:eastAsia="Times New Roman" w:hAnsi="Times New Roman"/>
          <w:sz w:val="22"/>
          <w:szCs w:val="22"/>
          <w:color w:val="auto"/>
        </w:rPr>
        <w:t>. If and as required (i) pursuant to Rule 701 of the Securities Act, if the Company is relying on the exemption from registration provided pursuant to Rule 701 of the Securities Act with respect to the applicable Award, and/or (ii) pursuant to Rule 12h-1(f) of the Exchange Act, to the extent the Company is relying on the Rule 12h-1(f) Exemption, then during the period of reliance on the applicable exemption and in each case of (i) and (ii) until such time as the Company becomes subject to the reporting requirements of Section 13 or 15(d) of the Exchange Act, the Company shall provide to each Participant the information described in paragraphs (e)(3), (4), and (5) of Rule 701 under the Securities Act not less frequently than every six (6) 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(if the Company is relying on the Rule 12h-1(f) Exemption) or Rule 701 of the Securities Act (if the Company is relying on the exemption pursuant to Rule 701 of the Securities Act).</w:t>
      </w:r>
    </w:p>
    <w:p>
      <w:pPr>
        <w:spacing w:after="0" w:line="191"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Events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8" w:firstLine="1304"/>
        <w:spacing w:after="0" w:line="248" w:lineRule="auto"/>
        <w:tabs>
          <w:tab w:leader="none" w:pos="1933" w:val="left"/>
        </w:tabs>
        <w:numPr>
          <w:ilvl w:val="2"/>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Awards granted under the Plan will be subject to recoupment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32"/>
          </w:cols>
          <w:pgMar w:left="328" w:top="1421" w:right="339" w:bottom="1440" w:gutter="0" w:footer="0" w:header="0"/>
        </w:sectPr>
      </w:pPr>
    </w:p>
    <w:bookmarkStart w:id="430" w:name="page431"/>
    <w:bookmarkEnd w:id="430"/>
    <w:p>
      <w:pPr>
        <w:jc w:val="both"/>
        <w:spacing w:after="0" w:line="252" w:lineRule="auto"/>
        <w:rPr>
          <w:sz w:val="20"/>
          <w:szCs w:val="20"/>
          <w:color w:val="auto"/>
        </w:rPr>
      </w:pPr>
      <w:r>
        <w:rPr>
          <w:rFonts w:ascii="Times New Roman" w:cs="Times New Roman" w:eastAsia="Times New Roman" w:hAnsi="Times New Roman"/>
          <w:sz w:val="22"/>
          <w:szCs w:val="22"/>
          <w:color w:val="auto"/>
        </w:rPr>
        <w:t>acquired Shares or other cash or property. Unless this Section 20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Parent or Subsidiary of the Company.</w:t>
      </w:r>
    </w:p>
    <w:p>
      <w:pPr>
        <w:spacing w:after="0" w:line="179" w:lineRule="exact"/>
        <w:rPr>
          <w:sz w:val="20"/>
          <w:szCs w:val="20"/>
          <w:color w:val="auto"/>
        </w:rPr>
      </w:pPr>
    </w:p>
    <w:p>
      <w:pPr>
        <w:jc w:val="both"/>
        <w:ind w:firstLine="1304"/>
        <w:spacing w:after="0" w:line="248" w:lineRule="auto"/>
        <w:tabs>
          <w:tab w:leader="none" w:pos="1939"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a Service Provider for cause or any specified action or inaction by a Participant, whether before or after such Participant’s cessation of Service Provider status, that would constitute cause for termination of such Participant’s status as a Service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1" w:right="339" w:bottom="1440" w:gutter="0" w:footer="0" w:header="0"/>
        </w:sectPr>
      </w:pPr>
    </w:p>
    <w:bookmarkStart w:id="431" w:name="page432"/>
    <w:bookmarkEnd w:id="431"/>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EMPLOYEE STOCK PURCHASE PLAN</w:t>
      </w:r>
    </w:p>
    <w:p>
      <w:pPr>
        <w:spacing w:after="0" w:line="220" w:lineRule="exact"/>
        <w:rPr>
          <w:sz w:val="20"/>
          <w:szCs w:val="20"/>
          <w:color w:val="auto"/>
        </w:rPr>
      </w:pPr>
    </w:p>
    <w:p>
      <w:pPr>
        <w:jc w:val="both"/>
        <w:ind w:firstLine="656"/>
        <w:spacing w:after="0" w:line="246" w:lineRule="auto"/>
        <w:tabs>
          <w:tab w:leader="none" w:pos="1296"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Purpose</w:t>
      </w:r>
      <w:r>
        <w:rPr>
          <w:rFonts w:ascii="Times New Roman" w:cs="Times New Roman" w:eastAsia="Times New Roman" w:hAnsi="Times New Roman"/>
          <w:sz w:val="22"/>
          <w:szCs w:val="22"/>
          <w:color w:val="auto"/>
        </w:rPr>
        <w:t>. The purpose of the Plan is to provide employees of the Company and its Designated Companies with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to purchase Common Stock through accumulated Contributions. The Company intends for the Plan to have two components: a component that is intended to qualify as an “employee stock purchase plan” under Code Section 423 (the “</w:t>
      </w:r>
      <w:r>
        <w:rPr>
          <w:rFonts w:ascii="Times New Roman" w:cs="Times New Roman" w:eastAsia="Times New Roman" w:hAnsi="Times New Roman"/>
          <w:sz w:val="22"/>
          <w:szCs w:val="22"/>
          <w:b w:val="1"/>
          <w:bCs w:val="1"/>
          <w:color w:val="auto"/>
        </w:rPr>
        <w:t>423 Component</w:t>
      </w:r>
      <w:r>
        <w:rPr>
          <w:rFonts w:ascii="Times New Roman" w:cs="Times New Roman" w:eastAsia="Times New Roman" w:hAnsi="Times New Roman"/>
          <w:sz w:val="22"/>
          <w:szCs w:val="22"/>
          <w:color w:val="auto"/>
        </w:rPr>
        <w:t>”) and a component that is not intended to qualify as an “employee stock purchase plan” under Code Section 423 (the “</w:t>
      </w:r>
      <w:r>
        <w:rPr>
          <w:rFonts w:ascii="Times New Roman" w:cs="Times New Roman" w:eastAsia="Times New Roman" w:hAnsi="Times New Roman"/>
          <w:sz w:val="22"/>
          <w:szCs w:val="22"/>
          <w:b w:val="1"/>
          <w:bCs w:val="1"/>
          <w:color w:val="auto"/>
        </w:rPr>
        <w:t>Non-423 Component</w:t>
      </w:r>
      <w:r>
        <w:rPr>
          <w:rFonts w:ascii="Times New Roman" w:cs="Times New Roman" w:eastAsia="Times New Roman" w:hAnsi="Times New Roman"/>
          <w:sz w:val="22"/>
          <w:szCs w:val="22"/>
          <w:color w:val="auto"/>
        </w:rPr>
        <w:t>”).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Non-423 Component that does not qualify as an “employee stock purchase plan” under Code Section 423; an option granted under the Non-423 Component will provide for substantially the same benefits as an option granted under the 423 Component, except that a Non-423 Component option may include features necessary to comply with applicable non-U.S. laws pursuant to rules, procedures or sub-plans adopted by the Administrator. Except as otherwise provided herein or by the Administrator, the Non-423 Component will operate and be administered in the same manner as the 423 Component.</w:t>
      </w:r>
    </w:p>
    <w:p>
      <w:pPr>
        <w:spacing w:after="0" w:line="18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the Board or any Committee designated by the Board to administer the Plan pursuant to Section 3.</w:t>
      </w:r>
    </w:p>
    <w:p>
      <w:pPr>
        <w:spacing w:after="0" w:line="14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2.2 “</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options are, or will be, granted under the Plan.</w:t>
      </w:r>
    </w:p>
    <w:p>
      <w:pPr>
        <w:spacing w:after="0" w:line="17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of the Company.</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2.4 “</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means the occurrence of any of the following events, unless specifically provided otherwise by the Administrator with respect to a particular Offering:</w:t>
      </w:r>
    </w:p>
    <w:p>
      <w:pPr>
        <w:spacing w:after="0" w:line="149" w:lineRule="exact"/>
        <w:rPr>
          <w:sz w:val="20"/>
          <w:szCs w:val="20"/>
          <w:color w:val="auto"/>
        </w:rPr>
      </w:pPr>
    </w:p>
    <w:p>
      <w:pPr>
        <w:jc w:val="both"/>
        <w:ind w:firstLine="1952"/>
        <w:spacing w:after="0" w:line="249" w:lineRule="auto"/>
        <w:tabs>
          <w:tab w:leader="none" w:pos="2589"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Ownership of the Company</w:t>
      </w:r>
      <w:r>
        <w:rPr>
          <w:rFonts w:ascii="Times New Roman" w:cs="Times New Roman" w:eastAsia="Times New Roman" w:hAnsi="Times New Roman"/>
          <w:sz w:val="22"/>
          <w:szCs w:val="22"/>
          <w:color w:val="auto"/>
        </w:rPr>
        <w:t>. A change in the ownership of the Company which occurs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date that any one person, or more than one person acting as a group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w:t>
      </w:r>
    </w:p>
    <w:p>
      <w:pPr>
        <w:sectPr>
          <w:pgSz w:w="11900" w:h="16838" w:orient="portrait"/>
          <w:cols w:equalWidth="0" w:num="1">
            <w:col w:w="11240"/>
          </w:cols>
          <w:pgMar w:left="320" w:top="117" w:right="339" w:bottom="1440" w:gutter="0" w:footer="0" w:header="0"/>
        </w:sectPr>
      </w:pPr>
    </w:p>
    <w:bookmarkStart w:id="432" w:name="page433"/>
    <w:bookmarkEnd w:id="432"/>
    <w:p>
      <w:pPr>
        <w:jc w:val="both"/>
        <w:spacing w:after="0" w:line="246" w:lineRule="auto"/>
        <w:rPr>
          <w:sz w:val="20"/>
          <w:szCs w:val="20"/>
          <w:color w:val="auto"/>
        </w:rPr>
      </w:pPr>
      <w:r>
        <w:rPr>
          <w:rFonts w:ascii="Times New Roman" w:cs="Times New Roman" w:eastAsia="Times New Roman" w:hAnsi="Times New Roman"/>
          <w:sz w:val="22"/>
          <w:szCs w:val="22"/>
          <w:color w:val="auto"/>
        </w:rPr>
        <w:t>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7" w:lineRule="exact"/>
        <w:rPr>
          <w:sz w:val="20"/>
          <w:szCs w:val="20"/>
          <w:color w:val="auto"/>
        </w:rPr>
      </w:pPr>
    </w:p>
    <w:p>
      <w:pPr>
        <w:jc w:val="both"/>
        <w:ind w:firstLine="1952"/>
        <w:spacing w:after="0" w:line="249" w:lineRule="auto"/>
        <w:tabs>
          <w:tab w:leader="none" w:pos="2587" w:val="left"/>
        </w:tabs>
        <w:numPr>
          <w:ilvl w:val="1"/>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Effective Control of the Company</w:t>
      </w:r>
      <w:r>
        <w:rPr>
          <w:rFonts w:ascii="Times New Roman" w:cs="Times New Roman" w:eastAsia="Times New Roman" w:hAnsi="Times New Roman"/>
          <w:sz w:val="22"/>
          <w:szCs w:val="22"/>
          <w:color w:val="auto"/>
        </w:rPr>
        <w:t>. If the Company has a class of securities registered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80" w:lineRule="exact"/>
        <w:rPr>
          <w:rFonts w:ascii="Times New Roman" w:cs="Times New Roman" w:eastAsia="Times New Roman" w:hAnsi="Times New Roman"/>
          <w:sz w:val="22"/>
          <w:szCs w:val="22"/>
          <w:color w:val="auto"/>
        </w:rPr>
      </w:pPr>
    </w:p>
    <w:p>
      <w:pPr>
        <w:jc w:val="both"/>
        <w:ind w:firstLine="1952"/>
        <w:spacing w:after="0" w:line="259" w:lineRule="auto"/>
        <w:tabs>
          <w:tab w:leader="none" w:pos="2589" w:val="left"/>
        </w:tabs>
        <w:numPr>
          <w:ilvl w:val="1"/>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 in Ownership of a Substantial Portion of the Company’s Assets</w:t>
      </w:r>
      <w:r>
        <w:rPr>
          <w:rFonts w:ascii="Times New Roman" w:cs="Times New Roman" w:eastAsia="Times New Roman" w:hAnsi="Times New Roman"/>
          <w:sz w:val="21"/>
          <w:szCs w:val="21"/>
          <w:color w:val="auto"/>
        </w:rPr>
        <w:t>. A change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w:t>
      </w:r>
    </w:p>
    <w:p>
      <w:pPr>
        <w:spacing w:after="0" w:line="3" w:lineRule="exact"/>
        <w:rPr>
          <w:rFonts w:ascii="Times New Roman" w:cs="Times New Roman" w:eastAsia="Times New Roman" w:hAnsi="Times New Roman"/>
          <w:sz w:val="21"/>
          <w:szCs w:val="21"/>
          <w:color w:val="auto"/>
        </w:rPr>
      </w:pPr>
    </w:p>
    <w:p>
      <w:pPr>
        <w:jc w:val="both"/>
        <w:ind w:firstLine="8"/>
        <w:spacing w:after="0" w:line="244" w:lineRule="auto"/>
        <w:tabs>
          <w:tab w:leader="none" w:pos="284"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For purposes of this Section 2.4, persons will be considered to be acting as a group if they are owners of a corporation that enters into a merger, consolidation, purchase or acquisition of stock, or similar business transaction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1" w:right="339" w:bottom="1440" w:gutter="0" w:footer="0" w:header="0"/>
        </w:sectPr>
      </w:pPr>
    </w:p>
    <w:bookmarkStart w:id="433" w:name="page434"/>
    <w:bookmarkEnd w:id="433"/>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w:t>
      </w:r>
    </w:p>
    <w:p>
      <w:pPr>
        <w:spacing w:after="0" w:line="15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17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2.5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means a committee of the Board appointed in accordance with Section 3 hereof.</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means the Class A common stock of the Company.</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means Seer, Inc., a Delaware corporation, or any successor thereto.</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2.9 “</w:t>
      </w:r>
      <w:r>
        <w:rPr>
          <w:rFonts w:ascii="Times New Roman" w:cs="Times New Roman" w:eastAsia="Times New Roman" w:hAnsi="Times New Roman"/>
          <w:sz w:val="22"/>
          <w:szCs w:val="22"/>
          <w:b w:val="1"/>
          <w:bCs w:val="1"/>
          <w:color w:val="auto"/>
        </w:rPr>
        <w:t>Compensation</w:t>
      </w:r>
      <w:r>
        <w:rPr>
          <w:rFonts w:ascii="Times New Roman" w:cs="Times New Roman" w:eastAsia="Times New Roman" w:hAnsi="Times New Roman"/>
          <w:sz w:val="22"/>
          <w:szCs w:val="22"/>
          <w:color w:val="auto"/>
        </w:rPr>
        <w:t>” 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spacing w:after="0" w:line="17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2.10 “</w:t>
      </w:r>
      <w:r>
        <w:rPr>
          <w:rFonts w:ascii="Times New Roman" w:cs="Times New Roman" w:eastAsia="Times New Roman" w:hAnsi="Times New Roman"/>
          <w:sz w:val="22"/>
          <w:szCs w:val="22"/>
          <w:b w:val="1"/>
          <w:bCs w:val="1"/>
          <w:color w:val="auto"/>
        </w:rPr>
        <w:t>Contributions</w:t>
      </w:r>
      <w:r>
        <w:rPr>
          <w:rFonts w:ascii="Times New Roman" w:cs="Times New Roman" w:eastAsia="Times New Roman" w:hAnsi="Times New Roman"/>
          <w:sz w:val="22"/>
          <w:szCs w:val="22"/>
          <w:color w:val="auto"/>
        </w:rPr>
        <w:t>” means the payroll deductions and other additional payments that the Company may permit to be made by a Participant to fund the exercise of options granted pursuant to the Plan.</w:t>
      </w:r>
    </w:p>
    <w:p>
      <w:pPr>
        <w:spacing w:after="0" w:line="14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2.11 “</w:t>
      </w:r>
      <w:r>
        <w:rPr>
          <w:rFonts w:ascii="Times New Roman" w:cs="Times New Roman" w:eastAsia="Times New Roman" w:hAnsi="Times New Roman"/>
          <w:sz w:val="22"/>
          <w:szCs w:val="22"/>
          <w:b w:val="1"/>
          <w:bCs w:val="1"/>
          <w:color w:val="auto"/>
        </w:rPr>
        <w:t>Designated Company</w:t>
      </w:r>
      <w:r>
        <w:rPr>
          <w:rFonts w:ascii="Times New Roman" w:cs="Times New Roman" w:eastAsia="Times New Roman" w:hAnsi="Times New Roman"/>
          <w:sz w:val="22"/>
          <w:szCs w:val="22"/>
          <w:color w:val="auto"/>
        </w:rPr>
        <w:t>” means any Subsidiary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Non-423 Component.</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Director</w:t>
      </w:r>
      <w:r>
        <w:rPr>
          <w:rFonts w:ascii="Times New Roman" w:cs="Times New Roman" w:eastAsia="Times New Roman" w:hAnsi="Times New Roman"/>
          <w:sz w:val="21"/>
          <w:szCs w:val="21"/>
          <w:color w:val="auto"/>
        </w:rPr>
        <w:t>” means a member of the Board.</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2.13 “</w:t>
      </w:r>
      <w:r>
        <w:rPr>
          <w:rFonts w:ascii="Times New Roman" w:cs="Times New Roman" w:eastAsia="Times New Roman" w:hAnsi="Times New Roman"/>
          <w:sz w:val="22"/>
          <w:szCs w:val="22"/>
          <w:b w:val="1"/>
          <w:bCs w:val="1"/>
          <w:color w:val="auto"/>
        </w:rPr>
        <w:t>Eligible Employee</w:t>
      </w:r>
      <w:r>
        <w:rPr>
          <w:rFonts w:ascii="Times New Roman" w:cs="Times New Roman" w:eastAsia="Times New Roman" w:hAnsi="Times New Roman"/>
          <w:sz w:val="22"/>
          <w:szCs w:val="22"/>
          <w:color w:val="auto"/>
        </w:rPr>
        <w:t>” means any individual who is a common law employee providing services to the Company or a Designated Company and is customarily employed for at least twenty (20) hours per week and more than five (5) months in any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1" w:right="339" w:bottom="1440" w:gutter="0" w:footer="0" w:header="0"/>
        </w:sectPr>
      </w:pPr>
    </w:p>
    <w:bookmarkStart w:id="434" w:name="page435"/>
    <w:bookmarkEnd w:id="434"/>
    <w:p>
      <w:pPr>
        <w:jc w:val="both"/>
        <w:spacing w:after="0" w:line="244" w:lineRule="auto"/>
        <w:rPr>
          <w:sz w:val="20"/>
          <w:szCs w:val="20"/>
          <w:color w:val="auto"/>
        </w:rPr>
      </w:pPr>
      <w:r>
        <w:rPr>
          <w:rFonts w:ascii="Times New Roman" w:cs="Times New Roman" w:eastAsia="Times New Roman" w:hAnsi="Times New Roman"/>
          <w:sz w:val="22"/>
          <w:szCs w:val="22"/>
          <w:color w:val="auto"/>
        </w:rPr>
        <w:t>year by the Employer, or any lesser number of hours per week and/or number of months in any calendar year established by the Administrator (if required under Applicable Laws) for purposes of any separate Offering or for Participants in the Non-423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Regulations Section 1.423-2)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Regulations Section 1.423-2(e)(2)(ii). Such exclusions may be applied with respect to an Offering under the Non-423 Component without regard to the limitations of U.S. Treasury Regulations Section 1.423-2.</w:t>
      </w:r>
    </w:p>
    <w:p>
      <w:pPr>
        <w:spacing w:after="0" w:line="19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Employer</w:t>
      </w:r>
      <w:r>
        <w:rPr>
          <w:rFonts w:ascii="Times New Roman" w:cs="Times New Roman" w:eastAsia="Times New Roman" w:hAnsi="Times New Roman"/>
          <w:sz w:val="21"/>
          <w:szCs w:val="21"/>
          <w:color w:val="auto"/>
        </w:rPr>
        <w:t>” means the employer of the applicable Eligible Employee(s).</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Enrollment Date</w:t>
      </w:r>
      <w:r>
        <w:rPr>
          <w:rFonts w:ascii="Times New Roman" w:cs="Times New Roman" w:eastAsia="Times New Roman" w:hAnsi="Times New Roman"/>
          <w:sz w:val="21"/>
          <w:szCs w:val="21"/>
          <w:color w:val="auto"/>
        </w:rPr>
        <w:t>” means the first Trading Day of each Offering Period.</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2.16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 including the rules and regulations promulgated thereunder.</w:t>
      </w:r>
    </w:p>
    <w:p>
      <w:pPr>
        <w:spacing w:after="0" w:line="14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2.17 “</w:t>
      </w:r>
      <w:r>
        <w:rPr>
          <w:rFonts w:ascii="Times New Roman" w:cs="Times New Roman" w:eastAsia="Times New Roman" w:hAnsi="Times New Roman"/>
          <w:sz w:val="22"/>
          <w:szCs w:val="22"/>
          <w:b w:val="1"/>
          <w:bCs w:val="1"/>
          <w:color w:val="auto"/>
        </w:rPr>
        <w:t>Exercise Date</w:t>
      </w:r>
      <w:r>
        <w:rPr>
          <w:rFonts w:ascii="Times New Roman" w:cs="Times New Roman" w:eastAsia="Times New Roman" w:hAnsi="Times New Roman"/>
          <w:sz w:val="22"/>
          <w:szCs w:val="22"/>
          <w:color w:val="auto"/>
        </w:rPr>
        <w:t>” means the last Trading Day of a Purchase Period.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Date(s) that otherwise would have occurred on the last Trading Day of such Purchase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1" w:right="339" w:bottom="1440" w:gutter="0" w:footer="0" w:header="0"/>
        </w:sectPr>
      </w:pPr>
    </w:p>
    <w:bookmarkStart w:id="435" w:name="page436"/>
    <w:bookmarkEnd w:id="435"/>
    <w:p>
      <w:pPr>
        <w:ind w:firstLine="1296"/>
        <w:spacing w:after="0" w:line="275" w:lineRule="auto"/>
        <w:rPr>
          <w:sz w:val="20"/>
          <w:szCs w:val="20"/>
          <w:color w:val="auto"/>
        </w:rPr>
      </w:pPr>
      <w:r>
        <w:rPr>
          <w:rFonts w:ascii="Times New Roman" w:cs="Times New Roman" w:eastAsia="Times New Roman" w:hAnsi="Times New Roman"/>
          <w:sz w:val="22"/>
          <w:szCs w:val="22"/>
          <w:color w:val="auto"/>
        </w:rPr>
        <w:t>2.18 “</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means, as of any date and unless the Administrator determines otherwise, the value of Common Stock determined as follows:</w:t>
      </w:r>
    </w:p>
    <w:p>
      <w:pPr>
        <w:spacing w:after="0" w:line="153" w:lineRule="exact"/>
        <w:rPr>
          <w:sz w:val="20"/>
          <w:szCs w:val="20"/>
          <w:color w:val="auto"/>
        </w:rPr>
      </w:pPr>
    </w:p>
    <w:p>
      <w:pPr>
        <w:jc w:val="both"/>
        <w:ind w:firstLine="1952"/>
        <w:spacing w:after="0" w:line="248" w:lineRule="auto"/>
        <w:tabs>
          <w:tab w:leader="none" w:pos="2589"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86"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7"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or such other source as the Administrator deems reliable;</w:t>
      </w:r>
    </w:p>
    <w:p>
      <w:pPr>
        <w:spacing w:after="0" w:line="180" w:lineRule="exact"/>
        <w:rPr>
          <w:rFonts w:ascii="Times New Roman" w:cs="Times New Roman" w:eastAsia="Times New Roman" w:hAnsi="Times New Roman"/>
          <w:sz w:val="22"/>
          <w:szCs w:val="22"/>
          <w:color w:val="auto"/>
        </w:rPr>
      </w:pPr>
    </w:p>
    <w:p>
      <w:pPr>
        <w:ind w:firstLine="1952"/>
        <w:spacing w:after="0" w:line="271" w:lineRule="auto"/>
        <w:tabs>
          <w:tab w:leader="none" w:pos="2589"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an established market for the Common Stock, the Fair Market Value will be determined in good faith by the Administrator.</w:t>
      </w:r>
    </w:p>
    <w:p>
      <w:pPr>
        <w:spacing w:after="0" w:line="158" w:lineRule="exact"/>
        <w:rPr>
          <w:sz w:val="20"/>
          <w:szCs w:val="20"/>
          <w:color w:val="auto"/>
        </w:rPr>
      </w:pPr>
    </w:p>
    <w:p>
      <w:pPr>
        <w:ind w:right="240" w:firstLine="1296"/>
        <w:spacing w:after="0" w:line="257" w:lineRule="auto"/>
        <w:rPr>
          <w:sz w:val="20"/>
          <w:szCs w:val="20"/>
          <w:color w:val="auto"/>
        </w:rPr>
      </w:pPr>
      <w:r>
        <w:rPr>
          <w:rFonts w:ascii="Times New Roman" w:cs="Times New Roman" w:eastAsia="Times New Roman" w:hAnsi="Times New Roman"/>
          <w:sz w:val="22"/>
          <w:szCs w:val="22"/>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6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Fiscal Year</w:t>
      </w:r>
      <w:r>
        <w:rPr>
          <w:rFonts w:ascii="Times New Roman" w:cs="Times New Roman" w:eastAsia="Times New Roman" w:hAnsi="Times New Roman"/>
          <w:sz w:val="21"/>
          <w:szCs w:val="21"/>
          <w:color w:val="auto"/>
        </w:rPr>
        <w:t>” means the fiscal year of the Company.</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2.20</w:t>
        <w:tab/>
        <w:t>“</w:t>
      </w:r>
      <w:r>
        <w:rPr>
          <w:rFonts w:ascii="Times New Roman" w:cs="Times New Roman" w:eastAsia="Times New Roman" w:hAnsi="Times New Roman"/>
          <w:sz w:val="22"/>
          <w:szCs w:val="22"/>
          <w:b w:val="1"/>
          <w:bCs w:val="1"/>
          <w:color w:val="auto"/>
        </w:rPr>
        <w:t>New Exercise Date</w:t>
      </w:r>
      <w:r>
        <w:rPr>
          <w:rFonts w:ascii="Times New Roman" w:cs="Times New Roman" w:eastAsia="Times New Roman" w:hAnsi="Times New Roman"/>
          <w:sz w:val="22"/>
          <w:szCs w:val="22"/>
          <w:color w:val="auto"/>
        </w:rPr>
        <w:t>” means a new Exercise Date if the Administrator shortens any Offering Period then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progress.</w:t>
      </w:r>
    </w:p>
    <w:p>
      <w:pPr>
        <w:spacing w:after="0" w:line="192"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2.21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1.423-2(a)(1), the terms of each Offering need not be identical provided that the terms of the Plan and an Offering together satisfy U.S. Treasury Regulations Section 1.423-2(a)(2) and (a)(3).</w:t>
      </w:r>
    </w:p>
    <w:p>
      <w:pPr>
        <w:spacing w:after="0" w:line="18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2.22 “</w:t>
      </w:r>
      <w:r>
        <w:rPr>
          <w:rFonts w:ascii="Times New Roman" w:cs="Times New Roman" w:eastAsia="Times New Roman" w:hAnsi="Times New Roman"/>
          <w:sz w:val="22"/>
          <w:szCs w:val="22"/>
          <w:b w:val="1"/>
          <w:bCs w:val="1"/>
          <w:color w:val="auto"/>
        </w:rPr>
        <w:t>Offering Period</w:t>
      </w:r>
      <w:r>
        <w:rPr>
          <w:rFonts w:ascii="Times New Roman" w:cs="Times New Roman" w:eastAsia="Times New Roman" w:hAnsi="Times New Roman"/>
          <w:sz w:val="22"/>
          <w:szCs w:val="22"/>
          <w:color w:val="auto"/>
        </w:rPr>
        <w:t>” means a period beginning on such date as may be determined by the Administrator, in its discretion, during which an Option granted pursuant to the Plan may be exercised. Upon the Administrator’s determination that Offering Periods shall commence under the Plan (the “</w:t>
      </w:r>
      <w:r>
        <w:rPr>
          <w:rFonts w:ascii="Times New Roman" w:cs="Times New Roman" w:eastAsia="Times New Roman" w:hAnsi="Times New Roman"/>
          <w:sz w:val="22"/>
          <w:szCs w:val="22"/>
          <w:b w:val="1"/>
          <w:bCs w:val="1"/>
          <w:color w:val="auto"/>
        </w:rPr>
        <w:t>Offer Commencement Approval</w:t>
      </w:r>
      <w:r>
        <w:rPr>
          <w:rFonts w:ascii="Times New Roman" w:cs="Times New Roman" w:eastAsia="Times New Roman" w:hAnsi="Times New Roman"/>
          <w:sz w:val="22"/>
          <w:szCs w:val="22"/>
          <w:color w:val="auto"/>
        </w:rPr>
        <w:t>”) and unless determined otherwise by the Administrator prior to the Enrollment Date of an Offering Period,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7" w:right="33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22"/>
          <w:szCs w:val="22"/>
          <w:color w:val="auto"/>
        </w:rPr>
        <w:t>Periods will be the consecutive periods of approximately six (6) months commencing on the first Trading Day on or after</w:t>
      </w:r>
    </w:p>
    <w:p>
      <w:pPr>
        <w:spacing w:after="0" w:line="28" w:lineRule="exact"/>
        <w:rPr>
          <w:sz w:val="20"/>
          <w:szCs w:val="20"/>
          <w:color w:val="auto"/>
        </w:rPr>
      </w:pPr>
    </w:p>
    <w:p>
      <w:pPr>
        <w:jc w:val="both"/>
        <w:ind w:firstLine="8"/>
        <w:spacing w:after="0" w:line="244" w:lineRule="auto"/>
        <w:tabs>
          <w:tab w:leader="none" w:pos="312"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February 15 and August 15 of each year following the date of the Offer Commencement Approval, and terminating on the first Trading Day on or after August 15 and February 15, respectively, approximately six (6) months later, or (b) if upon the Offer Commencement Approval, either of May 15 or November 15 occurs earlier than any of February 15 and August 15, then on the first Trading Day on or after May 15 and November 15 of each year following the date of the Offer Commencement Approval, and terminating on the first Trading Day on or after November 15 and May 15, respectively, approximately six (6) months later. The duration and timing of Offering Periods may be changed pursuant to Sections 6 and 18.</w:t>
      </w:r>
    </w:p>
    <w:p>
      <w:pPr>
        <w:spacing w:after="0" w:line="18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2.23</w:t>
        <w:tab/>
        <w:t>“</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means a “</w:t>
      </w:r>
      <w:r>
        <w:rPr>
          <w:rFonts w:ascii="Times New Roman" w:cs="Times New Roman" w:eastAsia="Times New Roman" w:hAnsi="Times New Roman"/>
          <w:sz w:val="22"/>
          <w:szCs w:val="22"/>
          <w:b w:val="1"/>
          <w:bCs w:val="1"/>
          <w:color w:val="auto"/>
        </w:rPr>
        <w:t>parent corporation,</w:t>
      </w:r>
      <w:r>
        <w:rPr>
          <w:rFonts w:ascii="Times New Roman" w:cs="Times New Roman" w:eastAsia="Times New Roman" w:hAnsi="Times New Roman"/>
          <w:sz w:val="22"/>
          <w:szCs w:val="22"/>
          <w:color w:val="auto"/>
        </w:rPr>
        <w:t>” whether now or hereafter existing, as defined in Code Section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424(e).</w:t>
      </w:r>
    </w:p>
    <w:p>
      <w:pPr>
        <w:spacing w:after="0" w:line="19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means an Eligible Employee that participates in the Plan.</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means this Seer, Inc. 2020 Employee Stock Purchase Plan.</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2.26 “</w:t>
      </w:r>
      <w:r>
        <w:rPr>
          <w:rFonts w:ascii="Times New Roman" w:cs="Times New Roman" w:eastAsia="Times New Roman" w:hAnsi="Times New Roman"/>
          <w:sz w:val="22"/>
          <w:szCs w:val="22"/>
          <w:b w:val="1"/>
          <w:bCs w:val="1"/>
          <w:color w:val="auto"/>
        </w:rPr>
        <w:t>Purchase Period</w:t>
      </w:r>
      <w:r>
        <w:rPr>
          <w:rFonts w:ascii="Times New Roman" w:cs="Times New Roman" w:eastAsia="Times New Roman" w:hAnsi="Times New Roman"/>
          <w:sz w:val="22"/>
          <w:szCs w:val="22"/>
          <w:color w:val="auto"/>
        </w:rPr>
        <w:t>” 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2.27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means an amount equal to eighty-five percent (85%) of the Fair Market Value of a share of Common Stock on the Enrollment Date or on the Exercise Date, whichever is lower; provided however, that the Purchase Price may be determined for subsequent Offering Periods by the Administrator subject to compliance with Code Section 423 (or any successor rule or provision or any other Applicable Law, regulation or stock exchange rule) or pursuant to Section 18.</w:t>
      </w:r>
    </w:p>
    <w:p>
      <w:pPr>
        <w:spacing w:after="0" w:line="17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2.28 “</w:t>
      </w:r>
      <w:r>
        <w:rPr>
          <w:rFonts w:ascii="Times New Roman" w:cs="Times New Roman" w:eastAsia="Times New Roman" w:hAnsi="Times New Roman"/>
          <w:sz w:val="22"/>
          <w:szCs w:val="22"/>
          <w:b w:val="1"/>
          <w:bCs w:val="1"/>
          <w:color w:val="auto"/>
        </w:rPr>
        <w:t>Registration Date</w:t>
      </w:r>
      <w:r>
        <w:rPr>
          <w:rFonts w:ascii="Times New Roman" w:cs="Times New Roman" w:eastAsia="Times New Roman" w:hAnsi="Times New Roman"/>
          <w:sz w:val="22"/>
          <w:szCs w:val="22"/>
          <w:color w:val="auto"/>
        </w:rPr>
        <w:t>” means the effective date of the first registration statement that is filed by the Company and declared effective pursuant to Section 12(b) of the Exchange Act, with respect to any class of the Company’s securities.</w:t>
      </w:r>
    </w:p>
    <w:p>
      <w:pPr>
        <w:spacing w:after="0" w:line="166"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2.29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Code Section 409A and the U.S. Treasury Regulations and guidance thereunder, and any applicable state law equivalent, as each may be promulgated, amended or modified from time to time.</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2.30</w:t>
        <w:tab/>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 “subsidiary corporation,” whether now or hereafter existing, as defined in Code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424(f).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1" w:right="339" w:bottom="1440" w:gutter="0" w:footer="0" w:header="0"/>
        </w:sectPr>
      </w:pPr>
    </w:p>
    <w:bookmarkStart w:id="437" w:name="page438"/>
    <w:bookmarkEnd w:id="437"/>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2.31 “</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on which the primary stock exchange, national market system, or other trading platform, as applicable, upon which the Common Stock is listed (or otherwise trades regularly, as determined by the Administrator, in its sole discretion) is open for trading.</w:t>
      </w:r>
    </w:p>
    <w:p>
      <w:pPr>
        <w:spacing w:after="0" w:line="16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2.32 “</w:t>
      </w:r>
      <w:r>
        <w:rPr>
          <w:rFonts w:ascii="Times New Roman" w:cs="Times New Roman" w:eastAsia="Times New Roman" w:hAnsi="Times New Roman"/>
          <w:sz w:val="22"/>
          <w:szCs w:val="22"/>
          <w:b w:val="1"/>
          <w:bCs w:val="1"/>
          <w:color w:val="auto"/>
        </w:rPr>
        <w:t>U.S. Treasury Regulations</w:t>
      </w:r>
      <w:r>
        <w:rPr>
          <w:rFonts w:ascii="Times New Roman" w:cs="Times New Roman" w:eastAsia="Times New Roman" w:hAnsi="Times New Roman"/>
          <w:sz w:val="22"/>
          <w:szCs w:val="22"/>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75" w:lineRule="exact"/>
        <w:rPr>
          <w:sz w:val="20"/>
          <w:szCs w:val="20"/>
          <w:color w:val="auto"/>
        </w:rPr>
      </w:pPr>
    </w:p>
    <w:p>
      <w:pPr>
        <w:ind w:left="1300" w:hanging="644"/>
        <w:spacing w:after="0"/>
        <w:tabs>
          <w:tab w:leader="none" w:pos="1300"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Stock Subject to the Plan</w:t>
      </w:r>
      <w:r>
        <w:rPr>
          <w:rFonts w:ascii="Times New Roman" w:cs="Times New Roman" w:eastAsia="Times New Roman" w:hAnsi="Times New Roman"/>
          <w:sz w:val="22"/>
          <w:szCs w:val="22"/>
          <w:color w:val="auto"/>
        </w:rPr>
        <w:t>. Subject to adjustment upon changes in capitalization of the Company as provided in Section 17 hereof, the maximum number of shares of Common Stock that will be made available for sale under the Plan will be equal to 602,570 shares of Common Stock.</w:t>
      </w:r>
    </w:p>
    <w:p>
      <w:pPr>
        <w:spacing w:after="0" w:line="16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Automatic Share Reserve Increase</w:t>
      </w:r>
      <w:r>
        <w:rPr>
          <w:rFonts w:ascii="Times New Roman" w:cs="Times New Roman" w:eastAsia="Times New Roman" w:hAnsi="Times New Roman"/>
          <w:sz w:val="22"/>
          <w:szCs w:val="22"/>
          <w:color w:val="auto"/>
        </w:rPr>
        <w:t>. Subject to adjustment upon changes in capitalization of the Company as provided in Section 17 hereof, the number of shares of Common Stock available for issuance under the Plan will be increased on the first day of each Fiscal Year beginning with the 2021 Fiscal Year in an amount equal to the least of (a) 1,807,476 shares of Common Stock, (b) a number of shares of Common Stock equal to one percent (1%) of the total number of shares of all classes of common stock of the Company (whether Class A common stock, Class B common stock or other class of Company common stock) outstanding on the last day of the immediately preceding Fiscal Year, or (c) such number of shares determined by the Administrator no later than the last day of the immediately preceding Fiscal Year. The shares of Common Stock may be authorized, but unissued, or reacquired Common Stock.</w:t>
      </w:r>
    </w:p>
    <w:p>
      <w:pPr>
        <w:spacing w:after="0" w:line="185" w:lineRule="exact"/>
        <w:rPr>
          <w:sz w:val="20"/>
          <w:szCs w:val="20"/>
          <w:color w:val="auto"/>
        </w:rPr>
      </w:pPr>
    </w:p>
    <w:p>
      <w:pPr>
        <w:jc w:val="both"/>
        <w:ind w:firstLine="656"/>
        <w:spacing w:after="0" w:line="259" w:lineRule="auto"/>
        <w:tabs>
          <w:tab w:leader="none" w:pos="1296"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Administration</w:t>
      </w:r>
      <w:r>
        <w:rPr>
          <w:rFonts w:ascii="Times New Roman" w:cs="Times New Roman" w:eastAsia="Times New Roman" w:hAnsi="Times New Roman"/>
          <w:sz w:val="22"/>
          <w:szCs w:val="22"/>
          <w:color w:val="auto"/>
        </w:rPr>
        <w:t>. The Plan will be administered by the Board or a Committee appointed by the Board,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will be constituted to comply with Applicable Laws. The Administrator will have full and exclusive discretionary authority to</w:t>
      </w:r>
    </w:p>
    <w:p>
      <w:pPr>
        <w:spacing w:after="0" w:line="17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construe, interpret and apply the terms of the Plan,</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delegate ministerial duties to any of the Company’s employees,</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separate Offerings under the Plan,</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Subsidiaries as participating in the 423 Component or Non-423 Component,</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eligibility,</w:t>
      </w:r>
    </w:p>
    <w:p>
      <w:pPr>
        <w:spacing w:after="0" w:line="21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adjudicate all disputed claims filed under the Plan,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7" w:right="339" w:bottom="1440" w:gutter="0" w:footer="0" w:header="0"/>
        </w:sectPr>
      </w:pPr>
    </w:p>
    <w:bookmarkStart w:id="438" w:name="page439"/>
    <w:bookmarkEnd w:id="438"/>
    <w:p>
      <w:pPr>
        <w:jc w:val="both"/>
        <w:ind w:firstLine="1304"/>
        <w:spacing w:after="0" w:line="246" w:lineRule="auto"/>
        <w:tabs>
          <w:tab w:leader="none" w:pos="1939"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such procedures that it deems necessary or advisable for the administration of the Plan (including, without limitation, to adopt such procedures, sub-plans, and appendices to the enrollment agreement as are necessary or appropriate to permit the participation in the Plan by employees who are foreign nationals or employed outside the U.S., the terms of which sub-plans and appendices may take precedence over other provisions of this Plan, with the exception of Section 3 hereof, but unless otherwise superseded by the terms of such sub-plan or appendix, the provisions of this Plan will govern the operation of such sub-plan or appendix). Unless otherwise determined by the Administrator, the Eligible Employees eligible to participate in each sub-plan will participate in a separate Offering under the 423 Component, or if the terms would not qualify under the 423 Component, in the Non-423 Component, in either case unless such designation would cause the 423 Component to violate the requirements of Code Section 423.</w:t>
      </w:r>
    </w:p>
    <w:p>
      <w:pPr>
        <w:spacing w:after="0" w:line="191"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84" w:lineRule="exact"/>
        <w:rPr>
          <w:sz w:val="20"/>
          <w:szCs w:val="20"/>
          <w:color w:val="auto"/>
        </w:rPr>
      </w:pPr>
    </w:p>
    <w:p>
      <w:pPr>
        <w:ind w:left="1300" w:hanging="644"/>
        <w:spacing w:after="0"/>
        <w:tabs>
          <w:tab w:leader="none" w:pos="1300"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Eligibility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color w:val="auto"/>
        </w:rPr>
        <w:t>Offering Periods</w:t>
      </w:r>
      <w:r>
        <w:rPr>
          <w:rFonts w:ascii="Times New Roman" w:cs="Times New Roman" w:eastAsia="Times New Roman" w:hAnsi="Times New Roman"/>
          <w:sz w:val="22"/>
          <w:szCs w:val="22"/>
          <w:color w:val="auto"/>
        </w:rPr>
        <w:t>. Any Eligible Employee on a given Enrollment Date will be eligible to participate in the Plan, subject to the requirements of Section 7.</w:t>
      </w:r>
    </w:p>
    <w:p>
      <w:pPr>
        <w:spacing w:after="0" w:line="14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Non-U.S. Employees</w:t>
      </w:r>
      <w:r>
        <w:rPr>
          <w:rFonts w:ascii="Times New Roman" w:cs="Times New Roman" w:eastAsia="Times New Roman" w:hAnsi="Times New Roman"/>
          <w:sz w:val="22"/>
          <w:szCs w:val="22"/>
          <w:color w:val="auto"/>
        </w:rPr>
        <w:t>. Eligible Employees who are citizens or residents of a non-U.S.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Non-423 Component, an Eligible Employee may be excluded from participation in the Plan or an Offering if the Administrator has determined that participation of such Eligible Employee is not advisable or practicable.</w:t>
      </w:r>
    </w:p>
    <w:p>
      <w:pPr>
        <w:spacing w:after="0" w:line="18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color w:val="auto"/>
        </w:rPr>
        <w:t>Limitations</w:t>
      </w:r>
      <w:r>
        <w:rPr>
          <w:rFonts w:ascii="Times New Roman" w:cs="Times New Roman" w:eastAsia="Times New Roman" w:hAnsi="Times New Roman"/>
          <w:sz w:val="22"/>
          <w:szCs w:val="22"/>
          <w:color w:val="auto"/>
        </w:rPr>
        <w:t>. Any provisions of the Plan to the contrary notwithstanding, no Eligible Employee will be granted an option under the Plan (a) to the extent that, immediately after the grant, such Eligible Employee (or any other person whose stock would be attributed to such Eligible Employee pursuant to Code Section 424(d)) would own capital stock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1" w:right="339" w:bottom="1440" w:gutter="0" w:footer="0" w:header="0"/>
        </w:sectPr>
      </w:pPr>
    </w:p>
    <w:bookmarkStart w:id="439" w:name="page440"/>
    <w:bookmarkEnd w:id="439"/>
    <w:p>
      <w:pPr>
        <w:jc w:val="both"/>
        <w:spacing w:after="0" w:line="248" w:lineRule="auto"/>
        <w:rPr>
          <w:sz w:val="20"/>
          <w:szCs w:val="20"/>
          <w:color w:val="auto"/>
        </w:rPr>
      </w:pPr>
      <w:r>
        <w:rPr>
          <w:rFonts w:ascii="Times New Roman" w:cs="Times New Roman" w:eastAsia="Times New Roman" w:hAnsi="Times New Roman"/>
          <w:sz w:val="22"/>
          <w:szCs w:val="22"/>
          <w:color w:val="auto"/>
        </w:rPr>
        <w:t>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423)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spacing w:after="0" w:line="178" w:lineRule="exact"/>
        <w:rPr>
          <w:sz w:val="20"/>
          <w:szCs w:val="20"/>
          <w:color w:val="auto"/>
        </w:rPr>
      </w:pPr>
    </w:p>
    <w:p>
      <w:pPr>
        <w:jc w:val="both"/>
        <w:ind w:firstLine="656"/>
        <w:spacing w:after="0" w:line="247" w:lineRule="auto"/>
        <w:tabs>
          <w:tab w:leader="none" w:pos="1296" w:val="left"/>
        </w:tabs>
        <w:numPr>
          <w:ilvl w:val="1"/>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Offering Periods</w:t>
      </w:r>
      <w:r>
        <w:rPr>
          <w:rFonts w:ascii="Times New Roman" w:cs="Times New Roman" w:eastAsia="Times New Roman" w:hAnsi="Times New Roman"/>
          <w:sz w:val="22"/>
          <w:szCs w:val="22"/>
          <w:color w:val="auto"/>
        </w:rPr>
        <w:t>. The Plan will be implemented by Offering Periods established by the Administrator from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time. Offering Periods will expire on the earliest to occur of (a) the completion of the purchase of shares on the last Exercise Date occurring within twenty-seven (27) months of the applicable Enrollment Date on which the option to purchase shares was granted under the Plan, or (b) such shorter period established prior to the Enrollment Date of the Offering Period by the Administrator, from time to time, in its discretion, on a uniform and nondiscriminatory basis,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 (27) months.</w:t>
      </w:r>
    </w:p>
    <w:p>
      <w:pPr>
        <w:spacing w:after="0" w:line="18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1"/>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Participation</w:t>
      </w:r>
      <w:r>
        <w:rPr>
          <w:rFonts w:ascii="Times New Roman" w:cs="Times New Roman" w:eastAsia="Times New Roman" w:hAnsi="Times New Roman"/>
          <w:sz w:val="22"/>
          <w:szCs w:val="22"/>
          <w:color w:val="auto"/>
        </w:rPr>
        <w:t>. An Eligible Employee may participate in the Plan pursuant to Section 5.1 by (a) submitting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Company’s Finance Department (or its designee), a properly completed subscription agreement authorizing Contributions in the form provided by the Administrator for such purpose (which may be similar to the form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or</w:t>
      </w:r>
    </w:p>
    <w:p>
      <w:pPr>
        <w:ind w:firstLine="8"/>
        <w:spacing w:after="0" w:line="248" w:lineRule="auto"/>
        <w:tabs>
          <w:tab w:leader="none" w:pos="329"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an electronic or other enrollment procedure determined by the Administrator, in either case, on or before a date determined by the Administrator prior to an applicable Enrollment Date.</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Contributions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Contribution Amounts</w:t>
      </w:r>
      <w:r>
        <w:rPr>
          <w:rFonts w:ascii="Times New Roman" w:cs="Times New Roman" w:eastAsia="Times New Roman" w:hAnsi="Times New Roman"/>
          <w:sz w:val="22"/>
          <w:szCs w:val="22"/>
          <w:color w:val="auto"/>
        </w:rPr>
        <w:t>. 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should a pay day occur on an Exercise Date, a Participant will have any Contributions made on such day applied to his or her account under the then-current Purchase Period or Offering Period.</w:t>
      </w:r>
    </w:p>
    <w:p>
      <w:pPr>
        <w:spacing w:after="0" w:line="18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color w:val="auto"/>
        </w:rPr>
        <w:t>Contribution Methods</w:t>
      </w:r>
      <w:r>
        <w:rPr>
          <w:rFonts w:ascii="Times New Roman" w:cs="Times New Roman" w:eastAsia="Times New Roman" w:hAnsi="Times New Roman"/>
          <w:sz w:val="22"/>
          <w:szCs w:val="22"/>
          <w:color w:val="auto"/>
        </w:rPr>
        <w:t>.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1" w:right="339" w:bottom="1440" w:gutter="0" w:footer="0" w:header="0"/>
        </w:sectPr>
      </w:pPr>
    </w:p>
    <w:bookmarkStart w:id="440" w:name="page441"/>
    <w:bookmarkEnd w:id="440"/>
    <w:p>
      <w:pPr>
        <w:ind w:right="20"/>
        <w:spacing w:after="0" w:line="271" w:lineRule="auto"/>
        <w:rPr>
          <w:sz w:val="20"/>
          <w:szCs w:val="20"/>
          <w:color w:val="auto"/>
        </w:rPr>
      </w:pPr>
      <w:r>
        <w:rPr>
          <w:rFonts w:ascii="Times New Roman" w:cs="Times New Roman" w:eastAsia="Times New Roman" w:hAnsi="Times New Roman"/>
          <w:sz w:val="22"/>
          <w:szCs w:val="22"/>
          <w:color w:val="auto"/>
        </w:rPr>
        <w:t>successive Offering Periods unless terminated as provided in Section 12 hereof (or Participant’s participation is terminated as provided in Section 13 hereof).</w:t>
      </w:r>
    </w:p>
    <w:p>
      <w:pPr>
        <w:spacing w:after="0" w:line="158" w:lineRule="exact"/>
        <w:rPr>
          <w:sz w:val="20"/>
          <w:szCs w:val="20"/>
          <w:color w:val="auto"/>
        </w:rPr>
      </w:pPr>
    </w:p>
    <w:p>
      <w:pPr>
        <w:jc w:val="both"/>
        <w:ind w:firstLine="1952"/>
        <w:spacing w:after="0" w:line="252" w:lineRule="auto"/>
        <w:tabs>
          <w:tab w:leader="none" w:pos="2589"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(or Participant’s participation is terminated as provided in Section 13 hereof).</w:t>
      </w:r>
    </w:p>
    <w:p>
      <w:pPr>
        <w:spacing w:after="0" w:line="179"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6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color w:val="auto"/>
        </w:rPr>
        <w:t>Participant Changes to Contributions</w:t>
      </w:r>
      <w:r>
        <w:rPr>
          <w:rFonts w:ascii="Times New Roman" w:cs="Times New Roman" w:eastAsia="Times New Roman" w:hAnsi="Times New Roman"/>
          <w:sz w:val="22"/>
          <w:szCs w:val="22"/>
          <w:color w:val="auto"/>
        </w:rPr>
        <w:t>. A Participant may discontinue his or her participation in the Plan as provided under Section 12. Until and unless determined otherwise by the Administrator, in its sole discretion, during any Offering Period, a Participant may not increase the rate of his or her Contributions and may decrease the rate of his or her Contributions only one (1) time, 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8.1),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spacing w:after="0" w:line="185" w:lineRule="exact"/>
        <w:rPr>
          <w:sz w:val="20"/>
          <w:szCs w:val="20"/>
          <w:color w:val="auto"/>
        </w:rPr>
      </w:pPr>
    </w:p>
    <w:p>
      <w:pPr>
        <w:jc w:val="both"/>
        <w:ind w:firstLine="1952"/>
        <w:spacing w:after="0" w:line="247" w:lineRule="auto"/>
        <w:tabs>
          <w:tab w:leader="none" w:pos="2589"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make a Contribution rate adjustment pursuant to this Section 8.3 by (A) properly completing and submitting to the Company’s Finance Department (or its designee), a new subscription agreement authorizing the change in Contribution rate in the form provided by the Administrator for such purpose, or (B) following an electronic or other procedure prescribed by the Administrator, in either case, on or before a date determined by the Administrator prior to (x) the scheduled Enrollment Date of the first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w:t>
      </w:r>
    </w:p>
    <w:p>
      <w:pPr>
        <w:spacing w:after="0" w:line="185"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7"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1" w:right="339" w:bottom="1440" w:gutter="0" w:footer="0" w:header="0"/>
        </w:sectPr>
      </w:pPr>
    </w:p>
    <w:bookmarkStart w:id="441" w:name="page442"/>
    <w:bookmarkEnd w:id="441"/>
    <w:p>
      <w:pPr>
        <w:jc w:val="both"/>
        <w:ind w:firstLine="1952"/>
        <w:spacing w:after="0" w:line="252" w:lineRule="auto"/>
        <w:tabs>
          <w:tab w:leader="none" w:pos="2589"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by this Section 8.3, any change in Contribution rate made pursuant to this Section 8.3 will be effective as of the first full payroll period following five (5) business days after the date on which the change is made by the Participant (unless the Administrator, in its sole discretion, elects to process a given change in Contribution rate earlier).</w:t>
      </w:r>
    </w:p>
    <w:p>
      <w:pPr>
        <w:spacing w:after="0" w:line="17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b w:val="1"/>
          <w:bCs w:val="1"/>
          <w:color w:val="auto"/>
        </w:rPr>
        <w:t>Other Contribution Changes</w:t>
      </w:r>
      <w:r>
        <w:rPr>
          <w:rFonts w:ascii="Times New Roman" w:cs="Times New Roman" w:eastAsia="Times New Roman" w:hAnsi="Times New Roman"/>
          <w:sz w:val="22"/>
          <w:szCs w:val="22"/>
          <w:color w:val="auto"/>
        </w:rPr>
        <w:t>. Notwithstanding the foregoing, to the extent necessary to comply with Code Section 423(b)(8) and Section 5.3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5.3 hereof,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w:t>
      </w:r>
    </w:p>
    <w:p>
      <w:pPr>
        <w:spacing w:after="0" w:line="18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b w:val="1"/>
          <w:bCs w:val="1"/>
          <w:color w:val="auto"/>
        </w:rPr>
        <w:t>Cash Contributions</w:t>
      </w:r>
      <w:r>
        <w:rPr>
          <w:rFonts w:ascii="Times New Roman" w:cs="Times New Roman" w:eastAsia="Times New Roman" w:hAnsi="Times New Roman"/>
          <w:sz w:val="22"/>
          <w:szCs w:val="22"/>
          <w:color w:val="auto"/>
        </w:rPr>
        <w:t>. Notwithstanding any provisions to the contrary in the Plan, the Administrator may allow Participants to participate in the Plan via cash contributions instead of payroll deductions if (a) payroll deductions are not permitted or advisable under Applicable Laws, (b) the Administrator determines that cash contributions are permissible for Participants participating in the 423 Component and/or (c) the Participants are participating in the Non-423 Component.</w:t>
      </w:r>
    </w:p>
    <w:p>
      <w:pPr>
        <w:spacing w:after="0" w:line="175"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b w:val="1"/>
          <w:bCs w:val="1"/>
          <w:color w:val="auto"/>
        </w:rPr>
        <w:t>Tax Withholdings</w:t>
      </w:r>
      <w:r>
        <w:rPr>
          <w:rFonts w:ascii="Times New Roman" w:cs="Times New Roman" w:eastAsia="Times New Roman" w:hAnsi="Times New Roman"/>
          <w:sz w:val="22"/>
          <w:szCs w:val="22"/>
          <w:color w:val="auto"/>
        </w:rPr>
        <w:t>.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1.423-2(f).</w:t>
      </w:r>
    </w:p>
    <w:p>
      <w:pPr>
        <w:spacing w:after="0" w:line="18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b w:val="1"/>
          <w:bCs w:val="1"/>
          <w:color w:val="auto"/>
        </w:rPr>
        <w:t>Use of Funds</w:t>
      </w:r>
      <w:r>
        <w:rPr>
          <w:rFonts w:ascii="Times New Roman" w:cs="Times New Roman" w:eastAsia="Times New Roman" w:hAnsi="Times New Roman"/>
          <w:sz w:val="22"/>
          <w:szCs w:val="22"/>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provided that, if such segregation or deposit with an independent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1" w:right="339" w:bottom="1440" w:gutter="0" w:footer="0" w:header="0"/>
        </w:sectPr>
      </w:pPr>
    </w:p>
    <w:bookmarkStart w:id="442" w:name="page443"/>
    <w:bookmarkEnd w:id="442"/>
    <w:p>
      <w:pPr>
        <w:jc w:val="both"/>
        <w:spacing w:after="0" w:line="257" w:lineRule="auto"/>
        <w:rPr>
          <w:sz w:val="20"/>
          <w:szCs w:val="20"/>
          <w:color w:val="auto"/>
        </w:rPr>
      </w:pPr>
      <w:r>
        <w:rPr>
          <w:rFonts w:ascii="Times New Roman" w:cs="Times New Roman" w:eastAsia="Times New Roman" w:hAnsi="Times New Roman"/>
          <w:sz w:val="22"/>
          <w:szCs w:val="22"/>
          <w:color w:val="auto"/>
        </w:rPr>
        <w:t>party is required by Applicable Laws, it will apply to all Participants in the relevant Offering under the 423 Component, except to the extent otherwise permitted by U.S. Treasury Regulations Section 1.423-2(f). Until shares of Common Stock are issued, Participants will have only the rights of an unsecured creditor with respect to such shares.</w:t>
      </w:r>
    </w:p>
    <w:p>
      <w:pPr>
        <w:spacing w:after="0" w:line="169" w:lineRule="exact"/>
        <w:rPr>
          <w:sz w:val="20"/>
          <w:szCs w:val="20"/>
          <w:color w:val="auto"/>
        </w:rPr>
      </w:pPr>
    </w:p>
    <w:p>
      <w:pPr>
        <w:jc w:val="both"/>
        <w:ind w:firstLine="656"/>
        <w:spacing w:after="0" w:line="251" w:lineRule="auto"/>
        <w:tabs>
          <w:tab w:leader="none" w:pos="1296"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 of Option</w:t>
      </w:r>
      <w:r>
        <w:rPr>
          <w:rFonts w:ascii="Times New Roman" w:cs="Times New Roman" w:eastAsia="Times New Roman" w:hAnsi="Times New Roman"/>
          <w:sz w:val="22"/>
          <w:szCs w:val="22"/>
          <w:color w:val="auto"/>
        </w:rPr>
        <w:t>. On the Enrollment Date of each Offering Period, each Eligible Employee participating in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color w:val="auto"/>
        </w:rPr>
        <w:t>Certain Option Limits</w:t>
      </w:r>
      <w:r>
        <w:rPr>
          <w:rFonts w:ascii="Times New Roman" w:cs="Times New Roman" w:eastAsia="Times New Roman" w:hAnsi="Times New Roman"/>
          <w:sz w:val="22"/>
          <w:szCs w:val="22"/>
          <w:color w:val="auto"/>
        </w:rPr>
        <w:t>. In no event will an Eligible Employee be permitted to purchase during each Offering Period more than 1,168 shares of Common Stock (subject to any adjustment pursuant to Section 17), and provided further that such purchase will be subject to the limitations set forth in Sections 3 and 5.3 and in the subscription agreement. The Administrator, in its absolute discretion, may increase or decrease the maximum number of shares of Common Stock that an Eligible Employee may purchase during each Purchase Period or Offering Period, as applicable.</w:t>
      </w:r>
    </w:p>
    <w:p>
      <w:pPr>
        <w:spacing w:after="0" w:line="17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color w:val="auto"/>
        </w:rPr>
        <w:t>Option Receipt</w:t>
      </w:r>
      <w:r>
        <w:rPr>
          <w:rFonts w:ascii="Times New Roman" w:cs="Times New Roman" w:eastAsia="Times New Roman" w:hAnsi="Times New Roman"/>
          <w:sz w:val="22"/>
          <w:szCs w:val="22"/>
          <w:color w:val="auto"/>
        </w:rPr>
        <w:t>. The Eligible Employee may accept the grant of an option under the Plan by electing to participate in the Plan in accordance with the requirements of Section 7.</w:t>
      </w:r>
    </w:p>
    <w:p>
      <w:pPr>
        <w:spacing w:after="0" w:line="149"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b w:val="1"/>
          <w:bCs w:val="1"/>
          <w:color w:val="auto"/>
        </w:rPr>
        <w:t>Option Term</w:t>
      </w:r>
      <w:r>
        <w:rPr>
          <w:rFonts w:ascii="Times New Roman" w:cs="Times New Roman" w:eastAsia="Times New Roman" w:hAnsi="Times New Roman"/>
          <w:sz w:val="22"/>
          <w:szCs w:val="22"/>
          <w:color w:val="auto"/>
        </w:rPr>
        <w:t>. Exercise of the option will occur as provided in Section 10, unless the Participant’s participation has terminated pursuant to Sections 12 or 13. The option will expire on the last day of the Offering Period.</w:t>
      </w:r>
    </w:p>
    <w:p>
      <w:pPr>
        <w:spacing w:after="0" w:line="149" w:lineRule="exact"/>
        <w:rPr>
          <w:sz w:val="20"/>
          <w:szCs w:val="20"/>
          <w:color w:val="auto"/>
        </w:rPr>
      </w:pPr>
    </w:p>
    <w:p>
      <w:pPr>
        <w:ind w:left="1300" w:hanging="644"/>
        <w:spacing w:after="0"/>
        <w:tabs>
          <w:tab w:leader="none" w:pos="1300"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Exercise of Option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color w:val="auto"/>
        </w:rPr>
        <w:t>Automatic Exercise</w:t>
      </w:r>
      <w:r>
        <w:rPr>
          <w:rFonts w:ascii="Times New Roman" w:cs="Times New Roman" w:eastAsia="Times New Roman" w:hAnsi="Times New Roman"/>
          <w:sz w:val="22"/>
          <w:szCs w:val="22"/>
          <w:color w:val="auto"/>
        </w:rPr>
        <w:t>. Unless a Participant’s participation in the Plan has terminated as provided in Sections 12 and 13, his or her option for the purchase of shares of Common Stock will be exercised automatically on the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18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color w:val="auto"/>
        </w:rPr>
        <w:t>Pro Rata Allocations</w:t>
      </w:r>
      <w:r>
        <w:rPr>
          <w:rFonts w:ascii="Times New Roman" w:cs="Times New Roman" w:eastAsia="Times New Roman" w:hAnsi="Times New Roman"/>
          <w:sz w:val="22"/>
          <w:szCs w:val="22"/>
          <w:color w:val="auto"/>
        </w:rPr>
        <w:t>. If the Administrator determines that, on a given Exercise Date, the number of shares of Common Stock with respect to which options are to be exercised may exceed (a) the number of shares of Common Stock that were available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1" w:right="339" w:bottom="1440" w:gutter="0" w:footer="0" w:header="0"/>
        </w:sectPr>
      </w:pPr>
    </w:p>
    <w:bookmarkStart w:id="443" w:name="page444"/>
    <w:bookmarkEnd w:id="443"/>
    <w:p>
      <w:pPr>
        <w:jc w:val="both"/>
        <w:spacing w:after="0" w:line="245" w:lineRule="auto"/>
        <w:rPr>
          <w:sz w:val="20"/>
          <w:szCs w:val="20"/>
          <w:color w:val="auto"/>
        </w:rPr>
      </w:pPr>
      <w:r>
        <w:rPr>
          <w:rFonts w:ascii="Times New Roman" w:cs="Times New Roman" w:eastAsia="Times New Roman" w:hAnsi="Times New Roman"/>
          <w:sz w:val="22"/>
          <w:szCs w:val="22"/>
          <w:color w:val="auto"/>
        </w:rPr>
        <w:t>under the Plan on the Enrollment Date of the applicable Offering Period, or (b)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91" w:lineRule="exact"/>
        <w:rPr>
          <w:sz w:val="20"/>
          <w:szCs w:val="20"/>
          <w:color w:val="auto"/>
        </w:rPr>
      </w:pPr>
    </w:p>
    <w:p>
      <w:pPr>
        <w:jc w:val="both"/>
        <w:ind w:firstLine="656"/>
        <w:spacing w:after="0" w:line="246" w:lineRule="auto"/>
        <w:tabs>
          <w:tab w:leader="none" w:pos="1288"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Delivery</w:t>
      </w:r>
      <w:r>
        <w:rPr>
          <w:rFonts w:ascii="Times New Roman" w:cs="Times New Roman" w:eastAsia="Times New Roman" w:hAnsi="Times New Roman"/>
          <w:sz w:val="22"/>
          <w:szCs w:val="22"/>
          <w:color w:val="auto"/>
        </w:rPr>
        <w:t>. As soon as reasonably practicable after each Exercise Date on which a purchase of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occurs, the Company will arrange the delivery to each Participant of the shares of Common Stock purchased upon exercise of his or her option in a form determined by the Administrator (in its sole discretion) and pursuant to rules established by the Administrator. The Company may permit or require that shares of Common Stock be deposited directly with a broker designated by the Company or with a trustee or designated agent of the Company, and the Company may utilize electronic or automated methods of share transfer. The Company may require that shares of Common Stock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spacing w:after="0" w:line="18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Withdrawal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b w:val="1"/>
          <w:bCs w:val="1"/>
          <w:color w:val="auto"/>
        </w:rPr>
        <w:t>Withdrawal Procedures</w:t>
      </w:r>
      <w:r>
        <w:rPr>
          <w:rFonts w:ascii="Times New Roman" w:cs="Times New Roman" w:eastAsia="Times New Roman" w:hAnsi="Times New Roman"/>
          <w:sz w:val="22"/>
          <w:szCs w:val="22"/>
          <w:color w:val="auto"/>
        </w:rPr>
        <w:t xml:space="preserve">. A Participant may withdraw all but not less than all the Contributions credited to his or her account and not yet used to exercise his or her option under the Plan at any time by (a) submitting to the Company’s Finance Department (or its designee) a written notice of withdrawal in the form determined by the Administrator for such purpose (which may be similar to the form attached hereto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or (b)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of Common Stock will be made for such Offering Period. If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1" w:right="339" w:bottom="1440" w:gutter="0" w:footer="0" w:header="0"/>
        </w:sectPr>
      </w:pPr>
    </w:p>
    <w:bookmarkStart w:id="444" w:name="page445"/>
    <w:bookmarkEnd w:id="444"/>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withdraws from an Offering Period, Contributions will not resume at the beginning of the succeeding Offering Period, unless the Participant re-enrolls in the Plan in accordance with the provisions of Section 7.</w:t>
      </w:r>
    </w:p>
    <w:p>
      <w:pPr>
        <w:spacing w:after="0" w:line="15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b w:val="1"/>
          <w:bCs w:val="1"/>
          <w:color w:val="auto"/>
        </w:rPr>
        <w:t>No Effect on Future Participation</w:t>
      </w:r>
      <w:r>
        <w:rPr>
          <w:rFonts w:ascii="Times New Roman" w:cs="Times New Roman" w:eastAsia="Times New Roman" w:hAnsi="Times New Roman"/>
          <w:sz w:val="22"/>
          <w:szCs w:val="22"/>
          <w:color w:val="auto"/>
        </w:rPr>
        <w:t>.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66" w:lineRule="exact"/>
        <w:rPr>
          <w:sz w:val="20"/>
          <w:szCs w:val="20"/>
          <w:color w:val="auto"/>
        </w:rPr>
      </w:pPr>
    </w:p>
    <w:p>
      <w:pPr>
        <w:jc w:val="both"/>
        <w:ind w:firstLine="656"/>
        <w:spacing w:after="0" w:line="246" w:lineRule="auto"/>
        <w:tabs>
          <w:tab w:leader="none" w:pos="1296"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Employment</w:t>
      </w:r>
      <w:r>
        <w:rPr>
          <w:rFonts w:ascii="Times New Roman" w:cs="Times New Roman" w:eastAsia="Times New Roman" w:hAnsi="Times New Roman"/>
          <w:sz w:val="22"/>
          <w:szCs w:val="22"/>
          <w:color w:val="auto"/>
        </w:rPr>
        <w:t>. Upon a Participant’s ceasing to be an Eligible Employee, for any reason, he or she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Non-423 Component, the exercise of the option will be qualified under the 423 Component only to the extent it complies with Code Section 423; further, no Participant will be deemed to switch from an Offering under the Non-423 Component to an Offering under the 423 Component or vice versa unless (and then only to the extent) such switch would not cause the 423 Component or any option thereunder to fail to comply with Code Section 423.</w:t>
      </w:r>
    </w:p>
    <w:p>
      <w:pPr>
        <w:spacing w:after="0" w:line="182" w:lineRule="exact"/>
        <w:rPr>
          <w:rFonts w:ascii="Times New Roman" w:cs="Times New Roman" w:eastAsia="Times New Roman" w:hAnsi="Times New Roman"/>
          <w:sz w:val="22"/>
          <w:szCs w:val="22"/>
          <w:color w:val="auto"/>
        </w:rPr>
      </w:pPr>
    </w:p>
    <w:p>
      <w:pPr>
        <w:jc w:val="both"/>
        <w:ind w:firstLine="656"/>
        <w:spacing w:after="0" w:line="258" w:lineRule="auto"/>
        <w:tabs>
          <w:tab w:leader="none" w:pos="1296"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The Plan is intended to be exempt from the application of Section 409A, and, to the extent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1" w:right="339" w:bottom="1440" w:gutter="0" w:footer="0" w:header="0"/>
        </w:sectPr>
      </w:pPr>
    </w:p>
    <w:bookmarkStart w:id="445" w:name="page446"/>
    <w:bookmarkEnd w:id="445"/>
    <w:p>
      <w:pPr>
        <w:jc w:val="both"/>
        <w:ind w:firstLine="656"/>
        <w:spacing w:after="0" w:line="266" w:lineRule="auto"/>
        <w:tabs>
          <w:tab w:leader="none" w:pos="1296" w:val="left"/>
        </w:tabs>
        <w:numPr>
          <w:ilvl w:val="0"/>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Rights as Stockholder</w:t>
      </w:r>
      <w:r>
        <w:rPr>
          <w:rFonts w:ascii="Times New Roman" w:cs="Times New Roman" w:eastAsia="Times New Roman" w:hAnsi="Times New Roman"/>
          <w:sz w:val="21"/>
          <w:szCs w:val="21"/>
          <w:color w:val="auto"/>
        </w:rPr>
        <w:t>. Until the shares of Common Stock are issued (as evidenced by the appropriate entry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spacing w:after="0" w:line="160" w:lineRule="exact"/>
        <w:rPr>
          <w:rFonts w:ascii="Times New Roman" w:cs="Times New Roman" w:eastAsia="Times New Roman" w:hAnsi="Times New Roman"/>
          <w:sz w:val="21"/>
          <w:szCs w:val="21"/>
          <w:color w:val="auto"/>
        </w:rPr>
      </w:pPr>
    </w:p>
    <w:p>
      <w:pPr>
        <w:jc w:val="both"/>
        <w:ind w:firstLine="656"/>
        <w:spacing w:after="0" w:line="251" w:lineRule="auto"/>
        <w:tabs>
          <w:tab w:leader="none" w:pos="1296"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Transferability</w:t>
      </w:r>
      <w:r>
        <w:rPr>
          <w:rFonts w:ascii="Times New Roman" w:cs="Times New Roman" w:eastAsia="Times New Roman" w:hAnsi="Times New Roman"/>
          <w:sz w:val="22"/>
          <w:szCs w:val="22"/>
          <w:color w:val="auto"/>
        </w:rPr>
        <w:t>. Neither Contributions credited to a Participant’s account nor any rights with regard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spacing w:after="0" w:line="17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Adjustments, Dissolution, Liquidation, Merger or Change in Control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In the event that any dividend or other distribution (whether in the form of cash, Common Stock, other securities, or other property), recapitalization, stock split, reverse stock split, reorganization, merger, consolidation, split-up, spin-off,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 option under the Plan that has not yet been exercised, and the numerical share limits of Sections 3 and 9.1.</w:t>
      </w:r>
    </w:p>
    <w:p>
      <w:pPr>
        <w:spacing w:after="0" w:line="185"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b w:val="1"/>
          <w:bCs w:val="1"/>
          <w:color w:val="auto"/>
        </w:rPr>
        <w:t>Dissolution or Liquidation</w:t>
      </w:r>
      <w:r>
        <w:rPr>
          <w:rFonts w:ascii="Times New Roman" w:cs="Times New Roman" w:eastAsia="Times New Roman" w:hAnsi="Times New Roman"/>
          <w:sz w:val="22"/>
          <w:szCs w:val="22"/>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85"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21"/>
          <w:szCs w:val="21"/>
          <w:color w:val="auto"/>
        </w:rPr>
        <w:t xml:space="preserve">17.3 </w:t>
      </w:r>
      <w:r>
        <w:rPr>
          <w:rFonts w:ascii="Times New Roman" w:cs="Times New Roman" w:eastAsia="Times New Roman" w:hAnsi="Times New Roman"/>
          <w:sz w:val="21"/>
          <w:szCs w:val="21"/>
          <w:b w:val="1"/>
          <w:bCs w:val="1"/>
          <w:color w:val="auto"/>
        </w:rPr>
        <w:t>Merger or Change in Control</w:t>
      </w:r>
      <w:r>
        <w:rPr>
          <w:rFonts w:ascii="Times New Roman" w:cs="Times New Roman" w:eastAsia="Times New Roman" w:hAnsi="Times New Roman"/>
          <w:sz w:val="21"/>
          <w:szCs w:val="21"/>
          <w:color w:val="auto"/>
        </w:rPr>
        <w:t>.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17" w:right="339" w:bottom="1440" w:gutter="0" w:footer="0" w:header="0"/>
        </w:sectPr>
      </w:pPr>
    </w:p>
    <w:bookmarkStart w:id="446" w:name="page447"/>
    <w:bookmarkEnd w:id="446"/>
    <w:p>
      <w:pPr>
        <w:jc w:val="both"/>
        <w:spacing w:after="0" w:line="248" w:lineRule="auto"/>
        <w:rPr>
          <w:sz w:val="20"/>
          <w:szCs w:val="20"/>
          <w:color w:val="auto"/>
        </w:rPr>
      </w:pPr>
      <w:r>
        <w:rPr>
          <w:rFonts w:ascii="Times New Roman" w:cs="Times New Roman" w:eastAsia="Times New Roman" w:hAnsi="Times New Roman"/>
          <w:sz w:val="22"/>
          <w:szCs w:val="22"/>
          <w:color w:val="auto"/>
        </w:rPr>
        <w:t>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78" w:lineRule="exact"/>
        <w:rPr>
          <w:sz w:val="20"/>
          <w:szCs w:val="20"/>
          <w:color w:val="auto"/>
        </w:rPr>
      </w:pPr>
    </w:p>
    <w:p>
      <w:pPr>
        <w:ind w:left="1300" w:hanging="644"/>
        <w:spacing w:after="0"/>
        <w:tabs>
          <w:tab w:leader="none" w:pos="1300"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 or Termination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18.1 </w:t>
      </w:r>
      <w:r>
        <w:rPr>
          <w:rFonts w:ascii="Times New Roman" w:cs="Times New Roman" w:eastAsia="Times New Roman" w:hAnsi="Times New Roman"/>
          <w:sz w:val="22"/>
          <w:szCs w:val="22"/>
          <w:b w:val="1"/>
          <w:bCs w:val="1"/>
          <w:color w:val="auto"/>
        </w:rPr>
        <w:t>Amendment, Suspension, Termination</w:t>
      </w:r>
      <w:r>
        <w:rPr>
          <w:rFonts w:ascii="Times New Roman" w:cs="Times New Roman" w:eastAsia="Times New Roman" w:hAnsi="Times New Roman"/>
          <w:sz w:val="22"/>
          <w:szCs w:val="22"/>
          <w:color w:val="auto"/>
        </w:rPr>
        <w:t>.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spacing w:after="0" w:line="18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18.2 </w:t>
      </w:r>
      <w:r>
        <w:rPr>
          <w:rFonts w:ascii="Times New Roman" w:cs="Times New Roman" w:eastAsia="Times New Roman" w:hAnsi="Times New Roman"/>
          <w:sz w:val="22"/>
          <w:szCs w:val="22"/>
          <w:b w:val="1"/>
          <w:bCs w:val="1"/>
          <w:color w:val="auto"/>
        </w:rPr>
        <w:t>Certain Administrator Changes</w:t>
      </w:r>
      <w:r>
        <w:rPr>
          <w:rFonts w:ascii="Times New Roman" w:cs="Times New Roman" w:eastAsia="Times New Roman" w:hAnsi="Times New Roman"/>
          <w:sz w:val="22"/>
          <w:szCs w:val="22"/>
          <w:color w:val="auto"/>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8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18.3 </w:t>
      </w:r>
      <w:r>
        <w:rPr>
          <w:rFonts w:ascii="Times New Roman" w:cs="Times New Roman" w:eastAsia="Times New Roman" w:hAnsi="Times New Roman"/>
          <w:sz w:val="22"/>
          <w:szCs w:val="22"/>
          <w:b w:val="1"/>
          <w:bCs w:val="1"/>
          <w:color w:val="auto"/>
        </w:rPr>
        <w:t>Changes Due to Accounting Consequences</w:t>
      </w:r>
      <w:r>
        <w:rPr>
          <w:rFonts w:ascii="Times New Roman" w:cs="Times New Roman" w:eastAsia="Times New Roman" w:hAnsi="Times New Roman"/>
          <w:sz w:val="22"/>
          <w:szCs w:val="22"/>
          <w:color w:val="auto"/>
        </w:rPr>
        <w:t>.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79" w:lineRule="exact"/>
        <w:rPr>
          <w:sz w:val="20"/>
          <w:szCs w:val="20"/>
          <w:color w:val="auto"/>
        </w:rPr>
      </w:pPr>
    </w:p>
    <w:p>
      <w:pPr>
        <w:jc w:val="both"/>
        <w:ind w:firstLine="1952"/>
        <w:spacing w:after="0" w:line="257" w:lineRule="auto"/>
        <w:tabs>
          <w:tab w:leader="none" w:pos="2589"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1" w:right="339" w:bottom="1440" w:gutter="0" w:footer="0" w:header="0"/>
        </w:sectPr>
      </w:pPr>
    </w:p>
    <w:bookmarkStart w:id="447" w:name="page448"/>
    <w:bookmarkEnd w:id="447"/>
    <w:p>
      <w:pPr>
        <w:ind w:firstLine="1952"/>
        <w:spacing w:after="0" w:line="271" w:lineRule="auto"/>
        <w:tabs>
          <w:tab w:leader="none" w:pos="2587"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altering the Purchase Price for any Purchase Period or Offering Period including a Purchase Period or Offering Period underway at the time of the change in Purchase Price;</w:t>
      </w:r>
    </w:p>
    <w:p>
      <w:pPr>
        <w:spacing w:after="0" w:line="157" w:lineRule="exact"/>
        <w:rPr>
          <w:rFonts w:ascii="Times New Roman" w:cs="Times New Roman" w:eastAsia="Times New Roman" w:hAnsi="Times New Roman"/>
          <w:sz w:val="22"/>
          <w:szCs w:val="22"/>
          <w:color w:val="auto"/>
        </w:rPr>
      </w:pPr>
    </w:p>
    <w:p>
      <w:pPr>
        <w:ind w:firstLine="1952"/>
        <w:spacing w:after="0" w:line="271" w:lineRule="auto"/>
        <w:tabs>
          <w:tab w:leader="none" w:pos="2589"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shortening any Purchase Period or Offering Period by setting a New Exercise Date, including a Purchase Period or Offering Period underway at the time of the Administrator action;</w:t>
      </w:r>
    </w:p>
    <w:p>
      <w:pPr>
        <w:spacing w:after="0" w:line="15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reducing the maximum percentage of Compensation a Participant may elect to set aside as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Contributions; and</w:t>
      </w:r>
    </w:p>
    <w:p>
      <w:pPr>
        <w:spacing w:after="0" w:line="195" w:lineRule="exact"/>
        <w:rPr>
          <w:rFonts w:ascii="Times New Roman" w:cs="Times New Roman" w:eastAsia="Times New Roman" w:hAnsi="Times New Roman"/>
          <w:sz w:val="22"/>
          <w:szCs w:val="22"/>
          <w:color w:val="auto"/>
        </w:rPr>
      </w:pPr>
    </w:p>
    <w:p>
      <w:pPr>
        <w:ind w:firstLine="1952"/>
        <w:spacing w:after="0" w:line="271" w:lineRule="auto"/>
        <w:tabs>
          <w:tab w:leader="none" w:pos="2589"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reducing the maximum number of shares of Common Stock a Participant may purchase during any Purchase Period or Offering Period.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Such modifications or amendments will not require stockholder approval or the consent of any Plan Participants.</w:t>
      </w:r>
    </w:p>
    <w:p>
      <w:pPr>
        <w:spacing w:after="0" w:line="216" w:lineRule="exact"/>
        <w:rPr>
          <w:sz w:val="20"/>
          <w:szCs w:val="20"/>
          <w:color w:val="auto"/>
        </w:rPr>
      </w:pPr>
    </w:p>
    <w:p>
      <w:pPr>
        <w:ind w:left="1300" w:hanging="644"/>
        <w:spacing w:after="0"/>
        <w:tabs>
          <w:tab w:leader="none" w:pos="1300"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Conditions Upon Issuance of Shares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19.1 </w:t>
      </w:r>
      <w:r>
        <w:rPr>
          <w:rFonts w:ascii="Times New Roman" w:cs="Times New Roman" w:eastAsia="Times New Roman" w:hAnsi="Times New Roman"/>
          <w:sz w:val="22"/>
          <w:szCs w:val="22"/>
          <w:b w:val="1"/>
          <w:bCs w:val="1"/>
          <w:color w:val="auto"/>
        </w:rPr>
        <w:t>Legal Compliance</w:t>
      </w:r>
      <w:r>
        <w:rPr>
          <w:rFonts w:ascii="Times New Roman" w:cs="Times New Roman" w:eastAsia="Times New Roman" w:hAnsi="Times New Roman"/>
          <w:sz w:val="22"/>
          <w:szCs w:val="22"/>
          <w:color w:val="auto"/>
        </w:rPr>
        <w:t>.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spacing w:after="0" w:line="16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19.2 </w:t>
      </w:r>
      <w:r>
        <w:rPr>
          <w:rFonts w:ascii="Times New Roman" w:cs="Times New Roman" w:eastAsia="Times New Roman" w:hAnsi="Times New Roman"/>
          <w:sz w:val="22"/>
          <w:szCs w:val="22"/>
          <w:b w:val="1"/>
          <w:bCs w:val="1"/>
          <w:color w:val="auto"/>
        </w:rPr>
        <w:t>Investment Representations</w:t>
      </w:r>
      <w:r>
        <w:rPr>
          <w:rFonts w:ascii="Times New Roman" w:cs="Times New Roman" w:eastAsia="Times New Roman" w:hAnsi="Times New Roman"/>
          <w:sz w:val="22"/>
          <w:szCs w:val="22"/>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5" w:lineRule="exact"/>
        <w:rPr>
          <w:sz w:val="20"/>
          <w:szCs w:val="20"/>
          <w:color w:val="auto"/>
        </w:rPr>
      </w:pPr>
    </w:p>
    <w:p>
      <w:pPr>
        <w:jc w:val="both"/>
        <w:ind w:right="20" w:firstLine="656"/>
        <w:spacing w:after="0" w:line="259" w:lineRule="auto"/>
        <w:tabs>
          <w:tab w:leader="none" w:pos="1296" w:val="left"/>
        </w:tabs>
        <w:numPr>
          <w:ilvl w:val="1"/>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of Plan</w:t>
      </w:r>
      <w:r>
        <w:rPr>
          <w:rFonts w:ascii="Times New Roman" w:cs="Times New Roman" w:eastAsia="Times New Roman" w:hAnsi="Times New Roman"/>
          <w:sz w:val="22"/>
          <w:szCs w:val="22"/>
          <w:color w:val="auto"/>
        </w:rPr>
        <w:t>. The Plan will become effective upon the later to occur of (a) its adoption by the Board or (b)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day immediately prior to the Registration Date. It will continue in effect for a term of twenty (20) years, unless sooner terminated under Section 18.</w:t>
      </w:r>
    </w:p>
    <w:p>
      <w:pPr>
        <w:spacing w:after="0" w:line="16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The Plan will be subject to approval by the stockholders of the Company within twelve</w:t>
      </w:r>
    </w:p>
    <w:p>
      <w:pPr>
        <w:spacing w:after="0" w:line="31" w:lineRule="exact"/>
        <w:rPr>
          <w:rFonts w:ascii="Times New Roman" w:cs="Times New Roman" w:eastAsia="Times New Roman" w:hAnsi="Times New Roman"/>
          <w:sz w:val="22"/>
          <w:szCs w:val="22"/>
          <w:color w:val="auto"/>
        </w:rPr>
      </w:pPr>
    </w:p>
    <w:p>
      <w:pPr>
        <w:ind w:firstLine="8"/>
        <w:spacing w:after="0" w:line="248" w:lineRule="auto"/>
        <w:tabs>
          <w:tab w:leader="none" w:pos="419"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the date the Plan is adopted by the Board. Such stockholder approval will be obtained in the manner and to the degree required under Applicable Laws.</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1"/>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Interest</w:t>
      </w:r>
      <w:r>
        <w:rPr>
          <w:rFonts w:ascii="Times New Roman" w:cs="Times New Roman" w:eastAsia="Times New Roman" w:hAnsi="Times New Roman"/>
          <w:sz w:val="22"/>
          <w:szCs w:val="22"/>
          <w:color w:val="auto"/>
        </w:rPr>
        <w:t>. No interest will accrue on the Contributions of a participant in the Plan, except as may be required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Laws, as determined by the Company, and if so required by the laws of a particular jurisdiction, will apply, with respect to Offerings under the 423 Component, to all Participants in the relevant Offering, except to the extent otherwise permitted by U.S. Treasury Regulations Section 1.423-2(f).</w:t>
      </w:r>
    </w:p>
    <w:p>
      <w:pPr>
        <w:spacing w:after="0" w:line="175" w:lineRule="exact"/>
        <w:rPr>
          <w:rFonts w:ascii="Times New Roman" w:cs="Times New Roman" w:eastAsia="Times New Roman" w:hAnsi="Times New Roman"/>
          <w:sz w:val="22"/>
          <w:szCs w:val="22"/>
          <w:color w:val="auto"/>
        </w:rPr>
      </w:pPr>
    </w:p>
    <w:p>
      <w:pPr>
        <w:ind w:firstLine="656"/>
        <w:spacing w:after="0" w:line="275" w:lineRule="auto"/>
        <w:tabs>
          <w:tab w:leader="none" w:pos="1296" w:val="left"/>
        </w:tabs>
        <w:numPr>
          <w:ilvl w:val="1"/>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Effect on Employment</w:t>
      </w:r>
      <w:r>
        <w:rPr>
          <w:rFonts w:ascii="Times New Roman" w:cs="Times New Roman" w:eastAsia="Times New Roman" w:hAnsi="Times New Roman"/>
          <w:sz w:val="22"/>
          <w:szCs w:val="22"/>
          <w:color w:val="auto"/>
        </w:rPr>
        <w:t>. Neither the Plan nor any option under the Plan will confer upon any Participant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with respect to continuing the Participant’s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1" w:right="339" w:bottom="1440" w:gutter="0" w:footer="0" w:header="0"/>
        </w:sectPr>
      </w:pPr>
    </w:p>
    <w:bookmarkStart w:id="448" w:name="page449"/>
    <w:bookmarkEnd w:id="448"/>
    <w:p>
      <w:pPr>
        <w:jc w:val="both"/>
        <w:spacing w:after="0" w:line="257" w:lineRule="auto"/>
        <w:rPr>
          <w:sz w:val="20"/>
          <w:szCs w:val="20"/>
          <w:color w:val="auto"/>
        </w:rPr>
      </w:pPr>
      <w:r>
        <w:rPr>
          <w:rFonts w:ascii="Times New Roman" w:cs="Times New Roman" w:eastAsia="Times New Roman" w:hAnsi="Times New Roman"/>
          <w:sz w:val="22"/>
          <w:szCs w:val="22"/>
          <w:color w:val="auto"/>
        </w:rPr>
        <w:t>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spacing w:after="0" w:line="169" w:lineRule="exact"/>
        <w:rPr>
          <w:sz w:val="20"/>
          <w:szCs w:val="20"/>
          <w:color w:val="auto"/>
        </w:rPr>
      </w:pPr>
    </w:p>
    <w:p>
      <w:pPr>
        <w:jc w:val="both"/>
        <w:ind w:firstLine="656"/>
        <w:spacing w:after="0" w:line="259" w:lineRule="auto"/>
        <w:tabs>
          <w:tab w:leader="none" w:pos="1296"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Reports</w:t>
      </w:r>
      <w:r>
        <w:rPr>
          <w:rFonts w:ascii="Times New Roman" w:cs="Times New Roman" w:eastAsia="Times New Roman" w:hAnsi="Times New Roman"/>
          <w:sz w:val="22"/>
          <w:szCs w:val="22"/>
          <w:color w:val="auto"/>
        </w:rPr>
        <w:t>. Individual accounts will be maintained for each Participant in the Plan. Statements of account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given to participating Eligible Employees at least annually, which statements will set forth the amounts of Contributions, the Purchase Price, the number of shares of Common Stock purchased and the remaining cash balance, if any.</w:t>
      </w:r>
    </w:p>
    <w:p>
      <w:pPr>
        <w:spacing w:after="0" w:line="166"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All notices or other communications by a Participant to the Company under or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will be deemed to have been duly given when received in the form and manner specified by the Company at the location, or by the person, designated by the Company for the receipt thereof.</w:t>
      </w:r>
    </w:p>
    <w:p>
      <w:pPr>
        <w:spacing w:after="0" w:line="16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Legal Construction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26.1 </w:t>
      </w:r>
      <w:r>
        <w:rPr>
          <w:rFonts w:ascii="Times New Roman" w:cs="Times New Roman" w:eastAsia="Times New Roman" w:hAnsi="Times New Roman"/>
          <w:sz w:val="22"/>
          <w:szCs w:val="22"/>
          <w:b w:val="1"/>
          <w:bCs w:val="1"/>
          <w:color w:val="auto"/>
        </w:rPr>
        <w:t>Gender and Number</w:t>
      </w:r>
      <w:r>
        <w:rPr>
          <w:rFonts w:ascii="Times New Roman" w:cs="Times New Roman" w:eastAsia="Times New Roman" w:hAnsi="Times New Roman"/>
          <w:sz w:val="22"/>
          <w:szCs w:val="22"/>
          <w:color w:val="auto"/>
        </w:rPr>
        <w:t>. Except where otherwise indicated by the context, any feminine term used herein also will include the masculine and any masculine term used herein also will include the feminine; the plural will include the singular and the singular will include the plural.</w:t>
      </w:r>
    </w:p>
    <w:p>
      <w:pPr>
        <w:spacing w:after="0" w:line="16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26.2 </w:t>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75"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 xml:space="preserve">26.3 </w:t>
      </w: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The Plan will be governed by, and construed in accordance with, the laws of the State of Delaware, but without regard to its conflict of law provisions.</w:t>
      </w:r>
    </w:p>
    <w:p>
      <w:pPr>
        <w:spacing w:after="0" w:line="149"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 xml:space="preserve">26.4 </w:t>
      </w:r>
      <w:r>
        <w:rPr>
          <w:rFonts w:ascii="Times New Roman" w:cs="Times New Roman" w:eastAsia="Times New Roman" w:hAnsi="Times New Roman"/>
          <w:sz w:val="22"/>
          <w:szCs w:val="22"/>
          <w:b w:val="1"/>
          <w:bCs w:val="1"/>
          <w:color w:val="auto"/>
        </w:rPr>
        <w:t>Headings</w:t>
      </w:r>
      <w:r>
        <w:rPr>
          <w:rFonts w:ascii="Times New Roman" w:cs="Times New Roman" w:eastAsia="Times New Roman" w:hAnsi="Times New Roman"/>
          <w:sz w:val="22"/>
          <w:szCs w:val="22"/>
          <w:color w:val="auto"/>
        </w:rPr>
        <w:t>. Headings are provided herein for convenience only, and will not serve as a basis for interpretation of the Plan.</w:t>
      </w:r>
    </w:p>
    <w:p>
      <w:pPr>
        <w:spacing w:after="0" w:line="149" w:lineRule="exact"/>
        <w:rPr>
          <w:sz w:val="20"/>
          <w:szCs w:val="20"/>
          <w:color w:val="auto"/>
        </w:rPr>
      </w:pPr>
    </w:p>
    <w:p>
      <w:pPr>
        <w:ind w:firstLine="656"/>
        <w:spacing w:after="0" w:line="275" w:lineRule="auto"/>
        <w:tabs>
          <w:tab w:leader="none" w:pos="1296"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Compliance with Applicable Laws</w:t>
      </w:r>
      <w:r>
        <w:rPr>
          <w:rFonts w:ascii="Times New Roman" w:cs="Times New Roman" w:eastAsia="Times New Roman" w:hAnsi="Times New Roman"/>
          <w:sz w:val="22"/>
          <w:szCs w:val="22"/>
          <w:color w:val="auto"/>
        </w:rPr>
        <w:t>. The terms of this Plan are intended to comply with all Applicable Laws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construed accordingly.</w:t>
      </w:r>
    </w:p>
    <w:p>
      <w:pPr>
        <w:spacing w:after="0" w:line="149"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Automatic Transfer to Low Price Offering Period</w:t>
      </w:r>
      <w:r>
        <w:rPr>
          <w:rFonts w:ascii="Times New Roman" w:cs="Times New Roman" w:eastAsia="Times New Roman" w:hAnsi="Times New Roman"/>
          <w:sz w:val="22"/>
          <w:szCs w:val="22"/>
          <w:color w:val="auto"/>
        </w:rPr>
        <w:t>. Unless determined otherwise by the Administrator,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28 applies to an Offering Period to the extent such Offering Period provides for more than one (1) 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1" w:right="339" w:bottom="1440" w:gutter="0" w:footer="0" w:header="0"/>
        </w:sectPr>
      </w:pPr>
    </w:p>
    <w:bookmarkStart w:id="449" w:name="page450"/>
    <w:bookmarkEnd w:id="449"/>
    <w:p>
      <w:pPr>
        <w:spacing w:after="0" w:line="271" w:lineRule="auto"/>
        <w:rPr>
          <w:sz w:val="20"/>
          <w:szCs w:val="20"/>
          <w:color w:val="auto"/>
        </w:rPr>
      </w:pPr>
      <w:r>
        <w:rPr>
          <w:rFonts w:ascii="Times New Roman" w:cs="Times New Roman" w:eastAsia="Times New Roman" w:hAnsi="Times New Roman"/>
          <w:sz w:val="22"/>
          <w:szCs w:val="22"/>
          <w:color w:val="auto"/>
        </w:rPr>
        <w:t>the exercise of their option on such Exercise Date and automatically re-enrolled in the immediately following Offering Period as of the first day thereof.</w:t>
      </w:r>
    </w:p>
    <w:p>
      <w:pPr>
        <w:spacing w:after="0" w:line="158"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1" w:right="339" w:bottom="1440" w:gutter="0" w:footer="0" w:header="0"/>
        </w:sectPr>
      </w:pPr>
    </w:p>
    <w:bookmarkStart w:id="450" w:name="page451"/>
    <w:bookmarkEnd w:id="450"/>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2020 EMPLOYEE STOCK PURCHASE PLAN</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SUBSCRIPTION AGREEMENT</w:t>
      </w:r>
    </w:p>
    <w:p>
      <w:pPr>
        <w:spacing w:after="0" w:line="278" w:lineRule="exact"/>
        <w:rPr>
          <w:sz w:val="20"/>
          <w:szCs w:val="20"/>
          <w:color w:val="auto"/>
        </w:rPr>
      </w:pPr>
    </w:p>
    <w:p>
      <w:pPr>
        <w:ind w:left="500"/>
        <w:spacing w:after="0"/>
        <w:tabs>
          <w:tab w:leader="none" w:pos="7080" w:val="left"/>
        </w:tabs>
        <w:rPr>
          <w:sz w:val="20"/>
          <w:szCs w:val="20"/>
          <w:color w:val="auto"/>
        </w:rPr>
      </w:pPr>
      <w:r>
        <w:rPr>
          <w:rFonts w:ascii="Times New Roman" w:cs="Times New Roman" w:eastAsia="Times New Roman" w:hAnsi="Times New Roman"/>
          <w:sz w:val="22"/>
          <w:szCs w:val="22"/>
          <w:color w:val="auto"/>
        </w:rPr>
        <w:t>Original Application</w:t>
      </w:r>
      <w:r>
        <w:rPr>
          <w:sz w:val="20"/>
          <w:szCs w:val="20"/>
          <w:color w:val="auto"/>
        </w:rPr>
        <w:tab/>
      </w:r>
      <w:r>
        <w:rPr>
          <w:rFonts w:ascii="Times New Roman" w:cs="Times New Roman" w:eastAsia="Times New Roman" w:hAnsi="Times New Roman"/>
          <w:sz w:val="21"/>
          <w:szCs w:val="21"/>
          <w:color w:val="auto"/>
        </w:rPr>
        <w:t>Offering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27940</wp:posOffset>
            </wp:positionV>
            <wp:extent cx="12255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3003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300355" cy="8255"/>
                    </a:xfrm>
                    <a:prstGeom prst="rect">
                      <a:avLst/>
                    </a:prstGeom>
                    <a:noFill/>
                  </pic:spPr>
                </pic:pic>
              </a:graphicData>
            </a:graphic>
          </wp:anchor>
        </w:drawing>
      </w:r>
    </w:p>
    <w:p>
      <w:pPr>
        <w:spacing w:after="0" w:line="3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Change in Payroll Deduction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003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300355" cy="8255"/>
                    </a:xfrm>
                    <a:prstGeom prst="rect">
                      <a:avLst/>
                    </a:prstGeom>
                    <a:noFill/>
                  </pic:spPr>
                </pic:pic>
              </a:graphicData>
            </a:graphic>
          </wp:anchor>
        </w:drawing>
      </w:r>
    </w:p>
    <w:p>
      <w:pPr>
        <w:spacing w:after="0" w:line="240" w:lineRule="exact"/>
        <w:rPr>
          <w:sz w:val="20"/>
          <w:szCs w:val="20"/>
          <w:color w:val="auto"/>
        </w:rPr>
      </w:pPr>
    </w:p>
    <w:p>
      <w:pPr>
        <w:jc w:val="both"/>
        <w:ind w:firstLine="656"/>
        <w:spacing w:after="0" w:line="252" w:lineRule="auto"/>
        <w:tabs>
          <w:tab w:leader="none" w:pos="1296" w:val="left"/>
        </w:tabs>
        <w:numPr>
          <w:ilvl w:val="1"/>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 hereby elects to participate in the Seer, Inc. 2020 Employee Stock Purchase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spacing w:after="0" w:line="179"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1"/>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hereby authorize and consent to payroll deductions from each paycheck in the amount of ____% of my Compensation on each payday (from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186"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1"/>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80"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1"/>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received a copy of the complete Plan and its accompanying prospectus. I understand that my participation in the Plan is in all respects subject to the terms of the Plan.</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purchased for me under the Plan should be issued in the name(s) of _____________</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(Eligible Employee or Eligible Employee and spouse only).</w:t>
      </w:r>
    </w:p>
    <w:p>
      <w:pPr>
        <w:spacing w:after="0" w:line="19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 am a U.S. taxpayer, I understand that if I dispose of any shares received by me pursuant to the Plan within two</w:t>
      </w:r>
    </w:p>
    <w:p>
      <w:pPr>
        <w:spacing w:after="0" w:line="39" w:lineRule="exact"/>
        <w:rPr>
          <w:rFonts w:ascii="Times New Roman" w:cs="Times New Roman" w:eastAsia="Times New Roman" w:hAnsi="Times New Roman"/>
          <w:sz w:val="21"/>
          <w:szCs w:val="21"/>
          <w:color w:val="auto"/>
        </w:rPr>
      </w:pPr>
    </w:p>
    <w:p>
      <w:pPr>
        <w:jc w:val="both"/>
        <w:ind w:firstLine="8"/>
        <w:spacing w:after="0" w:line="245" w:lineRule="auto"/>
        <w:tabs>
          <w:tab w:leader="none" w:pos="313"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Times New Roman" w:cs="Times New Roman" w:eastAsia="Times New Roman" w:hAnsi="Times New Roman"/>
          <w:sz w:val="22"/>
          <w:szCs w:val="22"/>
          <w:b w:val="1"/>
          <w:bCs w:val="1"/>
          <w:color w:val="auto"/>
        </w:rPr>
        <w:t>I hereby agree to</w:t>
      </w:r>
    </w:p>
    <w:p>
      <w:pPr>
        <w:sectPr>
          <w:pgSz w:w="11900" w:h="16838" w:orient="portrait"/>
          <w:cols w:equalWidth="0" w:num="1">
            <w:col w:w="11240"/>
          </w:cols>
          <w:pgMar w:left="320" w:top="1417" w:right="339" w:bottom="1440" w:gutter="0" w:footer="0" w:header="0"/>
        </w:sectPr>
      </w:pPr>
    </w:p>
    <w:bookmarkStart w:id="451" w:name="page452"/>
    <w:bookmarkEnd w:id="451"/>
    <w:p>
      <w:pPr>
        <w:jc w:val="both"/>
        <w:spacing w:after="0" w:line="259" w:lineRule="auto"/>
        <w:rPr>
          <w:sz w:val="20"/>
          <w:szCs w:val="20"/>
          <w:color w:val="auto"/>
        </w:rPr>
      </w:pPr>
      <w:r>
        <w:rPr>
          <w:rFonts w:ascii="Times New Roman" w:cs="Times New Roman" w:eastAsia="Times New Roman" w:hAnsi="Times New Roman"/>
          <w:sz w:val="21"/>
          <w:szCs w:val="21"/>
          <w:b w:val="1"/>
          <w:bCs w:val="1"/>
          <w:color w:val="auto"/>
        </w:rPr>
        <w:t>notify the Company in writing within thirty (30) days after the date of any disposition of my shares and I will make adequate provision for federal, state or other tax withholding obligations, if any, which arise upon the disposition of the Common Stock</w:t>
      </w:r>
      <w:r>
        <w:rPr>
          <w:rFonts w:ascii="Times New Roman" w:cs="Times New Roman" w:eastAsia="Times New Roman" w:hAnsi="Times New Roman"/>
          <w:sz w:val="21"/>
          <w:szCs w:val="21"/>
          <w:color w:val="auto"/>
        </w:rPr>
        <w:t>. The Company may, but will not be obligated to, withhold from my compensation the amount necessary to meet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spacing w:after="0" w:line="179" w:lineRule="exact"/>
        <w:rPr>
          <w:sz w:val="20"/>
          <w:szCs w:val="20"/>
          <w:color w:val="auto"/>
        </w:rPr>
      </w:pPr>
    </w:p>
    <w:p>
      <w:pPr>
        <w:jc w:val="both"/>
        <w:ind w:firstLine="656"/>
        <w:spacing w:after="0" w:line="258" w:lineRule="auto"/>
        <w:tabs>
          <w:tab w:leader="none" w:pos="1296"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Times New Roman" w:cs="Times New Roman" w:eastAsia="Times New Roman" w:hAnsi="Times New Roman"/>
          <w:sz w:val="21"/>
          <w:szCs w:val="21"/>
          <w:b w:val="1"/>
          <w:bCs w:val="1"/>
          <w:color w:val="auto"/>
        </w:rPr>
        <w:t>Tax-Related Items</w:t>
      </w:r>
      <w:r>
        <w:rPr>
          <w:rFonts w:ascii="Times New Roman" w:cs="Times New Roman" w:eastAsia="Times New Roman" w:hAnsi="Times New Roman"/>
          <w:sz w:val="21"/>
          <w:szCs w:val="21"/>
          <w:color w:val="auto"/>
        </w:rPr>
        <w:t>”), the ultimate liability for all Tax-Related Items is and remains my responsibility and may exceed the amount actually withheld by the Company or a Designated Company. Furthermore, I acknowledge that the Company and/or any Designated Company (a) make no representations or undertakings regarding the treatment of any Tax-Related Items in connection with any aspect of the options under the Plan and (b) do not commit to and are under no obligation to structure the terms of the grant of options or any aspect of my participation in the Plan to reduce or eliminate my liability for Tax-Related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Tax-Related Items in more than one jurisdiction.</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Prior to the purchase of shares of Common Stock under the Plan or any other relevant taxable or tax withholding event, as applicable, I agree to make adequate arrangements satisfactory to the Company and/or the applicable Designated Company to satisfy all Tax-Related Items. In this regard, I authorize the Company and/or the applicable Designated Company, or their respective agents, at their discretion, to satisfy any applicable withholding obligations with regard to all Tax-Related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Tax-Related Items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7" w:right="339" w:bottom="1440" w:gutter="0" w:footer="0" w:header="0"/>
        </w:sectPr>
      </w:pPr>
    </w:p>
    <w:bookmarkStart w:id="452" w:name="page453"/>
    <w:bookmarkEnd w:id="452"/>
    <w:p>
      <w:pPr>
        <w:jc w:val="both"/>
        <w:spacing w:after="0" w:line="271" w:lineRule="auto"/>
        <w:rPr>
          <w:sz w:val="20"/>
          <w:szCs w:val="20"/>
          <w:color w:val="auto"/>
        </w:rPr>
      </w:pPr>
      <w:r>
        <w:rPr>
          <w:rFonts w:ascii="Times New Roman" w:cs="Times New Roman" w:eastAsia="Times New Roman" w:hAnsi="Times New Roman"/>
          <w:sz w:val="22"/>
          <w:szCs w:val="22"/>
          <w:color w:val="auto"/>
        </w:rPr>
        <w:t>considering applicable maximum withholding rates, in which case I will receive a refund of any over-withheld amount in cash and will have no entitlement to the Common Stock equivalent.</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Finally, I agree to pay to the Company or the applicable Designated Company any amount of Tax-Related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Tax-Related Items.</w:t>
      </w:r>
    </w:p>
    <w:p>
      <w:pPr>
        <w:spacing w:after="0" w:line="181" w:lineRule="exact"/>
        <w:rPr>
          <w:sz w:val="20"/>
          <w:szCs w:val="20"/>
          <w:color w:val="auto"/>
        </w:rPr>
      </w:pPr>
    </w:p>
    <w:p>
      <w:pPr>
        <w:ind w:left="1300" w:hanging="644"/>
        <w:spacing w:after="0"/>
        <w:tabs>
          <w:tab w:leader="none" w:pos="1300"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electing to participate in the Plan, I acknowledge, understand and agree that:</w:t>
      </w:r>
    </w:p>
    <w:p>
      <w:pPr>
        <w:spacing w:after="0" w:line="219" w:lineRule="exact"/>
        <w:rPr>
          <w:rFonts w:ascii="Times New Roman" w:cs="Times New Roman" w:eastAsia="Times New Roman" w:hAnsi="Times New Roman"/>
          <w:sz w:val="22"/>
          <w:szCs w:val="22"/>
          <w:color w:val="auto"/>
        </w:rPr>
      </w:pPr>
    </w:p>
    <w:p>
      <w:pPr>
        <w:ind w:left="80" w:firstLine="1224"/>
        <w:spacing w:after="0" w:line="271" w:lineRule="auto"/>
        <w:tabs>
          <w:tab w:leader="none" w:pos="1940"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it may be modified, amended, suspended or terminated by the Company at any time, to the extent provided for in the Plan;</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grants under the Plan, if applicable, will be at the sole discretion of the</w:t>
      </w:r>
    </w:p>
    <w:p>
      <w:pPr>
        <w:spacing w:after="0" w:line="27" w:lineRule="exact"/>
        <w:rPr>
          <w:rFonts w:ascii="Times New Roman" w:cs="Times New Roman" w:eastAsia="Times New Roman" w:hAnsi="Times New Roman"/>
          <w:sz w:val="22"/>
          <w:szCs w:val="22"/>
          <w:color w:val="auto"/>
        </w:rPr>
      </w:pPr>
    </w:p>
    <w:p>
      <w:pPr>
        <w:ind w:left="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195" w:lineRule="exact"/>
        <w:rPr>
          <w:rFonts w:ascii="Times New Roman" w:cs="Times New Roman" w:eastAsia="Times New Roman" w:hAnsi="Times New Roman"/>
          <w:sz w:val="22"/>
          <w:szCs w:val="22"/>
          <w:color w:val="auto"/>
        </w:rPr>
      </w:pPr>
    </w:p>
    <w:p>
      <w:pPr>
        <w:jc w:val="both"/>
        <w:ind w:left="80" w:firstLine="1224"/>
        <w:spacing w:after="0" w:line="257" w:lineRule="auto"/>
        <w:tabs>
          <w:tab w:leader="none" w:pos="1940"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spacing w:after="0" w:line="17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voluntarily participating in the Plan;</w:t>
      </w:r>
    </w:p>
    <w:p>
      <w:pPr>
        <w:spacing w:after="0" w:line="219" w:lineRule="exact"/>
        <w:rPr>
          <w:rFonts w:ascii="Times New Roman" w:cs="Times New Roman" w:eastAsia="Times New Roman" w:hAnsi="Times New Roman"/>
          <w:sz w:val="22"/>
          <w:szCs w:val="22"/>
          <w:color w:val="auto"/>
        </w:rPr>
      </w:pPr>
    </w:p>
    <w:p>
      <w:pPr>
        <w:ind w:left="80" w:right="20" w:firstLine="1224"/>
        <w:spacing w:after="0" w:line="271" w:lineRule="auto"/>
        <w:tabs>
          <w:tab w:leader="none" w:pos="1940"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options granted under the Plan and the shares of Common Stock underlying such options, and the income and value of same, are not intended to replace any pension rights or compensation;</w:t>
      </w:r>
    </w:p>
    <w:p>
      <w:pPr>
        <w:spacing w:after="0" w:line="157" w:lineRule="exact"/>
        <w:rPr>
          <w:rFonts w:ascii="Times New Roman" w:cs="Times New Roman" w:eastAsia="Times New Roman" w:hAnsi="Times New Roman"/>
          <w:sz w:val="22"/>
          <w:szCs w:val="22"/>
          <w:color w:val="auto"/>
        </w:rPr>
      </w:pPr>
    </w:p>
    <w:p>
      <w:pPr>
        <w:jc w:val="both"/>
        <w:ind w:left="80" w:firstLine="1224"/>
        <w:spacing w:after="0" w:line="252" w:lineRule="auto"/>
        <w:tabs>
          <w:tab w:leader="none" w:pos="1943"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end-of-service payments, bonuses, long-service awards, pension or retirement benefits or similar payments;</w:t>
      </w:r>
    </w:p>
    <w:p>
      <w:pPr>
        <w:spacing w:after="0" w:line="179" w:lineRule="exact"/>
        <w:rPr>
          <w:rFonts w:ascii="Times New Roman" w:cs="Times New Roman" w:eastAsia="Times New Roman" w:hAnsi="Times New Roman"/>
          <w:sz w:val="22"/>
          <w:szCs w:val="22"/>
          <w:color w:val="auto"/>
        </w:rPr>
      </w:pPr>
    </w:p>
    <w:p>
      <w:pPr>
        <w:ind w:left="80" w:firstLine="1224"/>
        <w:spacing w:after="0" w:line="271" w:lineRule="auto"/>
        <w:tabs>
          <w:tab w:leader="none" w:pos="1938"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of Common Stock offered under the Plan is unknown, indeterminable and cannot be predicted with certainty;</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Common Stock that I acquire under the Plan may increase or decrease in value, even below</w:t>
      </w:r>
    </w:p>
    <w:p>
      <w:pPr>
        <w:spacing w:after="0" w:line="27" w:lineRule="exact"/>
        <w:rPr>
          <w:rFonts w:ascii="Times New Roman" w:cs="Times New Roman" w:eastAsia="Times New Roman" w:hAnsi="Times New Roman"/>
          <w:sz w:val="22"/>
          <w:szCs w:val="22"/>
          <w:color w:val="auto"/>
        </w:rPr>
      </w:pPr>
    </w:p>
    <w:p>
      <w:pPr>
        <w:ind w:left="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w:t>
      </w:r>
    </w:p>
    <w:p>
      <w:pPr>
        <w:spacing w:after="0" w:line="195" w:lineRule="exact"/>
        <w:rPr>
          <w:rFonts w:ascii="Times New Roman" w:cs="Times New Roman" w:eastAsia="Times New Roman" w:hAnsi="Times New Roman"/>
          <w:sz w:val="22"/>
          <w:szCs w:val="22"/>
          <w:color w:val="auto"/>
        </w:rPr>
      </w:pPr>
    </w:p>
    <w:p>
      <w:pPr>
        <w:jc w:val="both"/>
        <w:ind w:left="80" w:firstLine="1224"/>
        <w:spacing w:after="0" w:line="252" w:lineRule="auto"/>
        <w:tabs>
          <w:tab w:leader="none" w:pos="1931"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will arise from the forfeiture of options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options under the Plan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1" w:right="339" w:bottom="1440" w:gutter="0" w:footer="0" w:header="0"/>
        </w:sectPr>
      </w:pPr>
    </w:p>
    <w:bookmarkStart w:id="453" w:name="page454"/>
    <w:bookmarkEnd w:id="453"/>
    <w:p>
      <w:pPr>
        <w:jc w:val="both"/>
        <w:ind w:left="80"/>
        <w:spacing w:after="0" w:line="250" w:lineRule="auto"/>
        <w:rPr>
          <w:sz w:val="20"/>
          <w:szCs w:val="20"/>
          <w:color w:val="auto"/>
        </w:rPr>
      </w:pPr>
      <w:r>
        <w:rPr>
          <w:rFonts w:ascii="Times New Roman" w:cs="Times New Roman" w:eastAsia="Times New Roman" w:hAnsi="Times New Roman"/>
          <w:sz w:val="22"/>
          <w:szCs w:val="22"/>
          <w:color w:val="auto"/>
        </w:rPr>
        <w:t>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spacing w:after="0" w:line="181" w:lineRule="exact"/>
        <w:rPr>
          <w:sz w:val="20"/>
          <w:szCs w:val="20"/>
          <w:color w:val="auto"/>
        </w:rPr>
      </w:pPr>
    </w:p>
    <w:p>
      <w:pPr>
        <w:jc w:val="both"/>
        <w:ind w:left="80" w:firstLine="1224"/>
        <w:spacing w:after="0" w:line="246" w:lineRule="auto"/>
        <w:tabs>
          <w:tab w:leader="none" w:pos="1931" w:val="left"/>
        </w:tabs>
        <w:numPr>
          <w:ilvl w:val="1"/>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active employment would not include a period of “</w:t>
      </w:r>
      <w:r>
        <w:rPr>
          <w:rFonts w:ascii="Times New Roman" w:cs="Times New Roman" w:eastAsia="Times New Roman" w:hAnsi="Times New Roman"/>
          <w:sz w:val="22"/>
          <w:szCs w:val="22"/>
          <w:b w:val="1"/>
          <w:bCs w:val="1"/>
          <w:color w:val="auto"/>
        </w:rPr>
        <w:t>garden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leave</w:t>
      </w:r>
      <w:r>
        <w:rPr>
          <w:rFonts w:ascii="Times New Roman" w:cs="Times New Roman" w:eastAsia="Times New Roman" w:hAnsi="Times New Roman"/>
          <w:sz w:val="22"/>
          <w:szCs w:val="22"/>
          <w:color w:val="auto"/>
        </w:rPr>
        <w:t>” or similar period pursuant to the employment laws in the jurisdiction in which I am employed or the terms of my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agreement, if any); the Company will have the exclusive discretion to determine when I am no longer actively employed for purposes of my participation in the Plan (including whether I may still be considered to be actively employed while on a leave of absence).</w:t>
      </w:r>
    </w:p>
    <w:p>
      <w:pPr>
        <w:spacing w:after="0" w:line="183"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397"/>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Times New Roman" w:cs="Times New Roman" w:eastAsia="Times New Roman" w:hAnsi="Times New Roman"/>
          <w:sz w:val="21"/>
          <w:szCs w:val="21"/>
          <w:b w:val="1"/>
          <w:bCs w:val="1"/>
          <w:i w:val="1"/>
          <w:iCs w:val="1"/>
          <w:color w:val="auto"/>
        </w:rPr>
        <w:t>Data</w:t>
      </w:r>
      <w:r>
        <w:rPr>
          <w:rFonts w:ascii="Times New Roman" w:cs="Times New Roman" w:eastAsia="Times New Roman" w:hAnsi="Times New Roman"/>
          <w:sz w:val="21"/>
          <w:szCs w:val="21"/>
          <w:i w:val="1"/>
          <w:iCs w:val="1"/>
          <w:color w:val="auto"/>
        </w:rPr>
        <w:t>”),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1" w:right="339" w:bottom="1440" w:gutter="0" w:footer="0" w:header="0"/>
        </w:sectPr>
      </w:pPr>
    </w:p>
    <w:bookmarkStart w:id="454" w:name="page455"/>
    <w:bookmarkEnd w:id="454"/>
    <w:p>
      <w:pPr>
        <w:jc w:val="both"/>
        <w:spacing w:after="0" w:line="247" w:lineRule="auto"/>
        <w:rPr>
          <w:sz w:val="20"/>
          <w:szCs w:val="20"/>
          <w:color w:val="auto"/>
        </w:rPr>
      </w:pPr>
      <w:r>
        <w:rPr>
          <w:rFonts w:ascii="Times New Roman" w:cs="Times New Roman" w:eastAsia="Times New Roman" w:hAnsi="Times New Roman"/>
          <w:sz w:val="22"/>
          <w:szCs w:val="22"/>
          <w:i w:val="1"/>
          <w:iCs w:val="1"/>
          <w:color w:val="auto"/>
        </w:rPr>
        <w:t>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 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spacing w:after="0" w:line="180" w:lineRule="exact"/>
        <w:rPr>
          <w:sz w:val="20"/>
          <w:szCs w:val="20"/>
          <w:color w:val="auto"/>
        </w:rPr>
      </w:pPr>
    </w:p>
    <w:p>
      <w:pPr>
        <w:jc w:val="both"/>
        <w:ind w:firstLine="656"/>
        <w:spacing w:after="0" w:line="257" w:lineRule="auto"/>
        <w:tabs>
          <w:tab w:leader="none" w:pos="1296"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spacing w:after="0" w:line="172" w:lineRule="exact"/>
        <w:rPr>
          <w:rFonts w:ascii="Times New Roman" w:cs="Times New Roman" w:eastAsia="Times New Roman" w:hAnsi="Times New Roman"/>
          <w:sz w:val="22"/>
          <w:szCs w:val="22"/>
          <w:color w:val="auto"/>
        </w:rPr>
      </w:pPr>
    </w:p>
    <w:p>
      <w:pPr>
        <w:jc w:val="both"/>
        <w:ind w:right="20" w:firstLine="656"/>
        <w:spacing w:after="0" w:line="257" w:lineRule="auto"/>
        <w:tabs>
          <w:tab w:leader="none" w:pos="1288"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spacing w:after="0" w:line="172" w:lineRule="exact"/>
        <w:rPr>
          <w:rFonts w:ascii="Times New Roman" w:cs="Times New Roman" w:eastAsia="Times New Roman" w:hAnsi="Times New Roman"/>
          <w:sz w:val="22"/>
          <w:szCs w:val="22"/>
          <w:color w:val="auto"/>
        </w:rPr>
      </w:pPr>
    </w:p>
    <w:p>
      <w:pPr>
        <w:jc w:val="both"/>
        <w:ind w:firstLine="656"/>
        <w:spacing w:after="0" w:line="261" w:lineRule="auto"/>
        <w:tabs>
          <w:tab w:leader="none" w:pos="1296" w:val="left"/>
        </w:tabs>
        <w:numPr>
          <w:ilvl w:val="0"/>
          <w:numId w:val="3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7" w:right="339" w:bottom="1440" w:gutter="0" w:footer="0" w:header="0"/>
        </w:sectPr>
      </w:pPr>
    </w:p>
    <w:bookmarkStart w:id="455" w:name="page456"/>
    <w:bookmarkEnd w:id="455"/>
    <w:p>
      <w:pPr>
        <w:ind w:firstLine="656"/>
        <w:spacing w:after="0" w:line="271" w:lineRule="auto"/>
        <w:tabs>
          <w:tab w:leader="none" w:pos="1296"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hereby agree to be bound by the terms of the Plan. The effectiveness of this Subscription Agreement is dependent upon my eligibility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Employee’s Social</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Security Number</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(for U.S.-based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27940</wp:posOffset>
            </wp:positionV>
            <wp:extent cx="3566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370840</wp:posOffset>
            </wp:positionV>
            <wp:extent cx="3566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199390</wp:posOffset>
            </wp:positionV>
            <wp:extent cx="3566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27940</wp:posOffset>
            </wp:positionV>
            <wp:extent cx="3566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I UNDERSTAND THAT THIS SUBSCRIPTION AGREEMENT WILL REMAIN IN EFFECT THROUGHOUT SUCCESSIVE OFFERING PERIODS UNLESS TERMINATED BY ME.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27940</wp:posOffset>
            </wp:positionV>
            <wp:extent cx="65576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5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2"/>
          <w:szCs w:val="22"/>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1" w:right="339" w:bottom="1440" w:gutter="0" w:footer="0" w:header="0"/>
        </w:sectPr>
      </w:pPr>
    </w:p>
    <w:bookmarkStart w:id="456" w:name="page457"/>
    <w:bookmarkEnd w:id="456"/>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EMPLOYEE STOCK PURCHASE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WITHDRAWAL</w:t>
      </w:r>
    </w:p>
    <w:p>
      <w:pPr>
        <w:spacing w:after="0" w:line="220"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1"/>
          <w:szCs w:val="21"/>
          <w:color w:val="auto"/>
        </w:rPr>
        <w:t>The undersigned Participant in the Offering Period of the Seer, Inc. 2020 Employee Stock Purchase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that began on ____________, ______ (the “</w:t>
      </w:r>
      <w:r>
        <w:rPr>
          <w:rFonts w:ascii="Times New Roman" w:cs="Times New Roman" w:eastAsia="Times New Roman" w:hAnsi="Times New Roman"/>
          <w:sz w:val="21"/>
          <w:szCs w:val="21"/>
          <w:b w:val="1"/>
          <w:bCs w:val="1"/>
          <w:color w:val="auto"/>
        </w:rPr>
        <w:t>Offering Date</w:t>
      </w:r>
      <w:r>
        <w:rPr>
          <w:rFonts w:ascii="Times New Roman" w:cs="Times New Roman" w:eastAsia="Times New Roman" w:hAnsi="Times New Roman"/>
          <w:sz w:val="21"/>
          <w:szCs w:val="21"/>
          <w:color w:val="auto"/>
        </w:rPr>
        <w:t>”) hereby notifies the Company that he or she hereby withdraws from the</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spacing w:after="0" w:line="24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2"/>
          <w:szCs w:val="22"/>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748030</wp:posOffset>
            </wp:positionV>
            <wp:extent cx="34118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508000</wp:posOffset>
            </wp:positionV>
            <wp:extent cx="34118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267970</wp:posOffset>
            </wp:positionV>
            <wp:extent cx="34118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199390</wp:posOffset>
            </wp:positionV>
            <wp:extent cx="34118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27940</wp:posOffset>
            </wp:positionV>
            <wp:extent cx="29400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7" w:name="page458"/>
    <w:bookmarkEnd w:id="457"/>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KEY EXECUTIVE CHANGE IN CONTROL AND SEVERANCE PLAN</w:t>
      </w:r>
    </w:p>
    <w:p>
      <w:pPr>
        <w:spacing w:after="0" w:line="200" w:lineRule="exact"/>
        <w:rPr>
          <w:sz w:val="20"/>
          <w:szCs w:val="20"/>
          <w:color w:val="auto"/>
        </w:rPr>
      </w:pPr>
    </w:p>
    <w:p>
      <w:pPr>
        <w:spacing w:after="0" w:line="236" w:lineRule="exact"/>
        <w:rPr>
          <w:sz w:val="20"/>
          <w:szCs w:val="20"/>
          <w:color w:val="auto"/>
        </w:rPr>
      </w:pPr>
    </w:p>
    <w:p>
      <w:pPr>
        <w:jc w:val="both"/>
        <w:ind w:firstLine="656"/>
        <w:spacing w:after="0" w:line="251" w:lineRule="auto"/>
        <w:tabs>
          <w:tab w:leader="none" w:pos="1296" w:val="left"/>
        </w:tabs>
        <w:numPr>
          <w:ilvl w:val="0"/>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Introduction</w:t>
      </w:r>
      <w:r>
        <w:rPr>
          <w:rFonts w:ascii="Times New Roman" w:cs="Times New Roman" w:eastAsia="Times New Roman" w:hAnsi="Times New Roman"/>
          <w:sz w:val="22"/>
          <w:szCs w:val="22"/>
          <w:color w:val="auto"/>
        </w:rPr>
        <w:t>. This Seer, Inc. Key Executive Change in Control and Severance Plan (as may be amended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to time, this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has been adopted by Seer,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effective as of the day immediately prior to the Registration Date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in order to provide specified severance pay and benefits to Eligible Employees who (a) incur qualifying terminations of employment, and (b) abide by the terms and conditions for participation in, and receipt of such pay and benefits, as set forth in the Plan.</w:t>
      </w:r>
    </w:p>
    <w:p>
      <w:pPr>
        <w:spacing w:after="0" w:line="17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Important Terms</w:t>
      </w:r>
      <w:r>
        <w:rPr>
          <w:rFonts w:ascii="Times New Roman" w:cs="Times New Roman" w:eastAsia="Times New Roman" w:hAnsi="Times New Roman"/>
          <w:sz w:val="21"/>
          <w:szCs w:val="21"/>
          <w:color w:val="auto"/>
        </w:rPr>
        <w:t>. The following capitalized words and phrases will have the meanings set forth in this Section 2:</w:t>
      </w:r>
    </w:p>
    <w:p>
      <w:pPr>
        <w:spacing w:after="0" w:line="23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means the Company, acting through the Board (as defined below), the Compensation Committee of the Board or another duly constituted committee of members of the Board, or any person to whom the Administrator or the Board has delegated any authority or responsibility with respect to the Plan pursuant to Section 14, but only to the extent of such delegation.</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of the Company.</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2.3.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has the meaning set forth in the Participant’s Participation Agreement for such term. The determination of whether grounds for Cause exists, including the determination of the cure of any event and/or action, omission or event constituting grounds for Cause, will be made in all cases by the Administrator in accordance with authorities and deference afforded to the Administrator under Section 14 of the Plan.</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means the first occurrence of any of the following events on or after the Effective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6" w:lineRule="exact"/>
        <w:rPr>
          <w:sz w:val="20"/>
          <w:szCs w:val="20"/>
          <w:color w:val="auto"/>
        </w:rPr>
      </w:pPr>
    </w:p>
    <w:p>
      <w:pPr>
        <w:jc w:val="both"/>
        <w:ind w:firstLine="1952"/>
        <w:spacing w:after="0" w:line="246" w:lineRule="auto"/>
        <w:tabs>
          <w:tab w:leader="none" w:pos="2589"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ownership of the Company which occurs on the date that any one person, or more than one person acting as a group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w:t>
      </w:r>
    </w:p>
    <w:p>
      <w:pPr>
        <w:sectPr>
          <w:pgSz w:w="11900" w:h="16838" w:orient="portrait"/>
          <w:cols w:equalWidth="0" w:num="1">
            <w:col w:w="11240"/>
          </w:cols>
          <w:pgMar w:left="320" w:top="117" w:right="339" w:bottom="1440" w:gutter="0" w:footer="0" w:header="0"/>
        </w:sectPr>
      </w:pPr>
    </w:p>
    <w:bookmarkStart w:id="458" w:name="page459"/>
    <w:bookmarkEnd w:id="458"/>
    <w:p>
      <w:pPr>
        <w:jc w:val="both"/>
        <w:spacing w:after="0" w:line="250" w:lineRule="auto"/>
        <w:rPr>
          <w:sz w:val="20"/>
          <w:szCs w:val="20"/>
          <w:color w:val="auto"/>
        </w:rPr>
      </w:pPr>
      <w:r>
        <w:rPr>
          <w:rFonts w:ascii="Times New Roman" w:cs="Times New Roman" w:eastAsia="Times New Roman" w:hAnsi="Times New Roman"/>
          <w:sz w:val="22"/>
          <w:szCs w:val="22"/>
          <w:color w:val="auto"/>
        </w:rPr>
        <w:t>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1" w:lineRule="exact"/>
        <w:rPr>
          <w:sz w:val="20"/>
          <w:szCs w:val="20"/>
          <w:color w:val="auto"/>
        </w:rPr>
      </w:pPr>
    </w:p>
    <w:p>
      <w:pPr>
        <w:jc w:val="both"/>
        <w:ind w:firstLine="1952"/>
        <w:spacing w:after="0" w:line="248" w:lineRule="auto"/>
        <w:tabs>
          <w:tab w:leader="none" w:pos="2587"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86" w:lineRule="exact"/>
        <w:rPr>
          <w:rFonts w:ascii="Times New Roman" w:cs="Times New Roman" w:eastAsia="Times New Roman" w:hAnsi="Times New Roman"/>
          <w:sz w:val="22"/>
          <w:szCs w:val="22"/>
          <w:color w:val="auto"/>
        </w:rPr>
      </w:pPr>
    </w:p>
    <w:p>
      <w:pPr>
        <w:jc w:val="both"/>
        <w:ind w:firstLine="1952"/>
        <w:spacing w:after="0" w:line="245" w:lineRule="auto"/>
        <w:tabs>
          <w:tab w:leader="none" w:pos="2589"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Code Section 409A. Further and for the avoidance of doubt, a transaction will not constitute a Change in Control if: (x) its primary purpose is to change the jurisdiction of the Company’s incorporation, or (y) its primary purpose is to create a holding company that will be owned in substantially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21" w:right="33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22"/>
          <w:szCs w:val="22"/>
          <w:color w:val="auto"/>
        </w:rPr>
        <w:t>proportions by the persons who held the Company’s securities immediately before such transaction.</w:t>
      </w:r>
    </w:p>
    <w:p>
      <w:pPr>
        <w:spacing w:after="0" w:line="21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2.5. “</w:t>
      </w:r>
      <w:r>
        <w:rPr>
          <w:rFonts w:ascii="Times New Roman" w:cs="Times New Roman" w:eastAsia="Times New Roman" w:hAnsi="Times New Roman"/>
          <w:sz w:val="22"/>
          <w:szCs w:val="22"/>
          <w:b w:val="1"/>
          <w:bCs w:val="1"/>
          <w:color w:val="auto"/>
        </w:rPr>
        <w:t>Change in Control Period</w:t>
      </w:r>
      <w:r>
        <w:rPr>
          <w:rFonts w:ascii="Times New Roman" w:cs="Times New Roman" w:eastAsia="Times New Roman" w:hAnsi="Times New Roman"/>
          <w:sz w:val="22"/>
          <w:szCs w:val="22"/>
          <w:color w:val="auto"/>
        </w:rPr>
        <w:t>” means, unless otherwise defined in a Participant’s Participation Agreement, the time period beginning upon the consummation of a Change in Control and ending on (and inclusive of) the date that is twelve (12) months following such Change in Control.</w:t>
      </w:r>
    </w:p>
    <w:p>
      <w:pPr>
        <w:spacing w:after="0" w:line="16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2.6.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Reference to a specific section of the Code or regulation under the Code will include such section or regulation, and any valid regulation or other formal guidance of general or direct applicability promulgated under such section, and any comparable provision of any future legislation amending, supplementing or superseding such section or regulation.</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means Seer, Inc., a Delaware corporation, and any successor as described in Section 25.</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2.8. “</w:t>
      </w:r>
      <w:r>
        <w:rPr>
          <w:rFonts w:ascii="Times New Roman" w:cs="Times New Roman" w:eastAsia="Times New Roman" w:hAnsi="Times New Roman"/>
          <w:sz w:val="22"/>
          <w:szCs w:val="22"/>
          <w:b w:val="1"/>
          <w:bCs w:val="1"/>
          <w:color w:val="auto"/>
        </w:rPr>
        <w:t>Deferred Payments</w:t>
      </w:r>
      <w:r>
        <w:rPr>
          <w:rFonts w:ascii="Times New Roman" w:cs="Times New Roman" w:eastAsia="Times New Roman" w:hAnsi="Times New Roman"/>
          <w:sz w:val="22"/>
          <w:szCs w:val="22"/>
          <w:color w:val="auto"/>
        </w:rPr>
        <w:t>” means any Severance Benefits to be paid or provided to a Participant pursuant to this Plan and any other severance payments or separation benefits to be paid or provided to such Participant, that in each case, when considered together, are considered deferred compensation under Section 409A.</w:t>
      </w:r>
    </w:p>
    <w:p>
      <w:pPr>
        <w:spacing w:after="0" w:line="16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2.9.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total and permanent disability as defined in Code Section 22(e)(3). The Administrator will determine whether a Participant has incurred a Disability based on such evidence as the Administrator deems necessary or advisable. The Administrator’s determination as to a Participant’s Disability will be final and binding.</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has the meaning assigned to it in Section 1 of the Plan.</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2.11. “</w:t>
      </w:r>
      <w:r>
        <w:rPr>
          <w:rFonts w:ascii="Times New Roman" w:cs="Times New Roman" w:eastAsia="Times New Roman" w:hAnsi="Times New Roman"/>
          <w:sz w:val="22"/>
          <w:szCs w:val="22"/>
          <w:b w:val="1"/>
          <w:bCs w:val="1"/>
          <w:color w:val="auto"/>
        </w:rPr>
        <w:t>Eligible Employee</w:t>
      </w:r>
      <w:r>
        <w:rPr>
          <w:rFonts w:ascii="Times New Roman" w:cs="Times New Roman" w:eastAsia="Times New Roman" w:hAnsi="Times New Roman"/>
          <w:sz w:val="22"/>
          <w:szCs w:val="22"/>
          <w:color w:val="auto"/>
        </w:rPr>
        <w:t>” means an employee who is a member of a “select group of management or highly compensated employees” (within the meaning of Sections 201(2), 301(a)(3) and 401(a)(1) of ERISA) of the Company or of any parent or subsidiary of the Company and who has been designated by the Administrator as being eligible to participate in the Plan and has been provided a Participation Agreement by the Administrator.</w:t>
      </w:r>
    </w:p>
    <w:p>
      <w:pPr>
        <w:spacing w:after="0" w:line="175"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2.12. “</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means, with respect to an Eligible Employee, the Company or the parent or subsidiary of the Company that directly employs such employee.</w:t>
      </w:r>
    </w:p>
    <w:p>
      <w:pPr>
        <w:spacing w:after="0" w:line="14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2.13. “</w:t>
      </w:r>
      <w:r>
        <w:rPr>
          <w:rFonts w:ascii="Times New Roman" w:cs="Times New Roman" w:eastAsia="Times New Roman" w:hAnsi="Times New Roman"/>
          <w:sz w:val="22"/>
          <w:szCs w:val="22"/>
          <w:b w:val="1"/>
          <w:bCs w:val="1"/>
          <w:color w:val="auto"/>
        </w:rPr>
        <w:t>Equity Awards</w:t>
      </w:r>
      <w:r>
        <w:rPr>
          <w:rFonts w:ascii="Times New Roman" w:cs="Times New Roman" w:eastAsia="Times New Roman" w:hAnsi="Times New Roman"/>
          <w:sz w:val="22"/>
          <w:szCs w:val="22"/>
          <w:color w:val="auto"/>
        </w:rPr>
        <w:t>” mean a Participant’s outstanding Company stock options, stock appreciation rights, restricted stock, restricted stock units, performance shares, performance stock units, and other Company equity compensation awards, if any.</w:t>
      </w:r>
    </w:p>
    <w:p>
      <w:pPr>
        <w:spacing w:after="0" w:line="16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2.14. “</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means the U.S. Employee Retirement Income Security Act of 1974, as amended. Any reference to a specific section of ERISA will include such section and any valid regulation or other applicable guidance that has been promulgated under such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240"/>
          </w:cols>
          <w:pgMar w:left="320" w:top="1421" w:right="339" w:bottom="1440" w:gutter="0" w:footer="0" w:header="0"/>
        </w:sectPr>
      </w:pPr>
    </w:p>
    <w:bookmarkStart w:id="460" w:name="page461"/>
    <w:bookmarkEnd w:id="460"/>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and is in effect and any comparable provision of any future legislation amending, supplementing or superseding such section then in effect.</w:t>
      </w:r>
    </w:p>
    <w:p>
      <w:pPr>
        <w:spacing w:after="0" w:line="15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2.15. “</w:t>
      </w:r>
      <w:r>
        <w:rPr>
          <w:rFonts w:ascii="Times New Roman" w:cs="Times New Roman" w:eastAsia="Times New Roman" w:hAnsi="Times New Roman"/>
          <w:sz w:val="22"/>
          <w:szCs w:val="22"/>
          <w:b w:val="1"/>
          <w:bCs w:val="1"/>
          <w:color w:val="auto"/>
        </w:rPr>
        <w:t>Good Reason Termination</w:t>
      </w:r>
      <w:r>
        <w:rPr>
          <w:rFonts w:ascii="Times New Roman" w:cs="Times New Roman" w:eastAsia="Times New Roman" w:hAnsi="Times New Roman"/>
          <w:sz w:val="22"/>
          <w:szCs w:val="22"/>
          <w:color w:val="auto"/>
        </w:rPr>
        <w:t>” has the meaning set forth in the Participant’s Participation Agreement for such term. The determination of whether a Good Reason Termination exists, including the determination of the cure of any event and/or breach constituting a Good Reason Termination, will be made in all cases by the Administrator in accordance with authorities and deference afforded to the Administrator under Section 14 of the Plan.</w:t>
      </w:r>
    </w:p>
    <w:p>
      <w:pPr>
        <w:spacing w:after="0" w:line="17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2.16. “</w:t>
      </w:r>
      <w:r>
        <w:rPr>
          <w:rFonts w:ascii="Times New Roman" w:cs="Times New Roman" w:eastAsia="Times New Roman" w:hAnsi="Times New Roman"/>
          <w:sz w:val="22"/>
          <w:szCs w:val="22"/>
          <w:b w:val="1"/>
          <w:bCs w:val="1"/>
          <w:color w:val="auto"/>
        </w:rPr>
        <w:t>Grandfathered Award</w:t>
      </w:r>
      <w:r>
        <w:rPr>
          <w:rFonts w:ascii="Times New Roman" w:cs="Times New Roman" w:eastAsia="Times New Roman" w:hAnsi="Times New Roman"/>
          <w:sz w:val="22"/>
          <w:szCs w:val="22"/>
          <w:color w:val="auto"/>
        </w:rPr>
        <w:t>” means any Equity Award granted to an applicable Participant before the Registration Date.</w:t>
      </w:r>
    </w:p>
    <w:p>
      <w:pPr>
        <w:spacing w:after="0" w:line="14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2.17. “</w:t>
      </w: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means the termination of a Participant’s employment with the Employer under the circumstances described in Section 4. For the avoidance of doubt, an Involuntary Termination will not be considered to occur upon transfer of a Participant’s employment between Employers.</w:t>
      </w:r>
    </w:p>
    <w:p>
      <w:pPr>
        <w:spacing w:after="0" w:line="16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2.18. “</w:t>
      </w:r>
      <w:r>
        <w:rPr>
          <w:rFonts w:ascii="Times New Roman" w:cs="Times New Roman" w:eastAsia="Times New Roman" w:hAnsi="Times New Roman"/>
          <w:sz w:val="22"/>
          <w:szCs w:val="22"/>
          <w:b w:val="1"/>
          <w:bCs w:val="1"/>
          <w:color w:val="auto"/>
        </w:rPr>
        <w:t>Monthly Base Salary</w:t>
      </w:r>
      <w:r>
        <w:rPr>
          <w:rFonts w:ascii="Times New Roman" w:cs="Times New Roman" w:eastAsia="Times New Roman" w:hAnsi="Times New Roman"/>
          <w:sz w:val="22"/>
          <w:szCs w:val="22"/>
          <w:color w:val="auto"/>
        </w:rPr>
        <w:t>” means a Participant’s monthly base salary rate in effect immediately before the date on which his or her Involuntary Termination occurs; provided, however, that if the Involuntary Termination is a Good Reason Termination (if and to the extent the Participant’s Participation Agreement provides eligibility for benefits upon such Good Reason Termination) based on the clause of the applicable definition of Good Reason Termination (if any), relating to a material reduction by the Company in the Participant’s then-current annual base salary, then Participant’s Monthly Base Salary will be not less than his monthly base salary rate in effect immediately prior to such reduction; provided, further, that in the event Participant’s Involuntary Termination occurs during the Change in Control Period, then the Eligible Employee’s Monthly Base Salary will be not less than his or her monthly base salary rate in effect immediately before the Change in Control Period. The determination of the amount of a Participant’s Monthly Base Salary will be made by the Administrator, in accordance with the records of the Employer.</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2.19.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an Eligible Employee who has timely and properly executed and timely delivered his or her Participation Agreement to the Administrator, as set forth therein. A Participant’s Severance Benefit levels will be determined by the Administrator and reflected in the Participant’s Participation Agreement, as designated by the Administrator in its sole discretion.</w:t>
      </w:r>
    </w:p>
    <w:p>
      <w:pPr>
        <w:spacing w:after="0" w:line="17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2.20. “</w:t>
      </w:r>
      <w:r>
        <w:rPr>
          <w:rFonts w:ascii="Times New Roman" w:cs="Times New Roman" w:eastAsia="Times New Roman" w:hAnsi="Times New Roman"/>
          <w:sz w:val="22"/>
          <w:szCs w:val="22"/>
          <w:b w:val="1"/>
          <w:bCs w:val="1"/>
          <w:color w:val="auto"/>
        </w:rPr>
        <w:t>Participation Agreement</w:t>
      </w:r>
      <w:r>
        <w:rPr>
          <w:rFonts w:ascii="Times New Roman" w:cs="Times New Roman" w:eastAsia="Times New Roman" w:hAnsi="Times New Roman"/>
          <w:sz w:val="22"/>
          <w:szCs w:val="22"/>
          <w:color w:val="auto"/>
        </w:rPr>
        <w:t xml:space="preserve">” means the individual agreement provided by the Administrator to an employee of an Employer designating such employee as an Eligible Employee under the Plan. A form of Participation Agreement is attached hereto as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2.21. “</w:t>
      </w:r>
      <w:r>
        <w:rPr>
          <w:rFonts w:ascii="Times New Roman" w:cs="Times New Roman" w:eastAsia="Times New Roman" w:hAnsi="Times New Roman"/>
          <w:sz w:val="22"/>
          <w:szCs w:val="22"/>
          <w:b w:val="1"/>
          <w:bCs w:val="1"/>
          <w:color w:val="auto"/>
        </w:rPr>
        <w:t>Registration Date</w:t>
      </w:r>
      <w:r>
        <w:rPr>
          <w:rFonts w:ascii="Times New Roman" w:cs="Times New Roman" w:eastAsia="Times New Roman" w:hAnsi="Times New Roman"/>
          <w:sz w:val="22"/>
          <w:szCs w:val="22"/>
          <w:color w:val="auto"/>
        </w:rPr>
        <w:t>” means the effective date of the first registration statement that is filed by the Company and declared effective pursuant to Section 12(b) of the U.S. Securities Exchange Act of 1934, as amended, with respect to any class of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1240"/>
          </w:cols>
          <w:pgMar w:left="320" w:top="1421" w:right="339" w:bottom="1440" w:gutter="0" w:footer="0" w:header="0"/>
        </w:sectPr>
      </w:pPr>
    </w:p>
    <w:bookmarkStart w:id="461" w:name="page462"/>
    <w:bookmarkEnd w:id="461"/>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2.22.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means Section 409A of the Code.</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2.23.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 means the separation-related compensation and other benefits that a Participant will be provided in the circumstances described in Section 4 or Section 5 and set forth in his or her Participation Agreement.</w:t>
      </w:r>
    </w:p>
    <w:p>
      <w:pPr>
        <w:spacing w:after="0" w:line="14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2.24. “</w:t>
      </w: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means a Participant’s annualized target bonus amount under the applicable Employer bonus plan, as in effect for the performance period in which the Participant’s Involuntary Termination occurs; provided, however, that in the event such Involuntary Termination occurs during the Change in Control Period, then the Participant’s Target Bonus will be not less than such target bonus amount for the Participant as in effect for the performance period in which the Change in Control occurs. The determination of the amount of a Participant’s Target Bonus will be made by the Administrator, in accordance with the records of the Employer.</w:t>
      </w:r>
    </w:p>
    <w:p>
      <w:pPr>
        <w:spacing w:after="0" w:line="18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2.25. “</w:t>
      </w:r>
      <w:r>
        <w:rPr>
          <w:rFonts w:ascii="Times New Roman" w:cs="Times New Roman" w:eastAsia="Times New Roman" w:hAnsi="Times New Roman"/>
          <w:sz w:val="22"/>
          <w:szCs w:val="22"/>
          <w:b w:val="1"/>
          <w:bCs w:val="1"/>
          <w:color w:val="auto"/>
        </w:rPr>
        <w:t>Time-based Equity Award</w:t>
      </w:r>
      <w:r>
        <w:rPr>
          <w:rFonts w:ascii="Times New Roman" w:cs="Times New Roman" w:eastAsia="Times New Roman" w:hAnsi="Times New Roman"/>
          <w:sz w:val="22"/>
          <w:szCs w:val="22"/>
          <w:color w:val="auto"/>
        </w:rPr>
        <w:t>” means any Equity Award granted to an applicable Participant that, as of the applicable date, is scheduled to vest based solely on the Participant’s continued service with the Employer, the Company, and/or any parent and/or subsidiary of the Company, as applicable, through the scheduled date(s) of vesting. For the avoidance of doubt, an outstanding Equity Award (or portion thereof) granted to a Participant for which, as of the applicable date, any performance-based vesting requirements have been fully achieved or otherwise no longer apply, and which remains subject solely to vesting requirements based only on the Participant’s continued service with the Employer, the Company and/or any parent and/or subsidiary of the Company, as applicable, through the scheduled date(s) of vesting, is considered a Time-based Equity Award as of the applicable date.</w:t>
      </w:r>
    </w:p>
    <w:p>
      <w:pPr>
        <w:spacing w:after="0" w:line="185" w:lineRule="exact"/>
        <w:rPr>
          <w:sz w:val="20"/>
          <w:szCs w:val="20"/>
          <w:color w:val="auto"/>
        </w:rPr>
      </w:pPr>
    </w:p>
    <w:p>
      <w:pPr>
        <w:jc w:val="both"/>
        <w:ind w:firstLine="656"/>
        <w:spacing w:after="0" w:line="259" w:lineRule="auto"/>
        <w:tabs>
          <w:tab w:leader="none" w:pos="1296" w:val="left"/>
        </w:tabs>
        <w:numPr>
          <w:ilvl w:val="1"/>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Eligibility for Severance Benefits</w:t>
      </w:r>
      <w:r>
        <w:rPr>
          <w:rFonts w:ascii="Times New Roman" w:cs="Times New Roman" w:eastAsia="Times New Roman" w:hAnsi="Times New Roman"/>
          <w:sz w:val="22"/>
          <w:szCs w:val="22"/>
          <w:color w:val="auto"/>
        </w:rPr>
        <w:t>. A Participant is eligible for Severance Benefits under the Plan, as described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4, only if he or she is an Eligible Employee on the date he or she experiences an Involuntary Termination and otherwise satisfies the requirements of the Plan.</w:t>
      </w:r>
    </w:p>
    <w:p>
      <w:pPr>
        <w:spacing w:after="0" w:line="16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Involuntary Termination During Change in Control Period</w:t>
      </w:r>
      <w:r>
        <w:rPr>
          <w:rFonts w:ascii="Times New Roman" w:cs="Times New Roman" w:eastAsia="Times New Roman" w:hAnsi="Times New Roman"/>
          <w:sz w:val="22"/>
          <w:szCs w:val="22"/>
          <w:color w:val="auto"/>
        </w:rPr>
        <w:t>. If, during the Change in Control Period,</w:t>
      </w:r>
    </w:p>
    <w:p>
      <w:pPr>
        <w:spacing w:after="0" w:line="31" w:lineRule="exact"/>
        <w:rPr>
          <w:rFonts w:ascii="Times New Roman" w:cs="Times New Roman" w:eastAsia="Times New Roman" w:hAnsi="Times New Roman"/>
          <w:sz w:val="22"/>
          <w:szCs w:val="22"/>
          <w:color w:val="auto"/>
        </w:rPr>
      </w:pPr>
    </w:p>
    <w:p>
      <w:pPr>
        <w:jc w:val="both"/>
        <w:ind w:firstLine="8"/>
        <w:spacing w:after="0" w:line="259" w:lineRule="auto"/>
        <w:tabs>
          <w:tab w:leader="none" w:pos="295" w:val="left"/>
        </w:tabs>
        <w:numPr>
          <w:ilvl w:val="0"/>
          <w:numId w:val="4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Employer terminates a Participant’s employment with the Employer for a reason other than (x) Cause, (y) the Participant’s death, or (z) the Participant’s Disability, or (b) the Participant terminates his or her employment with the Employer due to a Good Reason Termination (but with respect to clause (b), only if so provided in the Participant’s Participation Agreement), then, solely to the extent specifically provided in the Participant’s Participation Agreement, the Participant will receive the following Severance Benefits, subject to Section 6 and Sections 8 through 13 and the Participant’s compliance with Sections 7.1 and 7.3:</w:t>
      </w:r>
    </w:p>
    <w:p>
      <w:pPr>
        <w:spacing w:after="0" w:line="168" w:lineRule="exact"/>
        <w:rPr>
          <w:sz w:val="20"/>
          <w:szCs w:val="20"/>
          <w:color w:val="auto"/>
        </w:rPr>
      </w:pPr>
    </w:p>
    <w:p>
      <w:pPr>
        <w:ind w:firstLine="1944"/>
        <w:spacing w:after="0" w:line="275"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b w:val="1"/>
          <w:bCs w:val="1"/>
          <w:color w:val="auto"/>
        </w:rPr>
        <w:t>Cash Severance Benefit.</w:t>
      </w:r>
      <w:r>
        <w:rPr>
          <w:rFonts w:ascii="Times New Roman" w:cs="Times New Roman" w:eastAsia="Times New Roman" w:hAnsi="Times New Roman"/>
          <w:sz w:val="22"/>
          <w:szCs w:val="22"/>
          <w:color w:val="auto"/>
        </w:rPr>
        <w:t xml:space="preserve"> Payments of cash severance for the period and in the amounts set forth in the Participant’s Participation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40"/>
          </w:cols>
          <w:pgMar w:left="320" w:top="1417" w:right="339" w:bottom="1440" w:gutter="0" w:footer="0" w:header="0"/>
        </w:sectPr>
      </w:pPr>
    </w:p>
    <w:bookmarkStart w:id="462" w:name="page463"/>
    <w:bookmarkEnd w:id="462"/>
    <w:p>
      <w:pPr>
        <w:jc w:val="both"/>
        <w:ind w:firstLine="1944"/>
        <w:spacing w:after="0" w:line="245"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b w:val="1"/>
          <w:bCs w:val="1"/>
          <w:color w:val="auto"/>
        </w:rPr>
        <w:t>COBRA Benefit</w:t>
      </w:r>
      <w:r>
        <w:rPr>
          <w:rFonts w:ascii="Times New Roman" w:cs="Times New Roman" w:eastAsia="Times New Roman" w:hAnsi="Times New Roman"/>
          <w:sz w:val="22"/>
          <w:szCs w:val="22"/>
          <w:color w:val="auto"/>
        </w:rPr>
        <w:t>. If the Participant and any spouse and/or other dependents of the Participant (“</w:t>
      </w:r>
      <w:r>
        <w:rPr>
          <w:rFonts w:ascii="Times New Roman" w:cs="Times New Roman" w:eastAsia="Times New Roman" w:hAnsi="Times New Roman"/>
          <w:sz w:val="22"/>
          <w:szCs w:val="22"/>
          <w:b w:val="1"/>
          <w:bCs w:val="1"/>
          <w:color w:val="auto"/>
        </w:rPr>
        <w:t>Family Members</w:t>
      </w:r>
      <w:r>
        <w:rPr>
          <w:rFonts w:ascii="Times New Roman" w:cs="Times New Roman" w:eastAsia="Times New Roman" w:hAnsi="Times New Roman"/>
          <w:sz w:val="22"/>
          <w:szCs w:val="22"/>
          <w:color w:val="auto"/>
        </w:rPr>
        <w:t>”) have coverage under the group health plan(s) sponsored by the Company on the date of the Participant’s Involuntary Termination (such coverage, “</w:t>
      </w:r>
      <w:r>
        <w:rPr>
          <w:rFonts w:ascii="Times New Roman" w:cs="Times New Roman" w:eastAsia="Times New Roman" w:hAnsi="Times New Roman"/>
          <w:sz w:val="22"/>
          <w:szCs w:val="22"/>
          <w:b w:val="1"/>
          <w:bCs w:val="1"/>
          <w:color w:val="auto"/>
        </w:rPr>
        <w:t>Qualifying Health Coverage</w:t>
      </w:r>
      <w:r>
        <w:rPr>
          <w:rFonts w:ascii="Times New Roman" w:cs="Times New Roman" w:eastAsia="Times New Roman" w:hAnsi="Times New Roman"/>
          <w:sz w:val="22"/>
          <w:szCs w:val="22"/>
          <w:color w:val="auto"/>
        </w:rPr>
        <w:t>”), either reimbursement for the payments the Participant makes, or direct payments by the Company or the Employer to the insurance provider, at the Company’s election, of the premiums for medical, vision and dental coverage for Participant and Participant’s eligible dependents under Title X of the Consolidated Omnibus Budget Reconciliation Act of 1985, as amended or comparable applicable state law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(such reimbursements or direct payments, the “</w:t>
      </w:r>
      <w:r>
        <w:rPr>
          <w:rFonts w:ascii="Times New Roman" w:cs="Times New Roman" w:eastAsia="Times New Roman" w:hAnsi="Times New Roman"/>
          <w:sz w:val="22"/>
          <w:szCs w:val="22"/>
          <w:b w:val="1"/>
          <w:bCs w:val="1"/>
          <w:color w:val="auto"/>
        </w:rPr>
        <w:t>COBRA Benefits</w:t>
      </w:r>
      <w:r>
        <w:rPr>
          <w:rFonts w:ascii="Times New Roman" w:cs="Times New Roman" w:eastAsia="Times New Roman" w:hAnsi="Times New Roman"/>
          <w:sz w:val="22"/>
          <w:szCs w:val="22"/>
          <w:color w:val="auto"/>
        </w:rPr>
        <w:t>”) for the period set forth in the Participant’s Participation Agreement or until Participant has secured other employment that provides group health insurance coverage, whichever occurs first, subject to Participant timely electing COBRA coverage, remaining eligible for COBRA continuation coverage and, with respect to reimbursements, timely paying for COBRA coverage. Any COBRA reimbursements under this Plan will be made by the Company to Participant consistent with the Company’s normal expense reimbursement policy, provided further that Participant submits documentation to the Company substantiating his or her payments for COBRA coverage. Notwithstanding anything to the contrary in the Plan or any Participation Agreement, if at any time the Company determines in its sole discretion that the COBRA Benefits contemplated by this Section 4.1.2 cannot be provided to a Participant without violating applicable law (including, without limitation, Section 2716 of the Public Health Service Act), such Participant will not receive such COBRA Benefits, and Participant will not receive any benefits or payments in lieu thereof; and</w:t>
      </w:r>
    </w:p>
    <w:p>
      <w:pPr>
        <w:spacing w:after="0" w:line="188" w:lineRule="exact"/>
        <w:rPr>
          <w:sz w:val="20"/>
          <w:szCs w:val="20"/>
          <w:color w:val="auto"/>
        </w:rPr>
      </w:pPr>
    </w:p>
    <w:p>
      <w:pPr>
        <w:jc w:val="both"/>
        <w:ind w:firstLine="1944"/>
        <w:spacing w:after="0" w:line="275"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b w:val="1"/>
          <w:bCs w:val="1"/>
          <w:color w:val="auto"/>
        </w:rPr>
        <w:t>Equity Award Vesting Acceleration Benefit</w:t>
      </w:r>
      <w:r>
        <w:rPr>
          <w:rFonts w:ascii="Times New Roman" w:cs="Times New Roman" w:eastAsia="Times New Roman" w:hAnsi="Times New Roman"/>
          <w:sz w:val="22"/>
          <w:szCs w:val="22"/>
          <w:color w:val="auto"/>
        </w:rPr>
        <w:t>. The Participant’s Time-based Equity Awards will accelerate vesting to the extent provided in the Participant’s Participation Agreement.</w:t>
      </w:r>
    </w:p>
    <w:p>
      <w:pPr>
        <w:spacing w:after="0" w:line="149" w:lineRule="exact"/>
        <w:rPr>
          <w:sz w:val="20"/>
          <w:szCs w:val="20"/>
          <w:color w:val="auto"/>
        </w:rPr>
      </w:pPr>
    </w:p>
    <w:p>
      <w:pPr>
        <w:jc w:val="both"/>
        <w:ind w:right="20" w:firstLine="1944"/>
        <w:spacing w:after="0" w:line="275" w:lineRule="auto"/>
        <w:rPr>
          <w:sz w:val="20"/>
          <w:szCs w:val="20"/>
          <w:color w:val="auto"/>
        </w:rPr>
      </w:pPr>
      <w:r>
        <w:rPr>
          <w:rFonts w:ascii="Times New Roman" w:cs="Times New Roman" w:eastAsia="Times New Roman" w:hAnsi="Times New Roman"/>
          <w:sz w:val="22"/>
          <w:szCs w:val="22"/>
          <w:color w:val="auto"/>
        </w:rPr>
        <w:t xml:space="preserve">4.1.4 </w:t>
      </w:r>
      <w:r>
        <w:rPr>
          <w:rFonts w:ascii="Times New Roman" w:cs="Times New Roman" w:eastAsia="Times New Roman" w:hAnsi="Times New Roman"/>
          <w:sz w:val="22"/>
          <w:szCs w:val="22"/>
          <w:b w:val="1"/>
          <w:bCs w:val="1"/>
          <w:color w:val="auto"/>
        </w:rPr>
        <w:t>Miscellaneous Benefit(s)</w:t>
      </w:r>
      <w:r>
        <w:rPr>
          <w:rFonts w:ascii="Times New Roman" w:cs="Times New Roman" w:eastAsia="Times New Roman" w:hAnsi="Times New Roman"/>
          <w:sz w:val="22"/>
          <w:szCs w:val="22"/>
          <w:color w:val="auto"/>
        </w:rPr>
        <w:t>. The Participant will be entitled to such additional benefits, if any, to the extent and on the terms and conditions provided in the Participant’s Participation Agreement.</w:t>
      </w:r>
    </w:p>
    <w:p>
      <w:pPr>
        <w:spacing w:after="0" w:line="14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Involuntary Termination Other Than During the Change in Control Period</w:t>
      </w:r>
      <w:r>
        <w:rPr>
          <w:rFonts w:ascii="Times New Roman" w:cs="Times New Roman" w:eastAsia="Times New Roman" w:hAnsi="Times New Roman"/>
          <w:sz w:val="22"/>
          <w:szCs w:val="22"/>
          <w:color w:val="auto"/>
        </w:rPr>
        <w:t>. If (a) the Employer terminates a Participant’s employment for a reason other than (x) Cause, (y) the Participant’s death, or (z) the Participant’s Disability, or (b) the Participant terminates his or her employment with the Employer due to a Good Reason Termination (but with respect to clause (b), only if so provided in the Participant’s Participation Agreement), and in either case such Involuntary Termination does not occur during the Change in Control Period, then, solely to the extent specifically provided in the Participant’s Participation Agreement, the Participant will receive the following Severance Benefits, subject to Section 6 and Sections 8 through 13 and the Participant’s compliance with Sections 7.1 and 7.3:</w:t>
      </w:r>
    </w:p>
    <w:p>
      <w:pPr>
        <w:spacing w:after="0" w:line="182" w:lineRule="exact"/>
        <w:rPr>
          <w:sz w:val="20"/>
          <w:szCs w:val="20"/>
          <w:color w:val="auto"/>
        </w:rPr>
      </w:pPr>
    </w:p>
    <w:p>
      <w:pPr>
        <w:jc w:val="both"/>
        <w:ind w:firstLine="1944"/>
        <w:spacing w:after="0" w:line="275" w:lineRule="auto"/>
        <w:rPr>
          <w:sz w:val="20"/>
          <w:szCs w:val="20"/>
          <w:color w:val="auto"/>
        </w:rPr>
      </w:pPr>
      <w:r>
        <w:rPr>
          <w:rFonts w:ascii="Times New Roman" w:cs="Times New Roman" w:eastAsia="Times New Roman" w:hAnsi="Times New Roman"/>
          <w:sz w:val="22"/>
          <w:szCs w:val="22"/>
          <w:color w:val="auto"/>
        </w:rPr>
        <w:t xml:space="preserve">4.2.1 </w:t>
      </w:r>
      <w:r>
        <w:rPr>
          <w:rFonts w:ascii="Times New Roman" w:cs="Times New Roman" w:eastAsia="Times New Roman" w:hAnsi="Times New Roman"/>
          <w:sz w:val="22"/>
          <w:szCs w:val="22"/>
          <w:b w:val="1"/>
          <w:bCs w:val="1"/>
          <w:color w:val="auto"/>
        </w:rPr>
        <w:t>Cash Severance Benefit.</w:t>
      </w:r>
      <w:r>
        <w:rPr>
          <w:rFonts w:ascii="Times New Roman" w:cs="Times New Roman" w:eastAsia="Times New Roman" w:hAnsi="Times New Roman"/>
          <w:sz w:val="22"/>
          <w:szCs w:val="22"/>
          <w:color w:val="auto"/>
        </w:rPr>
        <w:t xml:space="preserve"> Payments of cash severance for the period and in the amounts set forth in the Participant’s Participation Agreement;</w:t>
      </w:r>
    </w:p>
    <w:p>
      <w:pPr>
        <w:spacing w:after="0" w:line="149"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b w:val="1"/>
          <w:bCs w:val="1"/>
          <w:color w:val="auto"/>
        </w:rPr>
        <w:t>COBRA Benefit</w:t>
      </w:r>
      <w:r>
        <w:rPr>
          <w:rFonts w:ascii="Times New Roman" w:cs="Times New Roman" w:eastAsia="Times New Roman" w:hAnsi="Times New Roman"/>
          <w:sz w:val="22"/>
          <w:szCs w:val="22"/>
          <w:color w:val="auto"/>
        </w:rPr>
        <w:t>. If the Participant and any Family Members have Qualifying Health Coverage, COBRA Benefits for the period set forth in the Participant’s Participation Agreement or until Participant has secured other employment that provides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40"/>
          </w:cols>
          <w:pgMar w:left="320" w:top="1417" w:right="339" w:bottom="1440" w:gutter="0" w:footer="0" w:header="0"/>
        </w:sectPr>
      </w:pPr>
    </w:p>
    <w:bookmarkStart w:id="463" w:name="page464"/>
    <w:bookmarkEnd w:id="463"/>
    <w:p>
      <w:pPr>
        <w:jc w:val="both"/>
        <w:spacing w:after="0" w:line="246" w:lineRule="auto"/>
        <w:rPr>
          <w:sz w:val="20"/>
          <w:szCs w:val="20"/>
          <w:color w:val="auto"/>
        </w:rPr>
      </w:pPr>
      <w:r>
        <w:rPr>
          <w:rFonts w:ascii="Times New Roman" w:cs="Times New Roman" w:eastAsia="Times New Roman" w:hAnsi="Times New Roman"/>
          <w:sz w:val="22"/>
          <w:szCs w:val="22"/>
          <w:color w:val="auto"/>
        </w:rPr>
        <w:t>health insurance coverage, whichever occurs first, and subject to Participant timely electing COBRA coverage, remaining eligible for COBRA continuation coverage and, with respect to reimbursements, timely paying for COBRA coverage. Any COBRA reimbursements under this Plan will be made by the Company to Participant consistent with the Company’s normal expense reimbursement policy, provided further that Participant submits documentation to the Company substantiating his or her payments for COBRA coverage. Notwithstanding anything to the contrary in the Plan or any Participation Agreement, if at any time the Company determines in its sole discretion that the COBRA Benefits contemplated by this Section 4.1.2 cannot be provided to a Participant without violating applicable law (including, without limitation, Section 2716 of the Public Health Service Act), such Participant will not receive such COBRA Benefits, and Participant will not receive any benefits or payments in lieu thereof; and</w:t>
      </w:r>
    </w:p>
    <w:p>
      <w:pPr>
        <w:spacing w:after="0" w:line="187" w:lineRule="exact"/>
        <w:rPr>
          <w:sz w:val="20"/>
          <w:szCs w:val="20"/>
          <w:color w:val="auto"/>
        </w:rPr>
      </w:pPr>
    </w:p>
    <w:p>
      <w:pPr>
        <w:jc w:val="both"/>
        <w:ind w:firstLine="1944"/>
        <w:spacing w:after="0" w:line="275" w:lineRule="auto"/>
        <w:rPr>
          <w:sz w:val="20"/>
          <w:szCs w:val="20"/>
          <w:color w:val="auto"/>
        </w:rPr>
      </w:pPr>
      <w:r>
        <w:rPr>
          <w:rFonts w:ascii="Times New Roman" w:cs="Times New Roman" w:eastAsia="Times New Roman" w:hAnsi="Times New Roman"/>
          <w:sz w:val="22"/>
          <w:szCs w:val="22"/>
          <w:color w:val="auto"/>
        </w:rPr>
        <w:t xml:space="preserve">4.2.3 </w:t>
      </w:r>
      <w:r>
        <w:rPr>
          <w:rFonts w:ascii="Times New Roman" w:cs="Times New Roman" w:eastAsia="Times New Roman" w:hAnsi="Times New Roman"/>
          <w:sz w:val="22"/>
          <w:szCs w:val="22"/>
          <w:b w:val="1"/>
          <w:bCs w:val="1"/>
          <w:color w:val="auto"/>
        </w:rPr>
        <w:t>Equity Award Vesting Acceleration Benefit</w:t>
      </w:r>
      <w:r>
        <w:rPr>
          <w:rFonts w:ascii="Times New Roman" w:cs="Times New Roman" w:eastAsia="Times New Roman" w:hAnsi="Times New Roman"/>
          <w:sz w:val="22"/>
          <w:szCs w:val="22"/>
          <w:color w:val="auto"/>
        </w:rPr>
        <w:t>. The Participant’s Time-based Equity Awards will accelerate vesting to the extent provided in the Participant’s Participation Agreement.</w:t>
      </w:r>
    </w:p>
    <w:p>
      <w:pPr>
        <w:spacing w:after="0" w:line="149" w:lineRule="exact"/>
        <w:rPr>
          <w:sz w:val="20"/>
          <w:szCs w:val="20"/>
          <w:color w:val="auto"/>
        </w:rPr>
      </w:pPr>
    </w:p>
    <w:p>
      <w:pPr>
        <w:jc w:val="both"/>
        <w:ind w:right="20" w:firstLine="1944"/>
        <w:spacing w:after="0" w:line="275" w:lineRule="auto"/>
        <w:rPr>
          <w:sz w:val="20"/>
          <w:szCs w:val="20"/>
          <w:color w:val="auto"/>
        </w:rPr>
      </w:pPr>
      <w:r>
        <w:rPr>
          <w:rFonts w:ascii="Times New Roman" w:cs="Times New Roman" w:eastAsia="Times New Roman" w:hAnsi="Times New Roman"/>
          <w:sz w:val="22"/>
          <w:szCs w:val="22"/>
          <w:color w:val="auto"/>
        </w:rPr>
        <w:t xml:space="preserve">4.2.4 </w:t>
      </w:r>
      <w:r>
        <w:rPr>
          <w:rFonts w:ascii="Times New Roman" w:cs="Times New Roman" w:eastAsia="Times New Roman" w:hAnsi="Times New Roman"/>
          <w:sz w:val="22"/>
          <w:szCs w:val="22"/>
          <w:b w:val="1"/>
          <w:bCs w:val="1"/>
          <w:color w:val="auto"/>
        </w:rPr>
        <w:t>Miscellaneous Benefit(s)</w:t>
      </w:r>
      <w:r>
        <w:rPr>
          <w:rFonts w:ascii="Times New Roman" w:cs="Times New Roman" w:eastAsia="Times New Roman" w:hAnsi="Times New Roman"/>
          <w:sz w:val="22"/>
          <w:szCs w:val="22"/>
          <w:color w:val="auto"/>
        </w:rPr>
        <w:t>. The Participant will be entitled to such additional benefits, if any, to the extent and on the terms and conditions provided in the Participant’s Participation Agreement.</w:t>
      </w:r>
    </w:p>
    <w:p>
      <w:pPr>
        <w:spacing w:after="0" w:line="149" w:lineRule="exact"/>
        <w:rPr>
          <w:sz w:val="20"/>
          <w:szCs w:val="20"/>
          <w:color w:val="auto"/>
        </w:rPr>
      </w:pPr>
    </w:p>
    <w:p>
      <w:pPr>
        <w:ind w:left="1300" w:hanging="644"/>
        <w:spacing w:after="0"/>
        <w:tabs>
          <w:tab w:leader="none" w:pos="1300"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Grandfathered Award Vesting Acceleration Benefit Following a Change in Control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color w:val="auto"/>
        </w:rPr>
        <w:t>Grandfathered Award Severance</w:t>
      </w:r>
      <w:r>
        <w:rPr>
          <w:rFonts w:ascii="Times New Roman" w:cs="Times New Roman" w:eastAsia="Times New Roman" w:hAnsi="Times New Roman"/>
          <w:sz w:val="22"/>
          <w:szCs w:val="22"/>
          <w:color w:val="auto"/>
        </w:rPr>
        <w:t>. If so provided in the Participant’s Participation Agreement, in the event of the Participant’s Involuntary Termination occurring within the time period following a Change in Control that is specified in the Participant’s Participation Agreement, the Participant’s Grandfathered Awards, if any, which are then outstanding and unvested will accelerate vesting and (if applicable) become exercisable as to the amount(s), at the time(s) and subject to the terms and conditions as set forth in the Participant’s Participation Agreement, subject to Section 6, Sections 8 through 11 and Section 13 and the Participant’s compliance with Sections 7.1 and 7.3 (the “</w:t>
      </w:r>
      <w:r>
        <w:rPr>
          <w:rFonts w:ascii="Times New Roman" w:cs="Times New Roman" w:eastAsia="Times New Roman" w:hAnsi="Times New Roman"/>
          <w:sz w:val="22"/>
          <w:szCs w:val="22"/>
          <w:b w:val="1"/>
          <w:bCs w:val="1"/>
          <w:color w:val="auto"/>
        </w:rPr>
        <w:t>Grandfathered Award Severance</w:t>
      </w:r>
      <w:r>
        <w:rPr>
          <w:rFonts w:ascii="Times New Roman" w:cs="Times New Roman" w:eastAsia="Times New Roman" w:hAnsi="Times New Roman"/>
          <w:sz w:val="22"/>
          <w:szCs w:val="22"/>
          <w:color w:val="auto"/>
        </w:rPr>
        <w:t>”). For the avoidance of doubt, any Grandfathered Award Severance is considered a “Severance Benefit” for purposes of the Agreement and is subject to the Severance Release requirements of Section 7.1.</w:t>
      </w:r>
    </w:p>
    <w:p>
      <w:pPr>
        <w:spacing w:after="0" w:line="18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b w:val="1"/>
          <w:bCs w:val="1"/>
          <w:color w:val="auto"/>
        </w:rPr>
        <w:t>Retention Acceleration</w:t>
      </w:r>
      <w:r>
        <w:rPr>
          <w:rFonts w:ascii="Times New Roman" w:cs="Times New Roman" w:eastAsia="Times New Roman" w:hAnsi="Times New Roman"/>
          <w:sz w:val="21"/>
          <w:szCs w:val="21"/>
          <w:color w:val="auto"/>
        </w:rPr>
        <w:t>. If so provided in the Participant’s Participation Agreement, in the event the Participant remains employed with the Company, the Participant’s Employer or a parent or subsidiary of the Company through a specified period following a Change in Control that is specified in the Participant’s Participation Agreement (the last date of such period, the “</w:t>
      </w:r>
      <w:r>
        <w:rPr>
          <w:rFonts w:ascii="Times New Roman" w:cs="Times New Roman" w:eastAsia="Times New Roman" w:hAnsi="Times New Roman"/>
          <w:sz w:val="21"/>
          <w:szCs w:val="21"/>
          <w:b w:val="1"/>
          <w:bCs w:val="1"/>
          <w:color w:val="auto"/>
        </w:rPr>
        <w:t>Retention Date</w:t>
      </w:r>
      <w:r>
        <w:rPr>
          <w:rFonts w:ascii="Times New Roman" w:cs="Times New Roman" w:eastAsia="Times New Roman" w:hAnsi="Times New Roman"/>
          <w:sz w:val="21"/>
          <w:szCs w:val="21"/>
          <w:color w:val="auto"/>
        </w:rPr>
        <w:t>”), Participant’s Grandfathered Awards, if any, which are then outstanding and unvested will accelerate vesting and (if applicable) become exercisable as to the amount(s), at the time(s) and subject to the terms and conditions as set forth in the Participant’s Participation Agreement, subject to Section 6 and Sections 8 through 11 and Section 13 and the Participant’s compliance with Section 7.2 (such acceleration, the “</w:t>
      </w:r>
      <w:r>
        <w:rPr>
          <w:rFonts w:ascii="Times New Roman" w:cs="Times New Roman" w:eastAsia="Times New Roman" w:hAnsi="Times New Roman"/>
          <w:sz w:val="21"/>
          <w:szCs w:val="21"/>
          <w:b w:val="1"/>
          <w:bCs w:val="1"/>
          <w:color w:val="auto"/>
        </w:rPr>
        <w:t>Grandfathered Award Retention Acceleration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1240"/>
          </w:cols>
          <w:pgMar w:left="320" w:top="1421" w:right="339" w:bottom="1440" w:gutter="0" w:footer="0" w:header="0"/>
        </w:sectPr>
      </w:pPr>
    </w:p>
    <w:bookmarkStart w:id="464" w:name="page465"/>
    <w:bookmarkEnd w:id="464"/>
    <w:p>
      <w:pPr>
        <w:ind w:left="1300" w:hanging="644"/>
        <w:spacing w:after="0"/>
        <w:tabs>
          <w:tab w:leader="none" w:pos="1300"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 on Payments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b w:val="1"/>
          <w:bCs w:val="1"/>
          <w:color w:val="auto"/>
        </w:rPr>
        <w:t>Reduction of Severance Benefits</w:t>
      </w:r>
      <w:r>
        <w:rPr>
          <w:rFonts w:ascii="Times New Roman" w:cs="Times New Roman" w:eastAsia="Times New Roman" w:hAnsi="Times New Roman"/>
          <w:sz w:val="21"/>
          <w:szCs w:val="21"/>
          <w:color w:val="auto"/>
        </w:rPr>
        <w:t>. If any payment or benefit that Participant would receive from the Company, an Employer or any other party whether in connection with the provisions in this Plan or otherwise (the “</w:t>
      </w: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 would (a) 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21"/>
          <w:szCs w:val="21"/>
          <w:b w:val="1"/>
          <w:bCs w:val="1"/>
          <w:color w:val="auto"/>
        </w:rPr>
        <w:t>Excise Tax</w:t>
      </w:r>
      <w:r>
        <w:rPr>
          <w:rFonts w:ascii="Times New Roman" w:cs="Times New Roman" w:eastAsia="Times New Roman" w:hAnsi="Times New Roman"/>
          <w:sz w:val="21"/>
          <w:szCs w:val="21"/>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Participant’s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w:t>
      </w:r>
    </w:p>
    <w:p>
      <w:pPr>
        <w:spacing w:after="0" w:line="12" w:lineRule="exact"/>
        <w:rPr>
          <w:sz w:val="20"/>
          <w:szCs w:val="20"/>
          <w:color w:val="auto"/>
        </w:rPr>
      </w:pPr>
    </w:p>
    <w:p>
      <w:pPr>
        <w:jc w:val="both"/>
        <w:ind w:firstLine="8"/>
        <w:spacing w:after="0" w:line="244" w:lineRule="auto"/>
        <w:tabs>
          <w:tab w:leader="none" w:pos="398"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reduction of employee benefits in reverse chronological order (that is, the benefit owed on the latest date following the occurrence of the event triggering the Excise Tax will be the first benefit to be reduced). In no event will Participant have any discretion with respect to the ordering of Payment reductions. Participant will be solely responsible for the payment of all personal tax liability that is incurred as a result of the payments and benefits received under this Plan, and neither the Company nor any Employer or other affiliate of the Company will have any responsibility, liability or obligation to reimburse, indemnify or hold harmless any Participant for any of those payments of personal tax liability.</w:t>
      </w:r>
    </w:p>
    <w:p>
      <w:pPr>
        <w:spacing w:after="0" w:line="184"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Determination of Excise Tax Liability</w:t>
      </w:r>
      <w:r>
        <w:rPr>
          <w:rFonts w:ascii="Times New Roman" w:cs="Times New Roman" w:eastAsia="Times New Roman" w:hAnsi="Times New Roman"/>
          <w:sz w:val="22"/>
          <w:szCs w:val="22"/>
          <w:color w:val="auto"/>
        </w:rPr>
        <w:t>. Any determinations required under this Section 6 will be made in writing by a nationally recognized accounting or valuation firm (the “</w:t>
      </w:r>
      <w:r>
        <w:rPr>
          <w:rFonts w:ascii="Times New Roman" w:cs="Times New Roman" w:eastAsia="Times New Roman" w:hAnsi="Times New Roman"/>
          <w:sz w:val="22"/>
          <w:szCs w:val="22"/>
          <w:b w:val="1"/>
          <w:bCs w:val="1"/>
          <w:color w:val="auto"/>
        </w:rPr>
        <w:t>Firm</w:t>
      </w:r>
      <w:r>
        <w:rPr>
          <w:rFonts w:ascii="Times New Roman" w:cs="Times New Roman" w:eastAsia="Times New Roman" w:hAnsi="Times New Roman"/>
          <w:sz w:val="22"/>
          <w:szCs w:val="22"/>
          <w:color w:val="auto"/>
        </w:rPr>
        <w:t>”) selected by the Company, whose determinations will be conclusive and binding upon Participant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Participant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Neither the Company, the Employer nor any parent, subsidiary, or other affiliate of the Company will have any liability to Participant for the determinations of the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- 8 -</w:t>
      </w:r>
    </w:p>
    <w:p>
      <w:pPr>
        <w:sectPr>
          <w:pgSz w:w="11900" w:h="16838" w:orient="portrait"/>
          <w:cols w:equalWidth="0" w:num="1">
            <w:col w:w="11240"/>
          </w:cols>
          <w:pgMar w:left="320" w:top="1417" w:right="339" w:bottom="1440" w:gutter="0" w:footer="0" w:header="0"/>
        </w:sectPr>
      </w:pPr>
    </w:p>
    <w:bookmarkStart w:id="465" w:name="page466"/>
    <w:bookmarkEnd w:id="465"/>
    <w:p>
      <w:pPr>
        <w:ind w:left="1300" w:hanging="644"/>
        <w:spacing w:after="0"/>
        <w:tabs>
          <w:tab w:leader="none" w:pos="1300"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Conditions to Receipt of Severance Benefits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Severance Benefits Release Requirement</w:t>
      </w:r>
      <w:r>
        <w:rPr>
          <w:rFonts w:ascii="Times New Roman" w:cs="Times New Roman" w:eastAsia="Times New Roman" w:hAnsi="Times New Roman"/>
          <w:sz w:val="22"/>
          <w:szCs w:val="22"/>
          <w:color w:val="auto"/>
        </w:rPr>
        <w:t>. Notwithstanding any contrary Plan provision, as a condition to receiving any Severance Benefits, a Participant will be required to sign and not revoke a separation agreement and release of claims in a form reasonably satisfactory to the Company (the “</w:t>
      </w:r>
      <w:r>
        <w:rPr>
          <w:rFonts w:ascii="Times New Roman" w:cs="Times New Roman" w:eastAsia="Times New Roman" w:hAnsi="Times New Roman"/>
          <w:sz w:val="22"/>
          <w:szCs w:val="22"/>
          <w:b w:val="1"/>
          <w:bCs w:val="1"/>
          <w:color w:val="auto"/>
        </w:rPr>
        <w:t>Severance Release</w:t>
      </w:r>
      <w:r>
        <w:rPr>
          <w:rFonts w:ascii="Times New Roman" w:cs="Times New Roman" w:eastAsia="Times New Roman" w:hAnsi="Times New Roman"/>
          <w:sz w:val="22"/>
          <w:szCs w:val="22"/>
          <w:color w:val="auto"/>
        </w:rPr>
        <w:t>”). In all cases, the Severance Release must become effective and irrevocable no later than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calendar day following the Participant’s Involuntary Termination (the “</w:t>
      </w:r>
      <w:r>
        <w:rPr>
          <w:rFonts w:ascii="Times New Roman" w:cs="Times New Roman" w:eastAsia="Times New Roman" w:hAnsi="Times New Roman"/>
          <w:sz w:val="22"/>
          <w:szCs w:val="22"/>
          <w:b w:val="1"/>
          <w:bCs w:val="1"/>
          <w:color w:val="auto"/>
        </w:rPr>
        <w:t>Severance Release Deadline Date</w:t>
      </w:r>
      <w:r>
        <w:rPr>
          <w:rFonts w:ascii="Times New Roman" w:cs="Times New Roman" w:eastAsia="Times New Roman" w:hAnsi="Times New Roman"/>
          <w:sz w:val="22"/>
          <w:szCs w:val="22"/>
          <w:color w:val="auto"/>
        </w:rPr>
        <w:t>”). If the Severance Release does not become effective and irrevocable by the Severance Release Deadline Date, the Participant will forfeit any right to receive any and all Severance Benefits. In no event will any Severance Benefits be paid or provided until the Severance Release becomes effective and irrevocable.</w:t>
      </w:r>
    </w:p>
    <w:p>
      <w:pPr>
        <w:spacing w:after="0" w:line="187"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Grandfathered Award Retention Acceleration Release Requirement</w:t>
      </w:r>
      <w:r>
        <w:rPr>
          <w:rFonts w:ascii="Times New Roman" w:cs="Times New Roman" w:eastAsia="Times New Roman" w:hAnsi="Times New Roman"/>
          <w:sz w:val="22"/>
          <w:szCs w:val="22"/>
          <w:color w:val="auto"/>
        </w:rPr>
        <w:t>. Notwithstanding any contrary Plan provision, as a condition to receiving any Grandfathered Award Retention Acceleration, a Participant will be required to sign and not revoke a release of claims agreement in a form reasonably satisfactory to the Company (the “</w:t>
      </w:r>
      <w:r>
        <w:rPr>
          <w:rFonts w:ascii="Times New Roman" w:cs="Times New Roman" w:eastAsia="Times New Roman" w:hAnsi="Times New Roman"/>
          <w:sz w:val="22"/>
          <w:szCs w:val="22"/>
          <w:b w:val="1"/>
          <w:bCs w:val="1"/>
          <w:color w:val="auto"/>
        </w:rPr>
        <w:t>Retention Release</w:t>
      </w:r>
      <w:r>
        <w:rPr>
          <w:rFonts w:ascii="Times New Roman" w:cs="Times New Roman" w:eastAsia="Times New Roman" w:hAnsi="Times New Roman"/>
          <w:sz w:val="22"/>
          <w:szCs w:val="22"/>
          <w:color w:val="auto"/>
        </w:rPr>
        <w:t>”). In all cases, the Retention Release must become effective and irrevocable no later than sixty (60) days following the Retention Date (the “</w:t>
      </w:r>
      <w:r>
        <w:rPr>
          <w:rFonts w:ascii="Times New Roman" w:cs="Times New Roman" w:eastAsia="Times New Roman" w:hAnsi="Times New Roman"/>
          <w:sz w:val="22"/>
          <w:szCs w:val="22"/>
          <w:b w:val="1"/>
          <w:bCs w:val="1"/>
          <w:color w:val="auto"/>
        </w:rPr>
        <w:t>Retention Release Deadline Date</w:t>
      </w:r>
      <w:r>
        <w:rPr>
          <w:rFonts w:ascii="Times New Roman" w:cs="Times New Roman" w:eastAsia="Times New Roman" w:hAnsi="Times New Roman"/>
          <w:sz w:val="22"/>
          <w:szCs w:val="22"/>
          <w:color w:val="auto"/>
        </w:rPr>
        <w:t>”). If the Retention Release does not become effective and irrevocable by the Retention Release Deadline Date, the Participant will forfeit any right to receive any and all Grandfathered Award Retention Acceleration. In no event will any Grandfathered Award Retention Acceleration be paid or provided until the Retention Release becomes effective and irrevocable. For the avoidance of doubt, any vesting acceleration of a Grandfathered Award due to an Involuntary Termination is considered a “Severance Benefit” for purposes of the Plan and is subject to the Severance Release requirements of Section 7.1.</w:t>
      </w:r>
    </w:p>
    <w:p>
      <w:pPr>
        <w:spacing w:after="0" w:line="18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color w:val="auto"/>
        </w:rPr>
        <w:t>Other Requirements</w:t>
      </w:r>
      <w:r>
        <w:rPr>
          <w:rFonts w:ascii="Times New Roman" w:cs="Times New Roman" w:eastAsia="Times New Roman" w:hAnsi="Times New Roman"/>
          <w:sz w:val="22"/>
          <w:szCs w:val="22"/>
          <w:color w:val="auto"/>
        </w:rPr>
        <w:t>. A Participant’s receipt of Severance Benefits will be subject to the Participant continuing to comply with the provisions of the Participant’s Severance Release and the terms of any confidentiality, information and inventions agreement, and any other written agreement or agreements between the Participant and the Company (or Employer, as applicable) under which the Participant has a material duty or obligation to the Company (or Employer, as applicable). Any Severance Benefits will terminate immediately for a Participant if the Participant at any time, violates any such agreement and/or his or her Severance Release, and Participant will be obligated to repay all Severance Benefits paid or provided to the Participant.</w:t>
      </w:r>
    </w:p>
    <w:p>
      <w:pPr>
        <w:spacing w:after="0" w:line="182" w:lineRule="exact"/>
        <w:rPr>
          <w:sz w:val="20"/>
          <w:szCs w:val="20"/>
          <w:color w:val="auto"/>
        </w:rPr>
      </w:pPr>
    </w:p>
    <w:p>
      <w:pPr>
        <w:ind w:left="1300" w:hanging="644"/>
        <w:spacing w:after="0"/>
        <w:tabs>
          <w:tab w:leader="none" w:pos="1300"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 Timing.</w:t>
      </w:r>
    </w:p>
    <w:p>
      <w:pPr>
        <w:spacing w:after="0" w:line="220"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 Provided that a Participant’s Severance Release becomes effective and irrevocable by the Severance Release Deadline Date (as defined in Section 6.1) and subject to Section 10 and the terms of the Participant’s Participation Agreement, any Severance Benefits will be paid, or in the case of installments, will commence, on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Participant’s Involuntary Termination (the “</w:t>
      </w:r>
      <w:r>
        <w:rPr>
          <w:rFonts w:ascii="Times New Roman" w:cs="Times New Roman" w:eastAsia="Times New Roman" w:hAnsi="Times New Roman"/>
          <w:sz w:val="22"/>
          <w:szCs w:val="22"/>
          <w:b w:val="1"/>
          <w:bCs w:val="1"/>
          <w:color w:val="auto"/>
        </w:rPr>
        <w:t>Payment Date</w:t>
      </w:r>
      <w:r>
        <w:rPr>
          <w:rFonts w:ascii="Times New Roman" w:cs="Times New Roman" w:eastAsia="Times New Roman" w:hAnsi="Times New Roman"/>
          <w:sz w:val="22"/>
          <w:szCs w:val="22"/>
          <w:color w:val="auto"/>
        </w:rPr>
        <w:t>”), and any Severance Benefits otherwise payable to the Participant during the period immediately following the Participant’s Involuntary Termination through the Payment Date will be paid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1240"/>
          </w:cols>
          <w:pgMar w:left="320" w:top="1417" w:right="339" w:bottom="1440" w:gutter="0" w:footer="0" w:header="0"/>
        </w:sectPr>
      </w:pPr>
    </w:p>
    <w:bookmarkStart w:id="466" w:name="page467"/>
    <w:bookmarkEnd w:id="466"/>
    <w:p>
      <w:pPr>
        <w:jc w:val="both"/>
        <w:spacing w:after="0" w:line="246" w:lineRule="auto"/>
        <w:rPr>
          <w:sz w:val="20"/>
          <w:szCs w:val="20"/>
          <w:color w:val="auto"/>
        </w:rPr>
      </w:pPr>
      <w:r>
        <w:rPr>
          <w:rFonts w:ascii="Times New Roman" w:cs="Times New Roman" w:eastAsia="Times New Roman" w:hAnsi="Times New Roman"/>
          <w:sz w:val="22"/>
          <w:szCs w:val="22"/>
          <w:color w:val="auto"/>
        </w:rPr>
        <w:t>lump sum to the Participant on the Payment Date, with any remaining payments to be made as provided in the Plan or the Participant’s Participation Agreement, as applicable; provided, however, that any Severance Benefits consisting of the acceleration of stock options or restricted stock awards will be effective immediately upon the effectiveness and irrevocability of the Severance Release. Notwithstanding the foregoing, any Equity Awards that are restricted stock units, performance shares, performance units, and/or similar full value awards (other than restricted stock) (the “</w:t>
      </w:r>
      <w:r>
        <w:rPr>
          <w:rFonts w:ascii="Times New Roman" w:cs="Times New Roman" w:eastAsia="Times New Roman" w:hAnsi="Times New Roman"/>
          <w:sz w:val="22"/>
          <w:szCs w:val="22"/>
          <w:b w:val="1"/>
          <w:bCs w:val="1"/>
          <w:color w:val="auto"/>
        </w:rPr>
        <w:t>Full Value Awards</w:t>
      </w:r>
      <w:r>
        <w:rPr>
          <w:rFonts w:ascii="Times New Roman" w:cs="Times New Roman" w:eastAsia="Times New Roman" w:hAnsi="Times New Roman"/>
          <w:sz w:val="22"/>
          <w:szCs w:val="22"/>
          <w:color w:val="auto"/>
        </w:rPr>
        <w:t>”) that accelerate vesting under Section 4 or Section 5.1 of this Agreement will be settled, subject to any delay required by Section 10 below (or the terms of the Full Value Award agreement or other Company plan, policy, or arrangement governing the settlement timing of the Full Value Award to the extent such terms specifically require any different payment timing in order to comply with or be exempt from the requirements of Section 409A, as applicable), on the Payment Date.</w:t>
      </w:r>
    </w:p>
    <w:p>
      <w:pPr>
        <w:spacing w:after="0" w:line="18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color w:val="auto"/>
        </w:rPr>
        <w:t>Grandfathered Award Retention Acceleration</w:t>
      </w:r>
      <w:r>
        <w:rPr>
          <w:rFonts w:ascii="Times New Roman" w:cs="Times New Roman" w:eastAsia="Times New Roman" w:hAnsi="Times New Roman"/>
          <w:sz w:val="22"/>
          <w:szCs w:val="22"/>
          <w:color w:val="auto"/>
        </w:rPr>
        <w:t>. Provided that the Retention Release becomes effective and irrevocable by the Retention Release Deadline Date, and subject to Section 10 and the terms of the Participant’s Participation Agreement, any Grandfathered Award Retention Acceleration with respect to stock options or restricted stock awards will be effective immediately upon the effectiveness and irrevocability of the Retention Release. Any Full Value Awards vesting as a result of the Grandfathered Award Retention Acceleration will be settled on a date within sixty (60) days following the Retention Date (or in accordance with the terms of the Full Value Award agreement or other Company plan, policy, or arrangement governing the settlement timing of the Full Value Award to the extent such terms specifically require any different payment timing in order to comply with or be exempt from the requirements of Section 409A, as applicable).</w:t>
      </w:r>
    </w:p>
    <w:p>
      <w:pPr>
        <w:spacing w:after="0" w:line="185" w:lineRule="exact"/>
        <w:rPr>
          <w:sz w:val="20"/>
          <w:szCs w:val="20"/>
          <w:color w:val="auto"/>
        </w:rPr>
      </w:pPr>
    </w:p>
    <w:p>
      <w:pPr>
        <w:ind w:left="1300" w:hanging="644"/>
        <w:spacing w:after="0"/>
        <w:tabs>
          <w:tab w:leader="none" w:pos="1300"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Exclusive Benefits; Non-Duplication of Benefits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color w:val="auto"/>
        </w:rPr>
        <w:t>Prior Benefits.</w:t>
      </w:r>
      <w:r>
        <w:rPr>
          <w:rFonts w:ascii="Times New Roman" w:cs="Times New Roman" w:eastAsia="Times New Roman" w:hAnsi="Times New Roman"/>
          <w:sz w:val="22"/>
          <w:szCs w:val="22"/>
          <w:color w:val="auto"/>
        </w:rPr>
        <w:t xml:space="preserve"> The benefits, if any, provided under this Plan will be the exclusive benefits for a Participant related to his or her termination of employment with the Employer and/or a change in control of the Company and will supersede and replace any severance and/or change in control benefits and/or acceleration of vesting provisions set forth in any offer letter, employment or severance agreement, equity award agreement and/or other agreement between the Participant and the Company or the Employer, as applicable, in effect as of the date the Participant enters into a Participation Agreement. Further, for the avoidance of doubt, if at the time of becoming a Participant under the Plan, the Participant otherwise was eligible to participate in any other Company or Employer severance and/or change in control plan, program or arrangement, or under a written employment agreement or offer of employment letter between the Participant and the Company or Employer, as applicable (whether or not subject to ERISA), then participation in this Plan will supersede and replace eligibility in such other plan, program, agreement, letter or arrangement.</w:t>
      </w:r>
    </w:p>
    <w:p>
      <w:pPr>
        <w:spacing w:after="0" w:line="18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color w:val="auto"/>
        </w:rPr>
        <w:t>Future Benefits.</w:t>
      </w:r>
      <w:r>
        <w:rPr>
          <w:rFonts w:ascii="Times New Roman" w:cs="Times New Roman" w:eastAsia="Times New Roman" w:hAnsi="Times New Roman"/>
          <w:sz w:val="22"/>
          <w:szCs w:val="22"/>
          <w:color w:val="auto"/>
        </w:rPr>
        <w:t xml:space="preserve"> In the event that, after becoming a Participant, the Participant becomes entitled to receive a Severance Benefit under this Plan and such benefit duplicates a benefit that otherwise would be provided to the Participant under any other Company or Employer plan, program or arrangement, or under a written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1" w:right="339" w:bottom="1440" w:gutter="0" w:footer="0" w:header="0"/>
        </w:sectPr>
      </w:pPr>
    </w:p>
    <w:bookmarkStart w:id="467" w:name="page468"/>
    <w:bookmarkEnd w:id="467"/>
    <w:p>
      <w:pPr>
        <w:jc w:val="both"/>
        <w:spacing w:after="0" w:line="259" w:lineRule="auto"/>
        <w:rPr>
          <w:sz w:val="20"/>
          <w:szCs w:val="20"/>
          <w:color w:val="auto"/>
        </w:rPr>
      </w:pPr>
      <w:r>
        <w:rPr>
          <w:rFonts w:ascii="Times New Roman" w:cs="Times New Roman" w:eastAsia="Times New Roman" w:hAnsi="Times New Roman"/>
          <w:sz w:val="22"/>
          <w:szCs w:val="22"/>
          <w:color w:val="auto"/>
        </w:rPr>
        <w:t>or offer of employment letter between the Participant and the Company or Employer (collectively, the “</w:t>
      </w:r>
      <w:r>
        <w:rPr>
          <w:rFonts w:ascii="Times New Roman" w:cs="Times New Roman" w:eastAsia="Times New Roman" w:hAnsi="Times New Roman"/>
          <w:sz w:val="22"/>
          <w:szCs w:val="22"/>
          <w:b w:val="1"/>
          <w:bCs w:val="1"/>
          <w:color w:val="auto"/>
        </w:rPr>
        <w:t>Other Plan</w:t>
      </w:r>
      <w:r>
        <w:rPr>
          <w:rFonts w:ascii="Times New Roman" w:cs="Times New Roman" w:eastAsia="Times New Roman" w:hAnsi="Times New Roman"/>
          <w:sz w:val="22"/>
          <w:szCs w:val="22"/>
          <w:color w:val="auto"/>
        </w:rPr>
        <w:t>”), as a result of the Participant’s termination of Executive’s employment with the Employer, then the Participant will be entitled to receive the greater of (a) the Severance Benefit available under this Plan, and (b) the benefit available under such Other Plan.</w:t>
      </w:r>
    </w:p>
    <w:p>
      <w:pPr>
        <w:spacing w:after="0" w:line="166" w:lineRule="exact"/>
        <w:rPr>
          <w:sz w:val="20"/>
          <w:szCs w:val="20"/>
          <w:color w:val="auto"/>
        </w:rPr>
      </w:pPr>
    </w:p>
    <w:p>
      <w:pPr>
        <w:ind w:left="1300" w:hanging="644"/>
        <w:spacing w:after="0"/>
        <w:tabs>
          <w:tab w:leader="none" w:pos="1300"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Notwithstanding anything to the contrary in this Plan or any Participation Agreement, no Deferred Payments, if any, will be paid or provided until the Participant has a “separation from service” within the meaning of Section 409A (a “</w:t>
      </w:r>
      <w:r>
        <w:rPr>
          <w:rFonts w:ascii="Times New Roman" w:cs="Times New Roman" w:eastAsia="Times New Roman" w:hAnsi="Times New Roman"/>
          <w:sz w:val="22"/>
          <w:szCs w:val="22"/>
          <w:b w:val="1"/>
          <w:bCs w:val="1"/>
          <w:color w:val="auto"/>
        </w:rPr>
        <w:t>Separation from Service</w:t>
      </w:r>
      <w:r>
        <w:rPr>
          <w:rFonts w:ascii="Times New Roman" w:cs="Times New Roman" w:eastAsia="Times New Roman" w:hAnsi="Times New Roman"/>
          <w:sz w:val="22"/>
          <w:szCs w:val="22"/>
          <w:color w:val="auto"/>
        </w:rPr>
        <w:t>”). Similarly, no Severance Benefits payable to a Participant, if any, which otherwise would be exempt from Section 409A pursuant to Treasury Regulations Section 1.409A-1(b)(9), will be payable until the Participant has a Separation from Service.</w:t>
      </w:r>
    </w:p>
    <w:p>
      <w:pPr>
        <w:spacing w:after="0" w:line="17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b w:val="1"/>
          <w:bCs w:val="1"/>
          <w:color w:val="auto"/>
        </w:rPr>
        <w:t>Exemption; Compliance</w:t>
      </w:r>
      <w:r>
        <w:rPr>
          <w:rFonts w:ascii="Times New Roman" w:cs="Times New Roman" w:eastAsia="Times New Roman" w:hAnsi="Times New Roman"/>
          <w:sz w:val="21"/>
          <w:szCs w:val="21"/>
          <w:color w:val="auto"/>
        </w:rPr>
        <w:t>. It is intended that none of the Severance Benefits will constitute Deferred Payments and that the Grandfathered Award Retention Acceleration will not constitute deferred compensation within the meaning of Section 409A, but rather that all payments and benefits under this Plan will be exempt from Section 409A as payments that would fall within the “short-term deferral period” or result from an involuntary separation from service (as defined in Section 409A), as described in Section 10.4. It also is intended that, to the extent any such Severance Benefits otherwise are not excluded from coverage under Section 409A pursuant to the exceptions in the immediately preceding sentence, they are excluded from coverage under Section 409A pursuant to the “limited payment” exception under Treasury Regulations Section 1.409A-1(b)(9)(v)(D), but only to the extent permitted by such regulation. In no event will a Participant have discretion to determine the taxable year of payment of any Deferred Payment or Grandfathered Award Retention Acceleration.</w:t>
      </w:r>
    </w:p>
    <w:p>
      <w:pPr>
        <w:spacing w:after="0" w:line="17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b w:val="1"/>
          <w:bCs w:val="1"/>
          <w:color w:val="auto"/>
        </w:rPr>
        <w:t>Required Delay</w:t>
      </w:r>
      <w:r>
        <w:rPr>
          <w:rFonts w:ascii="Times New Roman" w:cs="Times New Roman" w:eastAsia="Times New Roman" w:hAnsi="Times New Roman"/>
          <w:sz w:val="21"/>
          <w:szCs w:val="21"/>
          <w:color w:val="auto"/>
        </w:rPr>
        <w:t>. Notwithstanding any contrary Plan provision, if a Participant is a “specified employee” within the meaning of Section 409A at the time of his or her Separation from Service (other than due to death), then the Deferred Payments, if any, that are payable within the first six (6) months following such Separation from Service, will become payable on the date that is six (6) months and one (1) day following the date of such Separation from Service. Any subsequent Deferred Payment, if any, will be payable in accordance with the payment schedule applicable to such payment. Notwithstanding anything herein to the contrary, in the event of the Participant’s death following his or her Separation from Service, but before the date six</w:t>
      </w:r>
    </w:p>
    <w:p>
      <w:pPr>
        <w:spacing w:after="0" w:line="3" w:lineRule="exact"/>
        <w:rPr>
          <w:sz w:val="20"/>
          <w:szCs w:val="20"/>
          <w:color w:val="auto"/>
        </w:rPr>
      </w:pPr>
    </w:p>
    <w:p>
      <w:pPr>
        <w:jc w:val="both"/>
        <w:ind w:firstLine="8"/>
        <w:spacing w:after="0" w:line="260" w:lineRule="auto"/>
        <w:tabs>
          <w:tab w:leader="none" w:pos="334" w:val="left"/>
        </w:tabs>
        <w:numPr>
          <w:ilvl w:val="0"/>
          <w:numId w:val="4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following such Separation from Service, then any payments delayed in accordance with this Section 10.3 will be payable in a lump sum as soon as administratively practicable after the date of the Participant’s death and any other Deferred Payment will be payable in accordance with the payment schedule applicable to such payment. Each payment, installment and benefit payable under this Plan is intended to constitute a separate payment under Treasury Regulations Section 1.409A-2(b)(2).</w:t>
      </w:r>
    </w:p>
    <w:p>
      <w:pPr>
        <w:spacing w:after="0" w:line="168"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b w:val="1"/>
          <w:bCs w:val="1"/>
          <w:color w:val="auto"/>
        </w:rPr>
        <w:t>Certain Exemptions</w:t>
      </w:r>
      <w:r>
        <w:rPr>
          <w:rFonts w:ascii="Times New Roman" w:cs="Times New Roman" w:eastAsia="Times New Roman" w:hAnsi="Times New Roman"/>
          <w:sz w:val="22"/>
          <w:szCs w:val="22"/>
          <w:color w:val="auto"/>
        </w:rPr>
        <w:t>. Any amount paid under this Plan that (x) satisfies the requirements of the “short-term deferral” rule set forth in Treasury Regulations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17" w:right="339" w:bottom="1440" w:gutter="0" w:footer="0" w:header="0"/>
        </w:sectPr>
      </w:pPr>
    </w:p>
    <w:bookmarkStart w:id="468" w:name="page469"/>
    <w:bookmarkEnd w:id="468"/>
    <w:p>
      <w:pPr>
        <w:jc w:val="both"/>
        <w:spacing w:after="0" w:line="248" w:lineRule="auto"/>
        <w:rPr>
          <w:sz w:val="20"/>
          <w:szCs w:val="20"/>
          <w:color w:val="auto"/>
        </w:rPr>
      </w:pPr>
      <w:r>
        <w:rPr>
          <w:rFonts w:ascii="Times New Roman" w:cs="Times New Roman" w:eastAsia="Times New Roman" w:hAnsi="Times New Roman"/>
          <w:sz w:val="22"/>
          <w:szCs w:val="22"/>
          <w:color w:val="auto"/>
        </w:rPr>
        <w:t>1.409A-1(b)(4) or (y) qualifies as a payment made as a result of an involuntary separation from service pursuant to Treasury Regulations Section 1.409A-1(b)(9)(iii) that does not exceed the limit set forth in Treasury Regulations Section 1.409A-1(b)(9) (iii)(A) will not constitute a Deferred Payment for purposes of Section 10.1. All amounts paid under this Plan will be paid to the applicable Participant as provided under the Plan and the Participant’s Participation Agreement, but in no event later than the last day of the second taxable year of the Participant following the taxable year of the Participant in which the Participant’s Separation from Service occurs.</w:t>
      </w:r>
    </w:p>
    <w:p>
      <w:pPr>
        <w:spacing w:after="0" w:line="183"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b w:val="1"/>
          <w:bCs w:val="1"/>
          <w:color w:val="auto"/>
        </w:rPr>
        <w:t>Interpretation; Other Requirements</w:t>
      </w:r>
      <w:r>
        <w:rPr>
          <w:rFonts w:ascii="Times New Roman" w:cs="Times New Roman" w:eastAsia="Times New Roman" w:hAnsi="Times New Roman"/>
          <w:sz w:val="22"/>
          <w:szCs w:val="22"/>
          <w:color w:val="auto"/>
        </w:rPr>
        <w:t>. The foregoing provisions are intended to comply with or be exempt from the requirements of Section 409A so that none of the Severance Benefits or Grandfathered Award Retention Acceleration to be provided under the Plan will be subject to the additional tax imposed under Section 409A, and any ambiguities and ambiguous terms herein will be interpreted to so comply or be exempt. For purposes of the Plan, to the extent required to be exempt from or comply with Section 409A, any references to Participant’s Involuntary Termination or similar phrases relating to the termination of an Participant’s employment will be references to his or her Separation from Service (as defined in Section 10.1). Notwithstanding any contrary Plan provision, including but not limited to Section 17, the Company, by action of the Administrator, reserves the right to amend the Plan as it deems necessary or advisable, in its sole discretion and without the consent of any Participant or other person or entity, to comply with Section 409A or to avoid income recognition under Section 409A or to otherwise avoid the imposition of additional tax under Section 409A prior to the actual payment or provision of any Severance Benefits or Grandfathered Award Retention Acceleration. In no event will Participant have any discretion to choose Participant’s taxable year in which any payments or benefits are provided under this Plan. In no event will the Company, any Employer or any parent, subsidiary or other affiliate of the Company have any responsibility, liability or obligation to reimburse, indemnify or hold harmless Participant for any taxes, penalties or interest that may be imposed, or other costs that may be incurred, as a result of Section 409A.</w:t>
      </w:r>
    </w:p>
    <w:p>
      <w:pPr>
        <w:spacing w:after="0" w:line="190" w:lineRule="exact"/>
        <w:rPr>
          <w:sz w:val="20"/>
          <w:szCs w:val="20"/>
          <w:color w:val="auto"/>
        </w:rPr>
      </w:pPr>
    </w:p>
    <w:p>
      <w:pPr>
        <w:jc w:val="both"/>
        <w:ind w:firstLine="656"/>
        <w:spacing w:after="0" w:line="247" w:lineRule="auto"/>
        <w:tabs>
          <w:tab w:leader="none" w:pos="1288"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Withholdings</w:t>
      </w:r>
      <w:r>
        <w:rPr>
          <w:rFonts w:ascii="Times New Roman" w:cs="Times New Roman" w:eastAsia="Times New Roman" w:hAnsi="Times New Roman"/>
          <w:sz w:val="22"/>
          <w:szCs w:val="22"/>
          <w:color w:val="auto"/>
        </w:rPr>
        <w:t>. The Employer and/or Company (and/or any parent, subsidiary or other affiliate of the Company,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will have the right and authority to deduct from any payments or benefits all applicable federal, state, local, and/or non-U.S. taxes or other required withholdings and payroll deductions (“</w:t>
      </w:r>
      <w:r>
        <w:rPr>
          <w:rFonts w:ascii="Times New Roman" w:cs="Times New Roman" w:eastAsia="Times New Roman" w:hAnsi="Times New Roman"/>
          <w:sz w:val="22"/>
          <w:szCs w:val="22"/>
          <w:u w:val="single" w:color="auto"/>
          <w:color w:val="auto"/>
        </w:rPr>
        <w:t>Withholdings</w:t>
      </w:r>
      <w:r>
        <w:rPr>
          <w:rFonts w:ascii="Times New Roman" w:cs="Times New Roman" w:eastAsia="Times New Roman" w:hAnsi="Times New Roman"/>
          <w:sz w:val="22"/>
          <w:szCs w:val="22"/>
          <w:color w:val="auto"/>
        </w:rPr>
        <w:t>”). Prior to the payment of any amounts or provision of any benefits under this Plan, the Employer and/or Company (and/or any parent, subsidiary or other affiliate of the Company, as applicable) is permitted to deduct or withhold, or require the Participant to remit to the Company, an amount sufficient to satisfy any applicable Withholdings with respect to such payments and benefits. Neither the Company, the Employer nor any parent, subsidiary or other affiliate of the Company will have any responsibility, liability or obligation to pay the Participant’s taxes arising from or relating to any payments or benefits under this Plan.</w:t>
      </w:r>
    </w:p>
    <w:p>
      <w:pPr>
        <w:spacing w:after="0" w:line="185"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Mitigation</w:t>
      </w:r>
      <w:r>
        <w:rPr>
          <w:rFonts w:ascii="Times New Roman" w:cs="Times New Roman" w:eastAsia="Times New Roman" w:hAnsi="Times New Roman"/>
          <w:sz w:val="22"/>
          <w:szCs w:val="22"/>
          <w:color w:val="auto"/>
        </w:rPr>
        <w:t>. Further, and notwithstanding anything to the contrary in this Plan, unless specifically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in the Participant’s Participation Agreement by specific reference to this Section 12 titled “Mitigation,” if the Participant commences employment 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ectPr>
          <w:pgSz w:w="11900" w:h="16838" w:orient="portrait"/>
          <w:cols w:equalWidth="0" w:num="1">
            <w:col w:w="11240"/>
          </w:cols>
          <w:pgMar w:left="320" w:top="1421" w:right="339" w:bottom="1440" w:gutter="0" w:footer="0" w:header="0"/>
        </w:sectPr>
      </w:pPr>
    </w:p>
    <w:bookmarkStart w:id="469" w:name="page470"/>
    <w:bookmarkEnd w:id="469"/>
    <w:p>
      <w:pPr>
        <w:jc w:val="both"/>
        <w:spacing w:after="0" w:line="244" w:lineRule="auto"/>
        <w:rPr>
          <w:sz w:val="20"/>
          <w:szCs w:val="20"/>
          <w:color w:val="auto"/>
        </w:rPr>
      </w:pPr>
      <w:r>
        <w:rPr>
          <w:rFonts w:ascii="Times New Roman" w:cs="Times New Roman" w:eastAsia="Times New Roman" w:hAnsi="Times New Roman"/>
          <w:sz w:val="22"/>
          <w:szCs w:val="22"/>
          <w:color w:val="auto"/>
        </w:rPr>
        <w:t>enters into a consulting arrangement with a person or entity other than the Company or a parent or subsidiary of the Company (a “</w:t>
      </w:r>
      <w:r>
        <w:rPr>
          <w:rFonts w:ascii="Times New Roman" w:cs="Times New Roman" w:eastAsia="Times New Roman" w:hAnsi="Times New Roman"/>
          <w:sz w:val="22"/>
          <w:szCs w:val="22"/>
          <w:b w:val="1"/>
          <w:bCs w:val="1"/>
          <w:color w:val="auto"/>
        </w:rPr>
        <w:t>New Employer</w:t>
      </w:r>
      <w:r>
        <w:rPr>
          <w:rFonts w:ascii="Times New Roman" w:cs="Times New Roman" w:eastAsia="Times New Roman" w:hAnsi="Times New Roman"/>
          <w:sz w:val="22"/>
          <w:szCs w:val="22"/>
          <w:color w:val="auto"/>
        </w:rPr>
        <w:t>”) during the Non-CIC Severance Period or CIC-Severance Period, as applicable (and as each is defined in the Participant’s Participation Agreement), then (a) any cash compensation paid to the Participant by a New Employer during the Non-CIC Severance Period or CIC-Severance Period, as applicable, shall reduce, on a dollar-for-dollar basis, the Company’s cash Severance Benefits obligations under this Plan, and (b) the Company will have no obligation to provide or pay for (or provide payments in lieu of, including any cash payments in lieu of COBRA) any type of medical, vision and dental coverage benefits that the New Employer provides to Participant. Any such reduction under the foregoing clause (a) will be applied to the Company’s cash Severance Benefits obligations under this Plan in reverse chronological order of such obligations (e.g., the last scheduled Company cash Severance Benefit payment will be reduced first). If and to the extent that the amount of cash compensation paid to the Participant by a New Employer exceed the amount of outstanding unpaid cash Severance Benefit obligations to the Participant under the Plan, Participant promptly (within ten (10) days following notice from the Company) will refund to the Company the gross amount of such excess credit, provided that in no event will the Participant be required to refund the Minimum Severance Amount (as defined below). Notwithstanding anything in this Plan or any Participation Agreement to the contrary, no reduction of the Company’s Severance Benefits obligations pursuant to this Section 12 will reduce such obligations below $1,000.00 (the “</w:t>
      </w:r>
      <w:r>
        <w:rPr>
          <w:rFonts w:ascii="Times New Roman" w:cs="Times New Roman" w:eastAsia="Times New Roman" w:hAnsi="Times New Roman"/>
          <w:sz w:val="22"/>
          <w:szCs w:val="22"/>
          <w:b w:val="1"/>
          <w:bCs w:val="1"/>
          <w:color w:val="auto"/>
        </w:rPr>
        <w:t>Minimum Severance Amount</w:t>
      </w:r>
      <w:r>
        <w:rPr>
          <w:rFonts w:ascii="Times New Roman" w:cs="Times New Roman" w:eastAsia="Times New Roman" w:hAnsi="Times New Roman"/>
          <w:sz w:val="22"/>
          <w:szCs w:val="22"/>
          <w:color w:val="auto"/>
        </w:rPr>
        <w:t>”). For the avoidance of doubt, no reductions of a Participant’s Severance Benefits under this Section 12 will entitle the Participant to any severance or other benefits that otherwise were superseded under Section 9. The Participant’s execution of the Participant’s Participation Agreement constitutes knowing written consent to the foregoing.</w:t>
      </w:r>
    </w:p>
    <w:p>
      <w:pPr>
        <w:spacing w:after="0" w:line="200" w:lineRule="exact"/>
        <w:rPr>
          <w:sz w:val="20"/>
          <w:szCs w:val="20"/>
          <w:color w:val="auto"/>
        </w:rPr>
      </w:pPr>
    </w:p>
    <w:p>
      <w:pPr>
        <w:jc w:val="both"/>
        <w:ind w:firstLine="656"/>
        <w:spacing w:after="0" w:line="269" w:lineRule="auto"/>
        <w:tabs>
          <w:tab w:leader="none" w:pos="1296" w:val="left"/>
        </w:tabs>
        <w:numPr>
          <w:ilvl w:val="0"/>
          <w:numId w:val="4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Indebtedness of Participants. </w:t>
      </w:r>
      <w:r>
        <w:rPr>
          <w:rFonts w:ascii="Times New Roman" w:cs="Times New Roman" w:eastAsia="Times New Roman" w:hAnsi="Times New Roman"/>
          <w:sz w:val="21"/>
          <w:szCs w:val="21"/>
          <w:color w:val="auto"/>
        </w:rPr>
        <w:t>If a Participant is indebted to the Company (or Employer, as applicable)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of the Participant’s Involuntary Termination, the Company reserves the right to offset the payment of any Severance Benefits under the Plan by the amount of such indebtedness. Such offset shall be made only to the extent permitted under applicable laws. The Participant’s execution of the Participant’s Participation Agreement constitutes knowing written consent to the foregoing.</w:t>
      </w:r>
    </w:p>
    <w:p>
      <w:pPr>
        <w:spacing w:after="0" w:line="159" w:lineRule="exact"/>
        <w:rPr>
          <w:rFonts w:ascii="Times New Roman" w:cs="Times New Roman" w:eastAsia="Times New Roman" w:hAnsi="Times New Roman"/>
          <w:sz w:val="21"/>
          <w:szCs w:val="21"/>
          <w:color w:val="auto"/>
        </w:rPr>
      </w:pPr>
    </w:p>
    <w:p>
      <w:pPr>
        <w:jc w:val="both"/>
        <w:ind w:firstLine="656"/>
        <w:spacing w:after="0" w:line="246" w:lineRule="auto"/>
        <w:tabs>
          <w:tab w:leader="none" w:pos="1296"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Administration</w:t>
      </w:r>
      <w:r>
        <w:rPr>
          <w:rFonts w:ascii="Times New Roman" w:cs="Times New Roman" w:eastAsia="Times New Roman" w:hAnsi="Times New Roman"/>
          <w:sz w:val="22"/>
          <w:szCs w:val="22"/>
          <w:color w:val="auto"/>
        </w:rPr>
        <w:t>. The Company is the administrator of the Plan (within the meaning of section 3(16)(A)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ERISA). The Plan will be administered, interpreted and operated by the Administrator (in its sole discretion). The Administrator will have the exclusive right and full discretion to (a) interpret the Plan, (b) designate the management or highly compensated employees of the Employer who are eligible to participate in the Plan and to provide Participation Agreements to any such Eligible Employees, (c) decide any and all matters arising under the Plan or any Participation Agreement (including the right to remedy possible ambiguities, inconsistencies, or omissions), (d) make, amend and rescind such rules as it deems necessary or appropriate for the proper administration of the Plan, and (e) make all other determinations and resolve all questions of fact necessary or advisable for the administration of the Plan, including eligibility for any benefit or payment under the Plan. Any decision made or other action taken by the Administrator (or its authorized delegates) with respect to the Plan, and any interpretation by the Administrator (or its authorized delegates) of any term or condition of the Plan (including but not limited with respect to whether an Involuntary Termination or a</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2"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w:t>
      </w:r>
    </w:p>
    <w:p>
      <w:pPr>
        <w:sectPr>
          <w:pgSz w:w="11900" w:h="16838" w:orient="portrait"/>
          <w:cols w:equalWidth="0" w:num="1">
            <w:col w:w="11240"/>
          </w:cols>
          <w:pgMar w:left="320" w:top="1421" w:right="339" w:bottom="1440" w:gutter="0" w:footer="0" w:header="0"/>
        </w:sectPr>
      </w:pPr>
    </w:p>
    <w:bookmarkStart w:id="470" w:name="page471"/>
    <w:bookmarkEnd w:id="470"/>
    <w:p>
      <w:pPr>
        <w:jc w:val="both"/>
        <w:spacing w:after="0" w:line="248" w:lineRule="auto"/>
        <w:rPr>
          <w:sz w:val="20"/>
          <w:szCs w:val="20"/>
          <w:color w:val="auto"/>
        </w:rPr>
      </w:pPr>
      <w:r>
        <w:rPr>
          <w:rFonts w:ascii="Times New Roman" w:cs="Times New Roman" w:eastAsia="Times New Roman" w:hAnsi="Times New Roman"/>
          <w:sz w:val="22"/>
          <w:szCs w:val="22"/>
          <w:color w:val="auto"/>
        </w:rPr>
        <w:t>Change in Control has occurred), or any related document, will be final, conclusive and binding on all persons and be given the maximum possible deference allowed by law. In accordance with Section 2.1, the Administrator (a) in its sole discretion and on such terms and conditions as it may provide, may delegate in writing to one or more officers of the Company all or any portion of its authority or responsibility with respect to the Plan, and (b) has the authority to act for the Company as to any matter pertaining to the Plan. The Administrator is the appropriate named fiduciary of the Plan solely for purposes of the Plan’s claims and appeal procedures set forth in Section 18.</w:t>
      </w:r>
    </w:p>
    <w:p>
      <w:pPr>
        <w:spacing w:after="0" w:line="183" w:lineRule="exact"/>
        <w:rPr>
          <w:sz w:val="20"/>
          <w:szCs w:val="20"/>
          <w:color w:val="auto"/>
        </w:rPr>
      </w:pPr>
    </w:p>
    <w:p>
      <w:pPr>
        <w:jc w:val="both"/>
        <w:ind w:firstLine="656"/>
        <w:spacing w:after="0" w:line="249" w:lineRule="auto"/>
        <w:tabs>
          <w:tab w:leader="none" w:pos="1296"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Eligibility to Participate</w:t>
      </w:r>
      <w:r>
        <w:rPr>
          <w:rFonts w:ascii="Times New Roman" w:cs="Times New Roman" w:eastAsia="Times New Roman" w:hAnsi="Times New Roman"/>
          <w:sz w:val="22"/>
          <w:szCs w:val="22"/>
          <w:color w:val="auto"/>
        </w:rPr>
        <w:t>. To the extent that the Administrator has delegated administrative authority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responsibility to one or more officers of the Company in accordance with Sections 2.1 and 14, each such officer will not be excluded from participating in the Plan if otherwise eligible, but he or she is not entitled to act upon or make determinations regarding any matters pertaining specifically to his or her own benefit or eligibility under the Plan. The Administrator will act upon and make determinations regarding any matters pertaining specifically to the benefit or eligibility of each such officer under the Plan.</w:t>
      </w:r>
    </w:p>
    <w:p>
      <w:pPr>
        <w:spacing w:after="0" w:line="180" w:lineRule="exact"/>
        <w:rPr>
          <w:rFonts w:ascii="Times New Roman" w:cs="Times New Roman" w:eastAsia="Times New Roman" w:hAnsi="Times New Roman"/>
          <w:sz w:val="22"/>
          <w:szCs w:val="22"/>
          <w:color w:val="auto"/>
        </w:rPr>
      </w:pPr>
    </w:p>
    <w:p>
      <w:pPr>
        <w:ind w:firstLine="656"/>
        <w:spacing w:after="0" w:line="275" w:lineRule="auto"/>
        <w:tabs>
          <w:tab w:leader="none" w:pos="1296"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Plan will become effective upon the Effective Date and will terminate automatically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completion of all benefits (if any) under the terms of the Plan.</w:t>
      </w:r>
    </w:p>
    <w:p>
      <w:pPr>
        <w:spacing w:after="0" w:line="149"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 or Termination</w:t>
      </w:r>
      <w:r>
        <w:rPr>
          <w:rFonts w:ascii="Times New Roman" w:cs="Times New Roman" w:eastAsia="Times New Roman" w:hAnsi="Times New Roman"/>
          <w:sz w:val="22"/>
          <w:szCs w:val="22"/>
          <w:color w:val="auto"/>
        </w:rPr>
        <w:t>. The Company, by action of the Board or the Administrator, reserves the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 or terminate the Plan at any time, without advance notice (except as otherwise provided below) to any Participant or other person or entity, and without regard to the effect of the amendment or termination on any Participant or such other person or entity. Any amendment or termination of the Plan must be in writing. In addition, notwithstanding the preceding, upon, in connection with or after a Change in Control, the Company, without a Participant’s written consent, may neither amend or terminate the Plan in any way nor take any other action under the Plan, which (i) prevents that Participant from becoming eligible for Severance Benefits or Grandfathered Award Retention Acceleration, or (ii) reduces or alters to the detriment of the Participant the Severance Benefits or Grandfathered Awards, if any, payable, or potentially payable, to him or her (including, without limitation, imposing additional conditions).</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Claims and Review Procedures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18.1.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Any Participant who believes he or she is entitled to but has not received a benefit or payment under the Plan or disagrees with the determination of the amount of any Plan benefit or payment or any other decision regarding his or her interest under the Plan (or his or her authorized legal representative) (the “</w:t>
      </w:r>
      <w:r>
        <w:rPr>
          <w:rFonts w:ascii="Times New Roman" w:cs="Times New Roman" w:eastAsia="Times New Roman" w:hAnsi="Times New Roman"/>
          <w:sz w:val="22"/>
          <w:szCs w:val="22"/>
          <w:b w:val="1"/>
          <w:bCs w:val="1"/>
          <w:color w:val="auto"/>
        </w:rPr>
        <w:t>Claimant</w:t>
      </w:r>
      <w:r>
        <w:rPr>
          <w:rFonts w:ascii="Times New Roman" w:cs="Times New Roman" w:eastAsia="Times New Roman" w:hAnsi="Times New Roman"/>
          <w:sz w:val="22"/>
          <w:szCs w:val="22"/>
          <w:color w:val="auto"/>
        </w:rPr>
        <w:t>”) must submit such claim (the “</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in writing to the Administrator at the following address within ninety (90) calendar days after the date the Claimant first knew or should have known of the facts on which the Claim is based, unless the Administrator consents otherwise in writing or ERISA provides otherwise: Seer, Inc., Plan Administrator of the Seer, Inc. Key Executive Change in Control and Severance Plan, 3800 Bridge Pkwy, Suite 102, Redwood City, CA 94065. The Claim must set forth the nature of the benefit claimed, the amount of such benefit and the basis for claiming entitlement to such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1" w:right="339" w:bottom="1440" w:gutter="0" w:footer="0" w:header="0"/>
        </w:sectPr>
      </w:pPr>
    </w:p>
    <w:bookmarkStart w:id="471" w:name="page472"/>
    <w:bookmarkEnd w:id="471"/>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18.2.</w:t>
      </w:r>
      <w:r>
        <w:rPr>
          <w:sz w:val="20"/>
          <w:szCs w:val="20"/>
          <w:color w:val="auto"/>
        </w:rPr>
        <w:tab/>
      </w:r>
      <w:r>
        <w:rPr>
          <w:rFonts w:ascii="Times New Roman" w:cs="Times New Roman" w:eastAsia="Times New Roman" w:hAnsi="Times New Roman"/>
          <w:sz w:val="21"/>
          <w:szCs w:val="21"/>
          <w:b w:val="1"/>
          <w:bCs w:val="1"/>
          <w:color w:val="auto"/>
        </w:rPr>
        <w:t>Non-Disability Benefit Claims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44"/>
        <w:spacing w:after="0" w:line="245" w:lineRule="auto"/>
        <w:rPr>
          <w:sz w:val="20"/>
          <w:szCs w:val="20"/>
          <w:color w:val="auto"/>
        </w:rPr>
      </w:pPr>
      <w:r>
        <w:rPr>
          <w:rFonts w:ascii="Times New Roman" w:cs="Times New Roman" w:eastAsia="Times New Roman" w:hAnsi="Times New Roman"/>
          <w:sz w:val="22"/>
          <w:szCs w:val="22"/>
          <w:color w:val="auto"/>
        </w:rPr>
        <w:t xml:space="preserve">18.2.1. </w:t>
      </w:r>
      <w:r>
        <w:rPr>
          <w:rFonts w:ascii="Times New Roman" w:cs="Times New Roman" w:eastAsia="Times New Roman" w:hAnsi="Times New Roman"/>
          <w:sz w:val="22"/>
          <w:szCs w:val="22"/>
          <w:b w:val="1"/>
          <w:bCs w:val="1"/>
          <w:color w:val="auto"/>
        </w:rPr>
        <w:t>Non-Disability Benefit Claims Procedure</w:t>
      </w:r>
      <w:r>
        <w:rPr>
          <w:rFonts w:ascii="Times New Roman" w:cs="Times New Roman" w:eastAsia="Times New Roman" w:hAnsi="Times New Roman"/>
          <w:sz w:val="22"/>
          <w:szCs w:val="22"/>
          <w:color w:val="auto"/>
        </w:rPr>
        <w:t>. If a Claimant submits a Non-Disability Benefit Claim (as defined below) to the Administrator in accordance with the requirements set forth in Section 18.1, and the Non-Disability Benefit Claim is denied (in full or in part), the Claimant will be provided a written notice of such denial within ninety (90) calendar days after the Administrator’s receipt of the Non-Disability Benefit Claim, unless special circumstances require an extension of time (up to ninety (90) more calendar days), in which case written notice of the extension will be given to the Claimant within the initial ninety (90)-day review period. This notice of extension will indicate the special circumstances requiring the extension of time and the date by which the Administrator expects to render its decision on the Non-Disability Benefit Claim. The denial notice will include: (a) the specific reason(s) for the denial; (b) references to the specific Plan provision(s) on which the denial was based; (c) a description of any additional material or information that is necessary to perfect the Claim and an explanation of why such material or information is necessary; (d) a description of the Plan’s procedures for appealing the denial and the time limits applicable to such procedures; (e) a statement regarding the Claimant’s right to bring a civil action under Section 502(a) of ERISA following an adverse benefit determination on appeal pursuant to the Plan’s procedures; and (f) any other information required by ERISA. A “</w:t>
      </w:r>
      <w:r>
        <w:rPr>
          <w:rFonts w:ascii="Times New Roman" w:cs="Times New Roman" w:eastAsia="Times New Roman" w:hAnsi="Times New Roman"/>
          <w:sz w:val="22"/>
          <w:szCs w:val="22"/>
          <w:b w:val="1"/>
          <w:bCs w:val="1"/>
          <w:color w:val="auto"/>
        </w:rPr>
        <w:t>Non-Disability Benefit Claim</w:t>
      </w:r>
      <w:r>
        <w:rPr>
          <w:rFonts w:ascii="Times New Roman" w:cs="Times New Roman" w:eastAsia="Times New Roman" w:hAnsi="Times New Roman"/>
          <w:sz w:val="22"/>
          <w:szCs w:val="22"/>
          <w:color w:val="auto"/>
        </w:rPr>
        <w:t>” means a Claim that does not involve any determination of Disability by the Administrator.</w:t>
      </w:r>
    </w:p>
    <w:p>
      <w:pPr>
        <w:spacing w:after="0" w:line="192" w:lineRule="exact"/>
        <w:rPr>
          <w:sz w:val="20"/>
          <w:szCs w:val="20"/>
          <w:color w:val="auto"/>
        </w:rPr>
      </w:pPr>
    </w:p>
    <w:p>
      <w:pPr>
        <w:jc w:val="both"/>
        <w:ind w:firstLine="1944"/>
        <w:spacing w:after="0" w:line="245" w:lineRule="auto"/>
        <w:rPr>
          <w:sz w:val="20"/>
          <w:szCs w:val="20"/>
          <w:color w:val="auto"/>
        </w:rPr>
      </w:pPr>
      <w:r>
        <w:rPr>
          <w:rFonts w:ascii="Times New Roman" w:cs="Times New Roman" w:eastAsia="Times New Roman" w:hAnsi="Times New Roman"/>
          <w:sz w:val="22"/>
          <w:szCs w:val="22"/>
          <w:color w:val="auto"/>
        </w:rPr>
        <w:t xml:space="preserve">18.2.2. </w:t>
      </w:r>
      <w:r>
        <w:rPr>
          <w:rFonts w:ascii="Times New Roman" w:cs="Times New Roman" w:eastAsia="Times New Roman" w:hAnsi="Times New Roman"/>
          <w:sz w:val="22"/>
          <w:szCs w:val="22"/>
          <w:b w:val="1"/>
          <w:bCs w:val="1"/>
          <w:color w:val="auto"/>
        </w:rPr>
        <w:t>Appeal Procedure</w:t>
      </w:r>
      <w:r>
        <w:rPr>
          <w:rFonts w:ascii="Times New Roman" w:cs="Times New Roman" w:eastAsia="Times New Roman" w:hAnsi="Times New Roman"/>
          <w:sz w:val="22"/>
          <w:szCs w:val="22"/>
          <w:color w:val="auto"/>
        </w:rPr>
        <w:t>. A Claimant may appeal a denied Non-Disability Benefit Claim by filing a request for review of such denial in writing with the Administrator at the address noted in Section 18.1. Such request must be made no later than sixty (60) calendar days following the date the Claimant received the written notice of denial or such later deadline as may be prescribed by ERISA. The Claimant then has the right to review and obtain copies of all documents and other information relevant to the Non-Disability Benefit Claim, upon written request and at no charge, and to submit comments, documents and other information relating to such Claim in writing. If the Claimant files a timely appeal, as described above, the Administrator will provide written notice of its decision on review (whether or not adverse) within sixty (60) calendar days after it received the timely request for review, unless special circumstances require a longer period of time, in which case a decision will be rendered as soon as possible, but not later than one hundred and twenty (120) calendar days after receipt of the timely review request. The Claimant will be given written notice of any such extension before the end of the original 60-day review period, as well as the special circumstances requiring the extension of time and the date by which the Administrator expects to render its decision. If the Administrator denies the appealed Non-Disability Benefit Claim, the notice of denial will include: (a) the specific reason(s) for the denial; (b) references to the specific provision(s) of the Plan on which the denial was based; (c) a statement that the Claimant will be provided, upon request and free of charge, reasonable access to, and copies of, all documents and other information relevant to such Claim; (d) a statement regarding the Claimant’s right to bring a civil action under Section 502(a) of ERISA following the denial on review pursuant to the Plan’s procedures; and (e) any other information required by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17" w:right="339" w:bottom="1440" w:gutter="0" w:footer="0" w:header="0"/>
        </w:sectPr>
      </w:pPr>
    </w:p>
    <w:bookmarkStart w:id="472" w:name="page473"/>
    <w:bookmarkEnd w:id="472"/>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18.3.</w:t>
      </w:r>
      <w:r>
        <w:rPr>
          <w:sz w:val="20"/>
          <w:szCs w:val="20"/>
          <w:color w:val="auto"/>
        </w:rPr>
        <w:tab/>
      </w:r>
      <w:r>
        <w:rPr>
          <w:rFonts w:ascii="Times New Roman" w:cs="Times New Roman" w:eastAsia="Times New Roman" w:hAnsi="Times New Roman"/>
          <w:sz w:val="21"/>
          <w:szCs w:val="21"/>
          <w:b w:val="1"/>
          <w:bCs w:val="1"/>
          <w:color w:val="auto"/>
        </w:rPr>
        <w:t>Disability Benefit Claims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44"/>
        <w:spacing w:after="0" w:line="245" w:lineRule="auto"/>
        <w:rPr>
          <w:sz w:val="20"/>
          <w:szCs w:val="20"/>
          <w:color w:val="auto"/>
        </w:rPr>
      </w:pPr>
      <w:r>
        <w:rPr>
          <w:rFonts w:ascii="Times New Roman" w:cs="Times New Roman" w:eastAsia="Times New Roman" w:hAnsi="Times New Roman"/>
          <w:sz w:val="22"/>
          <w:szCs w:val="22"/>
          <w:color w:val="auto"/>
        </w:rPr>
        <w:t xml:space="preserve">18.3.1. </w:t>
      </w:r>
      <w:r>
        <w:rPr>
          <w:rFonts w:ascii="Times New Roman" w:cs="Times New Roman" w:eastAsia="Times New Roman" w:hAnsi="Times New Roman"/>
          <w:sz w:val="22"/>
          <w:szCs w:val="22"/>
          <w:b w:val="1"/>
          <w:bCs w:val="1"/>
          <w:color w:val="auto"/>
        </w:rPr>
        <w:t>Disability Benefit Claims Procedure</w:t>
      </w:r>
      <w:r>
        <w:rPr>
          <w:rFonts w:ascii="Times New Roman" w:cs="Times New Roman" w:eastAsia="Times New Roman" w:hAnsi="Times New Roman"/>
          <w:sz w:val="22"/>
          <w:szCs w:val="22"/>
          <w:color w:val="auto"/>
        </w:rPr>
        <w:t>. If a Claimant submits a Disability Benefit Claim (as defined below) to the Administrator in accordance with the requirements set forth in Section 18.1, and the Disability Benefit Claim is denied (in full or in part), the Claimant will be provided a written notice of such denial within forty-five (45) calendar days after the Administrator’s receipt of the Disability Benefit Claim. However, this forty-five (45)-day time period may be extended for up to thirty (30) more calendar days for matters beyond the control of the Administrator, in which case the Claimant will be notified in writing of the extension of time before the end of the initial forty-five (45)-day review period. This notice of extension will indicate the circumstances requiring the extension of time and the date by which the Administrator expects to render its decision on the Disability Benefit Claim. If, before the end of the first thirty (30)-day extension period, the Administrator determines that, due to matters beyond its control, a decision cannot be rendered within that extension period, then the period for making the determination may be extended for up to thirty (30) more calendar days, in which case the Claimant will be notified in writing of the additional extension of time before the end of the initial thirty (30)-day extension period. This notice of extension will indicate the circumstances requiring the additional extension of time and the date by which the Administrator expects to render its decision on the Disability Benefit Claim. Any notice of extension also will explain the standards on which entitled to the applicable benefit is based, the unresolved issues that prevent a decision on the Disability Benefit Claim, the additional information needed to resolve those issues, and notice that the Claimant will be afforded at least forty-five (45) calendar days within which to provide the specified information.</w:t>
      </w:r>
    </w:p>
    <w:p>
      <w:pPr>
        <w:spacing w:after="0" w:line="192"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21"/>
          <w:szCs w:val="21"/>
          <w:color w:val="auto"/>
        </w:rPr>
        <w:t>The denial notice will include: (a) the specific reason(s) for the denial; (b) references to the specific Plan provision(s) on which the denial was based; (c) a description of any additional material or information that is necessary to perfect the Disability Benefit Claim and an explanation of why such material or information is necessary; (d) a statement that the Claimant will be provided, upon request and free of charge, reasonable access to and copies of, all documents and other information relevant to the Disability Benefit Claim; (e) a description of the Plan’s procedures for appealing the denial and the time limits applicable to such procedures; (f) a statement regarding the Claimant’s right to bring a civil action under Section 502(a) of ERISA following an adverse benefit determination on appeal pursuant to the Plan’s procedures, including a description of the contractual limitations period that applies to bringing such action, as well as the calendar date on which the contractual limitations period expires; (g) a copy of any internal rule, guideline, protocol or other similar criteria relied on in denying the Disability Benefit Claim or a statement that such rule, guideline, protocol or other similar criteria do not exist; (h) a discussion of the Administrator’s decision, including an explanation of the Administrator’s basis for disagreeing with, or not following, as applicable: (1) the views of the Claimant’s treating health care professionals and/or vocational experts who evaluated the Claimant, if provided by the Claimant, (2) the views of medical and/or vocational experts whose advice was obtained on behalf of the Plan in connection with the denial, without regard to whether the Administrator relied upon such advice in making the benefit determination, and (3) the federal Social Security Administration’s determination of disability, if provided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17" w:right="339" w:bottom="1440" w:gutter="0" w:footer="0" w:header="0"/>
        </w:sectPr>
      </w:pPr>
    </w:p>
    <w:bookmarkStart w:id="473" w:name="page474"/>
    <w:bookmarkEnd w:id="473"/>
    <w:p>
      <w:pPr>
        <w:jc w:val="both"/>
        <w:spacing w:after="0" w:line="275" w:lineRule="auto"/>
        <w:rPr>
          <w:sz w:val="20"/>
          <w:szCs w:val="20"/>
          <w:color w:val="auto"/>
        </w:rPr>
      </w:pPr>
      <w:r>
        <w:rPr>
          <w:rFonts w:ascii="Times New Roman" w:cs="Times New Roman" w:eastAsia="Times New Roman" w:hAnsi="Times New Roman"/>
          <w:sz w:val="22"/>
          <w:szCs w:val="22"/>
          <w:color w:val="auto"/>
        </w:rPr>
        <w:t>Claimant; and (i) any other information required by ERISA. A “</w:t>
      </w:r>
      <w:r>
        <w:rPr>
          <w:rFonts w:ascii="Times New Roman" w:cs="Times New Roman" w:eastAsia="Times New Roman" w:hAnsi="Times New Roman"/>
          <w:sz w:val="22"/>
          <w:szCs w:val="22"/>
          <w:b w:val="1"/>
          <w:bCs w:val="1"/>
          <w:color w:val="auto"/>
        </w:rPr>
        <w:t>Disability Benefit Claim</w:t>
      </w:r>
      <w:r>
        <w:rPr>
          <w:rFonts w:ascii="Times New Roman" w:cs="Times New Roman" w:eastAsia="Times New Roman" w:hAnsi="Times New Roman"/>
          <w:sz w:val="22"/>
          <w:szCs w:val="22"/>
          <w:color w:val="auto"/>
        </w:rPr>
        <w:t>” means a Claim that involves a determination of Disability by the Administrator.</w:t>
      </w:r>
    </w:p>
    <w:p>
      <w:pPr>
        <w:spacing w:after="0" w:line="149"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21"/>
          <w:szCs w:val="21"/>
          <w:color w:val="auto"/>
        </w:rPr>
        <w:t xml:space="preserve">18.3.2. </w:t>
      </w:r>
      <w:r>
        <w:rPr>
          <w:rFonts w:ascii="Times New Roman" w:cs="Times New Roman" w:eastAsia="Times New Roman" w:hAnsi="Times New Roman"/>
          <w:sz w:val="21"/>
          <w:szCs w:val="21"/>
          <w:b w:val="1"/>
          <w:bCs w:val="1"/>
          <w:color w:val="auto"/>
        </w:rPr>
        <w:t>Appeal Procedure</w:t>
      </w:r>
      <w:r>
        <w:rPr>
          <w:rFonts w:ascii="Times New Roman" w:cs="Times New Roman" w:eastAsia="Times New Roman" w:hAnsi="Times New Roman"/>
          <w:sz w:val="21"/>
          <w:szCs w:val="21"/>
          <w:color w:val="auto"/>
        </w:rPr>
        <w:t>. A Claimant may appeal a denied Disability Benefit Claim by filing a request for review of such denial in writing with the Administrator at the address noted in Section 18.1. Such request must be made no later than one hundred eighty (180) calendar days following the date the Claimant received the written notice of denial or such later deadline as may be prescribed by ERISA. The Claimant then has the right to review and obtain copies of all documents and other information relevant to the Disability Benefit Claim, upon written request and at no charge, and to submit comments, documents and other information relating to such Claim in writing. If the Claimant files a timely appeal, as described above, the Administrator will provide written notice of its decision on review (whether or not adverse) within forty-five (45) calendar days after it received the timely request for review, unless special circumstances require a longer period of time, in which case a decision will be rendered as soon as possible, but not later than ninety (90) calendar days after receipt of the timely review request. The Claimant will be given written notice of any such extension before the end of the original 45-day review period, as well as the special circumstances requiring the extension of time and the date by which the Administrator expects to render its decision. Before any denial on review may be issued, however, the Administrator will provide the Claimant, free of charge, with any new or additional evidence considered, relied upon or generated in connection with the Disability Benefit Claim. Moreover, before any denial on review based on a new or additional rationale may be issued, the Administrator will provide the Claimant, free of charge, with such rationale. Any evidence or rationale will be provided as soon as possible and sufficiently in advance of the date when the Administrator must issue its decision on review to give the Claimant a reasonable opportunity to respond before that date. The review of the appealed Disability Benefit Claim will be conducted by the Administrator (who will not be the individual who decided the initial Disability Benefit Claim nor the subordinate of such individual). In deciding an appeal of any denied Disability Benefit Claim that is based in full or in part on a medical judgment, the Administrator will consult with a health care professional (who will neither be an individual who was consulted in connection with the initial Disability Benefit Claim nor the subordinate of such individual) who has appropriate training and experience in the field of medicine involved in the medical judgment. Any medical or vocational experts whose advice was obtained on behalf of the Administrator in connection with such denied Claim will be identified, regardless of whether the advice was relied upon in denying the Disability Benefit Claim.</w:t>
      </w:r>
    </w:p>
    <w:p>
      <w:pPr>
        <w:spacing w:after="0" w:line="195" w:lineRule="exact"/>
        <w:rPr>
          <w:sz w:val="20"/>
          <w:szCs w:val="20"/>
          <w:color w:val="auto"/>
        </w:rPr>
      </w:pPr>
    </w:p>
    <w:p>
      <w:pPr>
        <w:jc w:val="both"/>
        <w:ind w:firstLine="1944"/>
        <w:spacing w:after="0" w:line="248" w:lineRule="auto"/>
        <w:rPr>
          <w:sz w:val="20"/>
          <w:szCs w:val="20"/>
          <w:color w:val="auto"/>
        </w:rPr>
      </w:pPr>
      <w:r>
        <w:rPr>
          <w:rFonts w:ascii="Times New Roman" w:cs="Times New Roman" w:eastAsia="Times New Roman" w:hAnsi="Times New Roman"/>
          <w:sz w:val="22"/>
          <w:szCs w:val="22"/>
          <w:color w:val="auto"/>
        </w:rPr>
        <w:t>If the Administrator denies the appealed Disability Benefit Claim, the denial notice will include: (a) the specific reason(s) for the denial; (b) references to the specific provision(s) of the Plan on which the denial was based; (c) a statement that the Claimant will be provided, upon request and free of charge, reasonable access to, and copies of, all documents and other information relevant to the Disability Benefit Claim; (d) a copy of any internal rule, guideline, protocol or other similar criteria relied on in denying the Disability Benefit Claim or a statement that such rule, guideline, protocol or other similar criteria do not exist; (e) a discussion of the Administrator’s decision, including an explanation of the Administrator’s basis for disagreeing with, or not following, as applicable: (1) the views of the Claimant’s treating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17" w:right="339" w:bottom="1440" w:gutter="0" w:footer="0" w:header="0"/>
        </w:sectPr>
      </w:pPr>
    </w:p>
    <w:bookmarkStart w:id="474" w:name="page475"/>
    <w:bookmarkEnd w:id="474"/>
    <w:p>
      <w:pPr>
        <w:jc w:val="both"/>
        <w:spacing w:after="0" w:line="248" w:lineRule="auto"/>
        <w:rPr>
          <w:sz w:val="20"/>
          <w:szCs w:val="20"/>
          <w:color w:val="auto"/>
        </w:rPr>
      </w:pPr>
      <w:r>
        <w:rPr>
          <w:rFonts w:ascii="Times New Roman" w:cs="Times New Roman" w:eastAsia="Times New Roman" w:hAnsi="Times New Roman"/>
          <w:sz w:val="22"/>
          <w:szCs w:val="22"/>
          <w:color w:val="auto"/>
        </w:rPr>
        <w:t>care professionals and/or vocational experts who evaluated the Claimant, if provided by the Claimant, (2) the views of medical and/or vocational experts whose advice was obtained on behalf of the Plan in connection with the denial, without regard to whether the Administrator relied upon such advice in making the benefit determination, and (3) the federal Social Security Administration’s determination of disability, if provided by the Claimant; (f) a statement regarding the Claimant’s right to bring a civil action under Section 502(a) of ERISA following an adverse benefit determination on appeal pursuant to the Plan’s procedures, including a description of the contractual limitations period that applies to bringing such action, as well as the calendar date on which the contractual limitations period expires; and (g) any other information required by ERISA.</w:t>
      </w:r>
    </w:p>
    <w:p>
      <w:pPr>
        <w:spacing w:after="0" w:line="182"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21"/>
          <w:szCs w:val="21"/>
          <w:color w:val="auto"/>
        </w:rPr>
        <w:t>If the Administrator does not strictly adhere to the Plan’s claims and appeal procedures for Disability Benefit Claims, as set forth in this Section 18.3 (the “Disability Claim Procedures”), the Claimant may be deemed to have exhausted the Plan’s administrative remedies and may be able to seek judicial review of the Claimant’s Disability Benefit Claim. Such deemed exhaustion does not apply, however, if the Administrator’s failure to strictly adhere to the Disability Claim Procedures was a de minimis violation not likely to cause prejudice or harm to the Claimant and if the other applicable requirements under ERISA are met. The Claimant may request a written explanation of such a violation from the Administrator. Within ten (10) calendar days of the Claimant’s request, the Administrator will provide such explanation, including a specific description of the bases, if any, for asserting that the violation should not cause the Disability Claim Procedures to be deemed exhausted. A Disability Benefit Claim rejected by a court for immediate review based on deemed exhaustion will be considered refiled under the Plan upon the Plan’s receipt of the court’s decision. Within a reasonable time after receipt of the court’s decision, the Administrator will provide the Claimant with notice of the Disability Benefit Claim’s resubmission.</w:t>
      </w:r>
    </w:p>
    <w:p>
      <w:pPr>
        <w:spacing w:after="0" w:line="17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18.4. </w:t>
      </w:r>
      <w:r>
        <w:rPr>
          <w:rFonts w:ascii="Times New Roman" w:cs="Times New Roman" w:eastAsia="Times New Roman" w:hAnsi="Times New Roman"/>
          <w:sz w:val="22"/>
          <w:szCs w:val="22"/>
          <w:b w:val="1"/>
          <w:bCs w:val="1"/>
          <w:color w:val="auto"/>
        </w:rPr>
        <w:t>COVID-19</w:t>
      </w:r>
      <w:r>
        <w:rPr>
          <w:rFonts w:ascii="Times New Roman" w:cs="Times New Roman" w:eastAsia="Times New Roman" w:hAnsi="Times New Roman"/>
          <w:sz w:val="22"/>
          <w:szCs w:val="22"/>
          <w:color w:val="auto"/>
        </w:rPr>
        <w:t>. Notwithstanding the foregoing, the sixty (60)-day period following the announced end of the COVID-19 U.S. national emergency or such other date announced by the Internal Revenue Service and the Employee Benefits Security Administration in a future notification will be disregarded for any Claimant in determining the date by which the Claimant may file a Claim or file an appeal of an adverse benefit determination under the Plan</w:t>
      </w:r>
    </w:p>
    <w:p>
      <w:pPr>
        <w:spacing w:after="0" w:line="17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18.5. </w:t>
      </w:r>
      <w:r>
        <w:rPr>
          <w:rFonts w:ascii="Times New Roman" w:cs="Times New Roman" w:eastAsia="Times New Roman" w:hAnsi="Times New Roman"/>
          <w:sz w:val="22"/>
          <w:szCs w:val="22"/>
          <w:b w:val="1"/>
          <w:bCs w:val="1"/>
          <w:color w:val="auto"/>
        </w:rPr>
        <w:t>Exhaustion of Plan’s Claims and Appeal Procedure Required; Limitations on any Legal Actions;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Venue</w:t>
      </w:r>
      <w:r>
        <w:rPr>
          <w:rFonts w:ascii="Times New Roman" w:cs="Times New Roman" w:eastAsia="Times New Roman" w:hAnsi="Times New Roman"/>
          <w:sz w:val="22"/>
          <w:szCs w:val="22"/>
          <w:color w:val="auto"/>
        </w:rPr>
        <w:t>. Exhaustion of the Plan’s applicable claims and appeal procedure set forth in this Section 18 is mandatory for resolving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Claim under the Plan before initiating any legal action relating to the Claim. Any legal action with respect to a Claim, if permitted, must be brought (a) </w:t>
      </w:r>
      <w:r>
        <w:rPr>
          <w:rFonts w:ascii="Times New Roman" w:cs="Times New Roman" w:eastAsia="Times New Roman" w:hAnsi="Times New Roman"/>
          <w:sz w:val="22"/>
          <w:szCs w:val="22"/>
          <w:u w:val="single" w:color="auto"/>
          <w:color w:val="auto"/>
        </w:rPr>
        <w:t>no later than</w:t>
      </w:r>
      <w:r>
        <w:rPr>
          <w:rFonts w:ascii="Times New Roman" w:cs="Times New Roman" w:eastAsia="Times New Roman" w:hAnsi="Times New Roman"/>
          <w:sz w:val="22"/>
          <w:szCs w:val="22"/>
          <w:color w:val="auto"/>
        </w:rPr>
        <w:t xml:space="preserve"> one (1) year after the Administrator’s denial of such Claim on appeal, regardless of any state or federal statutes establishing provisions relating to limitations on actions, and (b) in the U.S. District Court for the Northern District of California. In any such action, all determinations made by the Administrator (and its authorized delegates) in connection with its review of the Claim will be afforded the maximum possible deference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1" w:right="339" w:bottom="1440" w:gutter="0" w:footer="0" w:header="0"/>
        </w:sectPr>
      </w:pPr>
    </w:p>
    <w:bookmarkStart w:id="475" w:name="page476"/>
    <w:bookmarkEnd w:id="475"/>
    <w:p>
      <w:pPr>
        <w:ind w:left="1300" w:hanging="644"/>
        <w:spacing w:after="0"/>
        <w:tabs>
          <w:tab w:leader="none" w:pos="1300"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Attorneys’ Fees</w:t>
      </w:r>
      <w:r>
        <w:rPr>
          <w:rFonts w:ascii="Times New Roman" w:cs="Times New Roman" w:eastAsia="Times New Roman" w:hAnsi="Times New Roman"/>
          <w:sz w:val="22"/>
          <w:szCs w:val="22"/>
          <w:color w:val="auto"/>
        </w:rPr>
        <w:t>. The parties will each bear their own expenses, legal fees and other fees incurred in connection</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this Plan.</w:t>
      </w:r>
    </w:p>
    <w:p>
      <w:pPr>
        <w:spacing w:after="0" w:line="191"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Source of Payments</w:t>
      </w:r>
      <w:r>
        <w:rPr>
          <w:rFonts w:ascii="Times New Roman" w:cs="Times New Roman" w:eastAsia="Times New Roman" w:hAnsi="Times New Roman"/>
          <w:sz w:val="22"/>
          <w:szCs w:val="22"/>
          <w:color w:val="auto"/>
        </w:rPr>
        <w:t>. The Plan will be maintained at all times in a manner to be considered “unfunded”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purposes of ERISA. Any Severance Benefits or Grandfathered Award Retention Acceleration will be paid from the general funds of the Company; no separate fund will be established under the Plan, and the Plan will have no assets. No right of any person to receive any payment or benefit under the Plan will be any greater than the right of any other general unsecured creditor of the Company, the Employer or any other parent, subsidiary or affiliate of the Company.</w:t>
      </w:r>
    </w:p>
    <w:p>
      <w:pPr>
        <w:spacing w:after="0" w:line="175"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Guarantee of Tax Consequences. </w:t>
      </w:r>
      <w:r>
        <w:rPr>
          <w:rFonts w:ascii="Times New Roman" w:cs="Times New Roman" w:eastAsia="Times New Roman" w:hAnsi="Times New Roman"/>
          <w:sz w:val="22"/>
          <w:szCs w:val="22"/>
          <w:color w:val="auto"/>
        </w:rPr>
        <w:t>Participants (or their beneficiaries) solely will be responsible for any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taxes with respect to any payments or benefits provided under the Plan. None of the Administrator, the Company, the Employer or any parent, subsidiary or other affiliate of the Company makes any guarantees regarding the tax treatment to any person of any payments or benefits provided under the Plan.</w:t>
      </w:r>
    </w:p>
    <w:p>
      <w:pPr>
        <w:spacing w:after="0" w:line="175"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Inalienability</w:t>
      </w:r>
      <w:r>
        <w:rPr>
          <w:rFonts w:ascii="Times New Roman" w:cs="Times New Roman" w:eastAsia="Times New Roman" w:hAnsi="Times New Roman"/>
          <w:sz w:val="22"/>
          <w:szCs w:val="22"/>
          <w:color w:val="auto"/>
        </w:rPr>
        <w:t>. In no event may any current or former employee of any Employer sell, transfer, anticipate, assign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otherwise dispose of any right or interest under the Plan, except as provided in this Section. Any other attempted assignment, transfer, conveyance, or other disposition of a Participant’s right to compensation or other benefits will be null and void. At no time will any of a Participant’s rights or interests under the Plan be subject to the claims of creditors nor liable to attachment, execution or other legal process. If any payments or benefits are payable to a Participant who is unable to care for his or her affairs, payment may be made directly to his or her legal guardian or personal representative.</w:t>
      </w:r>
    </w:p>
    <w:p>
      <w:pPr>
        <w:spacing w:after="0" w:line="180"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w:t>
      </w:r>
      <w:r>
        <w:rPr>
          <w:rFonts w:ascii="Times New Roman" w:cs="Times New Roman" w:eastAsia="Times New Roman" w:hAnsi="Times New Roman"/>
          <w:sz w:val="22"/>
          <w:szCs w:val="22"/>
          <w:color w:val="auto"/>
        </w:rPr>
        <w:t>. Notwithstanding anything to the contrary in the Plan, if a Participant dies after his or her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and after the Participant (or the authorized representative of the Participant’s estate) have timely executed and returned the Severance Release or the Retention Release, as applicable, to the Administrator (without having timely revoked it) but before receiving all of the payments and benefits otherwise payable to him or her, such remaining payments and benefits instead will be paid to the executor of the Participant’s estate, on behalf of the estate, at the time(s) and in the form(s) applicable to such payments and benefits, as applicable, under the Plan.</w:t>
      </w:r>
    </w:p>
    <w:p>
      <w:pPr>
        <w:spacing w:after="0" w:line="180"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Enlargement of Employment Rights</w:t>
      </w:r>
      <w:r>
        <w:rPr>
          <w:rFonts w:ascii="Times New Roman" w:cs="Times New Roman" w:eastAsia="Times New Roman" w:hAnsi="Times New Roman"/>
          <w:sz w:val="22"/>
          <w:szCs w:val="22"/>
          <w:color w:val="auto"/>
        </w:rPr>
        <w:t>. Neither the establishment or maintenance or amendment of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nor the making of any benefit payment hereunder, will be construed to confer upon any individual any right to continue to be an employee of the Company, the Employer or any parent, subsidiary or other affiliate of the Company. The Company and the applicable Employers expressly reserve the right to discharge any of their employees at any time and for any reason, with or without cause or notice, as permitted by applicable law. However, as described in the Plan, a Participant may be entitled to benefits under the Plan depending upon the circumstances of the termination of his or her employment.</w:t>
      </w:r>
    </w:p>
    <w:p>
      <w:pPr>
        <w:spacing w:after="0" w:line="180" w:lineRule="exact"/>
        <w:rPr>
          <w:rFonts w:ascii="Times New Roman" w:cs="Times New Roman" w:eastAsia="Times New Roman" w:hAnsi="Times New Roman"/>
          <w:sz w:val="22"/>
          <w:szCs w:val="22"/>
          <w:color w:val="auto"/>
        </w:rPr>
      </w:pPr>
    </w:p>
    <w:p>
      <w:pPr>
        <w:ind w:firstLine="656"/>
        <w:spacing w:after="0" w:line="275" w:lineRule="auto"/>
        <w:tabs>
          <w:tab w:leader="none" w:pos="1296"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 Any successor to the Company of all or substantially all of the Company’s business and/or assets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(whether direct or indirect and whether by purchase, merger,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6"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19 -</w:t>
      </w:r>
    </w:p>
    <w:p>
      <w:pPr>
        <w:sectPr>
          <w:pgSz w:w="11900" w:h="16838" w:orient="portrait"/>
          <w:cols w:equalWidth="0" w:num="1">
            <w:col w:w="11240"/>
          </w:cols>
          <w:pgMar w:left="320" w:top="1417" w:right="339" w:bottom="1440" w:gutter="0" w:footer="0" w:header="0"/>
        </w:sectPr>
      </w:pPr>
    </w:p>
    <w:bookmarkStart w:id="476" w:name="page477"/>
    <w:bookmarkEnd w:id="476"/>
    <w:p>
      <w:pPr>
        <w:jc w:val="both"/>
        <w:spacing w:after="0" w:line="252" w:lineRule="auto"/>
        <w:rPr>
          <w:sz w:val="20"/>
          <w:szCs w:val="20"/>
          <w:color w:val="auto"/>
        </w:rPr>
      </w:pPr>
      <w:r>
        <w:rPr>
          <w:rFonts w:ascii="Times New Roman" w:cs="Times New Roman" w:eastAsia="Times New Roman" w:hAnsi="Times New Roman"/>
          <w:sz w:val="22"/>
          <w:szCs w:val="22"/>
          <w:color w:val="auto"/>
        </w:rPr>
        <w:t>consolidation, liquidation or other transaction) will assume the obligations under the Plan and agree expressly to perform the obligations under the Plan in the same manner and to the same extent as the Company would be required to perform such obligations in the absence of a succession. For all purposes under the Plan, the term “Company” will include any successor to the Company’s business and/or assets which become bound by the terms of the Plan by operation of law, or otherwise.</w:t>
      </w:r>
    </w:p>
    <w:p>
      <w:pPr>
        <w:spacing w:after="0" w:line="175" w:lineRule="exact"/>
        <w:rPr>
          <w:sz w:val="20"/>
          <w:szCs w:val="20"/>
          <w:color w:val="auto"/>
        </w:rPr>
      </w:pPr>
    </w:p>
    <w:p>
      <w:pPr>
        <w:jc w:val="both"/>
        <w:ind w:firstLine="656"/>
        <w:spacing w:after="0" w:line="253" w:lineRule="auto"/>
        <w:tabs>
          <w:tab w:leader="none" w:pos="1296"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The Plan is intended to be an unfunded deferred compensation plan within the meaning of 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Department of Labor Regulations Section 2520.104-23 and will be construed, administered and enforced as such in accordance with ERISA. The provisions of the Plan will be construed, administered and enforced in accordance with ERISA and, to the extent applicable, the internal substantive laws of the State of California (but not its conflict of laws provisions).</w:t>
      </w:r>
    </w:p>
    <w:p>
      <w:pPr>
        <w:spacing w:after="0" w:line="175" w:lineRule="exact"/>
        <w:rPr>
          <w:rFonts w:ascii="Times New Roman" w:cs="Times New Roman" w:eastAsia="Times New Roman" w:hAnsi="Times New Roman"/>
          <w:sz w:val="22"/>
          <w:szCs w:val="22"/>
          <w:color w:val="auto"/>
        </w:rPr>
      </w:pPr>
    </w:p>
    <w:p>
      <w:pPr>
        <w:jc w:val="both"/>
        <w:ind w:firstLine="656"/>
        <w:spacing w:after="0" w:line="299" w:lineRule="auto"/>
        <w:tabs>
          <w:tab w:leader="none" w:pos="1296" w:val="left"/>
        </w:tabs>
        <w:numPr>
          <w:ilvl w:val="0"/>
          <w:numId w:val="4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If any provision of the Plan is held invalid or unenforceable, its invalidity or unenforceability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affect any other provision of the Plan, and the Plan will be construed and enforced as if such provision had not been included.</w:t>
      </w:r>
    </w:p>
    <w:p>
      <w:pPr>
        <w:spacing w:after="0" w:line="127" w:lineRule="exact"/>
        <w:rPr>
          <w:rFonts w:ascii="Times New Roman" w:cs="Times New Roman" w:eastAsia="Times New Roman" w:hAnsi="Times New Roman"/>
          <w:sz w:val="21"/>
          <w:szCs w:val="21"/>
          <w:color w:val="auto"/>
        </w:rPr>
      </w:pPr>
    </w:p>
    <w:p>
      <w:pPr>
        <w:ind w:right="20" w:firstLine="656"/>
        <w:spacing w:after="0" w:line="275" w:lineRule="auto"/>
        <w:tabs>
          <w:tab w:leader="none" w:pos="1296"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Headings</w:t>
      </w:r>
      <w:r>
        <w:rPr>
          <w:rFonts w:ascii="Times New Roman" w:cs="Times New Roman" w:eastAsia="Times New Roman" w:hAnsi="Times New Roman"/>
          <w:sz w:val="22"/>
          <w:szCs w:val="22"/>
          <w:color w:val="auto"/>
        </w:rPr>
        <w:t>. Headings in this Plan document are for purposes of reference only and will not limit or otherwise affect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meaning, construction or interpretation of the Plan’s provisions.</w:t>
      </w:r>
    </w:p>
    <w:p>
      <w:pPr>
        <w:spacing w:after="0" w:line="149"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 The Company hereby agrees to indemnify and hold harmless the officers and employees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the members of the Board, from all losses, claims, costs or other liabilities arising from their acts or omissions in connection with the administration, amendment or termination of the Plan, to the maximum extent permitted by applicable law. This indemnity will cover all such liabilities, including judgments, settlements and costs of defense. The Company will provide this indemnity from its own funds to the extent that insurance does not cover such liabilities. This indemnity is in addition to and not in lieu of any other indemnity provided to such person by the Company.</w:t>
      </w:r>
    </w:p>
    <w:p>
      <w:pPr>
        <w:spacing w:after="0" w:line="180"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6"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Protected Activity</w:t>
      </w:r>
      <w:r>
        <w:rPr>
          <w:rFonts w:ascii="Times New Roman" w:cs="Times New Roman" w:eastAsia="Times New Roman" w:hAnsi="Times New Roman"/>
          <w:sz w:val="22"/>
          <w:szCs w:val="22"/>
          <w:color w:val="auto"/>
        </w:rPr>
        <w:t>. Notwithstanding any contrary provision of the Plan or of the Severance Release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Retention Release, nothing in this Plan, the Severance Release or the Retention Release shall prohibit or impede Participant from engaging in any Protected Activity. For purposes of this Plan, “</w:t>
      </w:r>
      <w:r>
        <w:rPr>
          <w:rFonts w:ascii="Times New Roman" w:cs="Times New Roman" w:eastAsia="Times New Roman" w:hAnsi="Times New Roman"/>
          <w:sz w:val="22"/>
          <w:szCs w:val="22"/>
          <w:b w:val="1"/>
          <w:bCs w:val="1"/>
          <w:color w:val="auto"/>
        </w:rPr>
        <w:t>Protected Activity</w:t>
      </w:r>
      <w:r>
        <w:rPr>
          <w:rFonts w:ascii="Times New Roman" w:cs="Times New Roman" w:eastAsia="Times New Roman" w:hAnsi="Times New Roman"/>
          <w:sz w:val="22"/>
          <w:szCs w:val="22"/>
          <w:color w:val="auto"/>
        </w:rPr>
        <w:t>” shall mean (i)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22"/>
          <w:szCs w:val="22"/>
          <w:b w:val="1"/>
          <w:bCs w:val="1"/>
          <w:color w:val="auto"/>
        </w:rPr>
        <w:t>Government Agencies</w:t>
      </w:r>
      <w:r>
        <w:rPr>
          <w:rFonts w:ascii="Times New Roman" w:cs="Times New Roman" w:eastAsia="Times New Roman" w:hAnsi="Times New Roman"/>
          <w:sz w:val="22"/>
          <w:szCs w:val="22"/>
          <w:color w:val="auto"/>
        </w:rPr>
        <w:t>”); (ii) discussing the terms, wages, and working conditions of their employment among employees, as protected by applicable law; (iii) disclosing information pertaining to sexual harassment or any unlawful or potentially unlawful conduct, as protected by applicable law. Notwithstanding the foregoing, the Participant agrees to take all reasonable precautions to prevent any unauthorized use or disclosure of any information that may constitute Company confidential information (as defined in the At-Will Employment, Confidential Information, and Invention Assignment Agreement entered into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9"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20 -</w:t>
      </w:r>
    </w:p>
    <w:p>
      <w:pPr>
        <w:sectPr>
          <w:pgSz w:w="11900" w:h="16838" w:orient="portrait"/>
          <w:cols w:equalWidth="0" w:num="1">
            <w:col w:w="11240"/>
          </w:cols>
          <w:pgMar w:left="320" w:top="1421" w:right="339" w:bottom="1440" w:gutter="0" w:footer="0" w:header="0"/>
        </w:sectPr>
      </w:pPr>
    </w:p>
    <w:bookmarkStart w:id="477" w:name="page478"/>
    <w:bookmarkEnd w:id="477"/>
    <w:p>
      <w:pPr>
        <w:jc w:val="both"/>
        <w:spacing w:after="0" w:line="245" w:lineRule="auto"/>
        <w:rPr>
          <w:sz w:val="20"/>
          <w:szCs w:val="20"/>
          <w:color w:val="auto"/>
        </w:rPr>
      </w:pPr>
      <w:r>
        <w:rPr>
          <w:rFonts w:ascii="Times New Roman" w:cs="Times New Roman" w:eastAsia="Times New Roman" w:hAnsi="Times New Roman"/>
          <w:sz w:val="22"/>
          <w:szCs w:val="22"/>
          <w:color w:val="auto"/>
        </w:rPr>
        <w:t>between the Company and the Participant (the “</w:t>
      </w:r>
      <w:r>
        <w:rPr>
          <w:rFonts w:ascii="Times New Roman" w:cs="Times New Roman" w:eastAsia="Times New Roman" w:hAnsi="Times New Roman"/>
          <w:sz w:val="22"/>
          <w:szCs w:val="22"/>
          <w:b w:val="1"/>
          <w:bCs w:val="1"/>
          <w:color w:val="auto"/>
        </w:rPr>
        <w:t>Proprietary Agreement</w:t>
      </w:r>
      <w:r>
        <w:rPr>
          <w:rFonts w:ascii="Times New Roman" w:cs="Times New Roman" w:eastAsia="Times New Roman" w:hAnsi="Times New Roman"/>
          <w:sz w:val="22"/>
          <w:szCs w:val="22"/>
          <w:color w:val="auto"/>
        </w:rPr>
        <w:t>”) or any other agreement between the Participant and the Company, the Employer or any parent, subsidiary or other affiliate of the Company relating to the protection of confidential information) in a manner not protected by applicable law (each, a “</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The Participant further understands that Protected Activity does not include disclosure of any Company attorney-client privileged communications or attorney work product. Any language in the Proprietary Agreement or any Confidentiality Agreement that conflicts with, or is contrary to, this paragraph is superseded by this Plan. The Participant understands and acknowledges that pursuant to the Defend Trade Secrets Act of 2016 (A) an 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97"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17" w:right="339" w:bottom="1440" w:gutter="0" w:footer="0" w:header="0"/>
        </w:sectPr>
      </w:pPr>
    </w:p>
    <w:bookmarkStart w:id="478" w:name="page479"/>
    <w:bookmarkEnd w:id="478"/>
    <w:p>
      <w:pPr>
        <w:ind w:left="5060"/>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3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KEY EXECUTIVE CHANGE IN CONTROL AND SEVERANCE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PARTICIPATION AGREEMENT</w:t>
      </w:r>
    </w:p>
    <w:p>
      <w:pPr>
        <w:spacing w:after="0" w:line="22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2"/>
          <w:szCs w:val="22"/>
          <w:color w:val="auto"/>
        </w:rPr>
        <w:t>Seer,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is pleased to inform you, </w:t>
      </w:r>
      <w:r>
        <w:rPr>
          <w:rFonts w:ascii="Times New Roman" w:cs="Times New Roman" w:eastAsia="Times New Roman" w:hAnsi="Times New Roman"/>
          <w:sz w:val="22"/>
          <w:szCs w:val="22"/>
          <w:b w:val="1"/>
          <w:bCs w:val="1"/>
          <w:color w:val="auto"/>
        </w:rPr>
        <w:t>[NAME]</w:t>
      </w:r>
      <w:r>
        <w:rPr>
          <w:rFonts w:ascii="Times New Roman" w:cs="Times New Roman" w:eastAsia="Times New Roman" w:hAnsi="Times New Roman"/>
          <w:sz w:val="22"/>
          <w:szCs w:val="22"/>
          <w:color w:val="auto"/>
        </w:rPr>
        <w:t>, that you have been selected to participate in the Company’s Key Executive Change in Control and Severance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A copy of the Plan has been delivered to you with this Participation Agreement. Your participation in the Plan is subject to all of the terms and conditions of the Plan, including this Participation Agreement.</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In order to actually become a Participant in the Plan, as described in the Plan, you must complete and sign this Participation Agreement and return it to </w:t>
      </w:r>
      <w:r>
        <w:rPr>
          <w:rFonts w:ascii="Times New Roman" w:cs="Times New Roman" w:eastAsia="Times New Roman" w:hAnsi="Times New Roman"/>
          <w:sz w:val="22"/>
          <w:szCs w:val="22"/>
          <w:b w:val="1"/>
          <w:bCs w:val="1"/>
          <w:color w:val="auto"/>
        </w:rPr>
        <w:t>[NAME]</w:t>
      </w:r>
      <w:r>
        <w:rPr>
          <w:rFonts w:ascii="Times New Roman" w:cs="Times New Roman" w:eastAsia="Times New Roman" w:hAnsi="Times New Roman"/>
          <w:sz w:val="22"/>
          <w:szCs w:val="22"/>
          <w:color w:val="auto"/>
        </w:rPr>
        <w:t xml:space="preserve"> by no later than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Plan describes in detail certain circumstances under which you, if you are a Participant in the Plan, may become eligible for Severance Benefits and certain other benefits enumerated hereunder. Any capitalized term used in this Participation Agreement that is not otherwise defined herein will have the meaning ascribed to such term in the Plan.</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As described more fully in the Plan, if you are a Participant in the Plan, you may become eligible for certain Severance Benefits under Section 4.1 of the Plan if, during the Change in Control Period, either (a) your Employer terminates your employment for a reason other than (x) Cause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and made a part of this Participation Agreement), (y) your death, or (z) your Disability or (b) you terminate your employment with your Employer as a result of a Good Reason Termination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and made a part of this Participation Agreement).</w:t>
      </w:r>
    </w:p>
    <w:p>
      <w:pPr>
        <w:spacing w:after="0" w:line="1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In addition (but in lieu of the Severance Benefits described in the immediately preceding paragraph), and as described more fully in the Plan, if you are a Participant in the Plan, you may become eligible for certain Severance Benefits under Section 4.2 of the Plan if [your Employer terminates your employment for a reason other (x) Cause, (y) your death, or (z) your Disability, and such termination does not occur during the Change in Control Period.] 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C-Suite (consisting of President/COO, CFO and GC)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any others as determined by Administrator only: </w:t>
      </w:r>
      <w:r>
        <w:rPr>
          <w:rFonts w:ascii="Times New Roman" w:cs="Times New Roman" w:eastAsia="Times New Roman" w:hAnsi="Times New Roman"/>
          <w:sz w:val="22"/>
          <w:szCs w:val="22"/>
          <w:color w:val="auto"/>
        </w:rPr>
        <w:t>either (a) your Employer terminates your employment for a reason other (x)</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Cause, (y) your death, or (z) your Disability, or (b) you terminate your employment with the Employer as a result of a Good Reason Termination, and in each case, such termination does not occur during the Change in Control Period.</w:t>
      </w:r>
      <w:r>
        <w:rPr>
          <w:rFonts w:ascii="Times New Roman" w:cs="Times New Roman" w:eastAsia="Times New Roman" w:hAnsi="Times New Roman"/>
          <w:sz w:val="22"/>
          <w:szCs w:val="22"/>
          <w:b w:val="1"/>
          <w:bCs w:val="1"/>
          <w:color w:val="auto"/>
        </w:rPr>
        <w:t>]</w:t>
      </w:r>
    </w:p>
    <w:p>
      <w:pPr>
        <w:spacing w:after="0" w:line="18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Further, as described more fully in the Plan, you may become eligible for certain vesting acceleration benefits related to “Grandfathered Awards” under Section 5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17" w:right="339" w:bottom="1440" w:gutter="0" w:footer="0" w:header="0"/>
        </w:sectPr>
      </w:pPr>
    </w:p>
    <w:bookmarkStart w:id="479" w:name="page480"/>
    <w:bookmarkEnd w:id="479"/>
    <w:p>
      <w:pPr>
        <w:ind w:left="640" w:hanging="632"/>
        <w:spacing w:after="0"/>
        <w:tabs>
          <w:tab w:leader="none" w:pos="640" w:val="left"/>
        </w:tabs>
        <w:numPr>
          <w:ilvl w:val="0"/>
          <w:numId w:val="4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Involuntary Termination of Employment Not During the Change in Control Period</w:t>
      </w:r>
      <w:r>
        <w:rPr>
          <w:rFonts w:ascii="Times New Roman" w:cs="Times New Roman" w:eastAsia="Times New Roman" w:hAnsi="Times New Roman"/>
          <w:sz w:val="22"/>
          <w:szCs w:val="22"/>
          <w:i w:val="1"/>
          <w:iCs w:val="1"/>
          <w:color w:val="auto"/>
        </w:rPr>
        <w:t>.</w:t>
      </w:r>
    </w:p>
    <w:p>
      <w:pPr>
        <w:spacing w:after="0" w:line="21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In the event of an Involuntary Termination that occurs under the circumstance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described in Section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Add for C-Suite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and any others as determined by Administrator who have a “Good Reason” trigger outside the CIC context: </w:t>
      </w:r>
      <w:r>
        <w:rPr>
          <w:rFonts w:ascii="Times New Roman" w:cs="Times New Roman" w:eastAsia="Times New Roman" w:hAnsi="Times New Roman"/>
          <w:sz w:val="21"/>
          <w:szCs w:val="21"/>
          <w:color w:val="auto"/>
        </w:rPr>
        <w:t>4.2 of the Plan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subclause (a) or (b) (that is, (a) the Employer terminates your employment for a reason other than (x) Cause, (y) your death, or (z) your Disability and such termination does not occur during the Change in Control Period), or (b) you terminate your employment with the Employer due to a Good Reason Termination and such termination does not occur during the Change in Control Period)</w:t>
      </w:r>
      <w:r>
        <w:rPr>
          <w:rFonts w:ascii="Times New Roman" w:cs="Times New Roman" w:eastAsia="Times New Roman" w:hAnsi="Times New Roman"/>
          <w:sz w:val="21"/>
          <w:szCs w:val="21"/>
          <w:b w:val="1"/>
          <w:bCs w:val="1"/>
          <w:color w:val="auto"/>
        </w:rPr>
        <w:t>]</w:t>
      </w:r>
    </w:p>
    <w:p>
      <w:pPr>
        <w:spacing w:after="0" w:line="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b w:val="1"/>
          <w:bCs w:val="1"/>
          <w:color w:val="auto"/>
        </w:rPr>
        <w:t>OR [</w:t>
      </w:r>
      <w:r>
        <w:rPr>
          <w:rFonts w:ascii="Times New Roman" w:cs="Times New Roman" w:eastAsia="Times New Roman" w:hAnsi="Times New Roman"/>
          <w:sz w:val="22"/>
          <w:szCs w:val="22"/>
          <w:b w:val="1"/>
          <w:bCs w:val="1"/>
          <w:i w:val="1"/>
          <w:iCs w:val="1"/>
          <w:color w:val="auto"/>
        </w:rPr>
        <w:t>Add for VPs and any others as determined by Administrator who do NOT have a “Good Reason” trigger outside the CIC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context: </w:t>
      </w:r>
      <w:r>
        <w:rPr>
          <w:rFonts w:ascii="Times New Roman" w:cs="Times New Roman" w:eastAsia="Times New Roman" w:hAnsi="Times New Roman"/>
          <w:sz w:val="22"/>
          <w:szCs w:val="22"/>
          <w:color w:val="auto"/>
        </w:rPr>
        <w:t>4.2(a) of the Plan (that is, the Employer terminates your employment for a reason other than (x) Cause, (y) your death,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 (z) your Disability and such termination does not occur during the Change in Control Period)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then subject to the terms and conditions of the Plan (including the Severance Release requirement under the Plan), you will receive the following Severance Benefits:</w:t>
      </w:r>
    </w:p>
    <w:p>
      <w:pPr>
        <w:spacing w:after="0" w:line="185" w:lineRule="exact"/>
        <w:rPr>
          <w:sz w:val="20"/>
          <w:szCs w:val="20"/>
          <w:color w:val="auto"/>
        </w:rPr>
      </w:pPr>
    </w:p>
    <w:p>
      <w:pPr>
        <w:jc w:val="both"/>
        <w:ind w:left="660" w:hanging="4"/>
        <w:spacing w:after="0" w:line="259" w:lineRule="auto"/>
        <w:tabs>
          <w:tab w:leader="none" w:pos="1308" w:val="left"/>
        </w:tabs>
        <w:numPr>
          <w:ilvl w:val="1"/>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 Severance Benefits</w:t>
      </w:r>
      <w:r>
        <w:rPr>
          <w:rFonts w:ascii="Times New Roman" w:cs="Times New Roman" w:eastAsia="Times New Roman" w:hAnsi="Times New Roman"/>
          <w:sz w:val="22"/>
          <w:szCs w:val="22"/>
          <w:color w:val="auto"/>
        </w:rPr>
        <w:t>. As described in Section 4.2.1 of the Plan, continuing payments of your Monthly Base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Salary during the Non-CIC Severance Period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to and made a part of this Participation Agreement), payable in accordance with your Employer’s standard payroll procedures; or</w:t>
      </w:r>
    </w:p>
    <w:p>
      <w:pPr>
        <w:spacing w:after="0" w:line="166" w:lineRule="exact"/>
        <w:rPr>
          <w:rFonts w:ascii="Times New Roman" w:cs="Times New Roman" w:eastAsia="Times New Roman" w:hAnsi="Times New Roman"/>
          <w:sz w:val="22"/>
          <w:szCs w:val="22"/>
          <w:color w:val="auto"/>
        </w:rPr>
      </w:pPr>
    </w:p>
    <w:p>
      <w:pPr>
        <w:jc w:val="both"/>
        <w:ind w:left="660" w:hanging="4"/>
        <w:spacing w:after="0" w:line="253" w:lineRule="auto"/>
        <w:tabs>
          <w:tab w:leader="none" w:pos="1308" w:val="left"/>
        </w:tabs>
        <w:numPr>
          <w:ilvl w:val="1"/>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COBRA Benefit</w:t>
      </w:r>
      <w:r>
        <w:rPr>
          <w:rFonts w:ascii="Times New Roman" w:cs="Times New Roman" w:eastAsia="Times New Roman" w:hAnsi="Times New Roman"/>
          <w:sz w:val="22"/>
          <w:szCs w:val="22"/>
          <w:color w:val="auto"/>
        </w:rPr>
        <w:t>. If you and any Family Members have Qualifying Health Coverage (as defined in Section 4.1.2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 and subject to the terms and conditions of Section 4.2.2 of the Plan, COBRA Benefits for the number of months in your Non-CIC Severance Period or until you have secured other employment that provides group health insurance coverage, whichever occurs first.</w:t>
      </w:r>
    </w:p>
    <w:p>
      <w:pPr>
        <w:spacing w:after="0" w:line="175" w:lineRule="exact"/>
        <w:rPr>
          <w:rFonts w:ascii="Times New Roman" w:cs="Times New Roman" w:eastAsia="Times New Roman" w:hAnsi="Times New Roman"/>
          <w:sz w:val="22"/>
          <w:szCs w:val="22"/>
          <w:color w:val="auto"/>
        </w:rPr>
      </w:pPr>
    </w:p>
    <w:p>
      <w:pPr>
        <w:ind w:right="20" w:firstLine="656"/>
        <w:spacing w:after="0" w:line="275" w:lineRule="auto"/>
        <w:tabs>
          <w:tab w:leader="none" w:pos="1296" w:val="left"/>
        </w:tabs>
        <w:numPr>
          <w:ilvl w:val="1"/>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Equity Award Vesting Acceleration Benefit</w:t>
      </w:r>
      <w:r>
        <w:rPr>
          <w:rFonts w:ascii="Times New Roman" w:cs="Times New Roman" w:eastAsia="Times New Roman" w:hAnsi="Times New Roman"/>
          <w:sz w:val="22"/>
          <w:szCs w:val="22"/>
          <w:color w:val="auto"/>
        </w:rPr>
        <w:t>. For the avoidance of doubt, you will not be entitled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 Award vesting acceleration benefit under the Plan.</w:t>
      </w:r>
    </w:p>
    <w:p>
      <w:pPr>
        <w:spacing w:after="0" w:line="14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Involuntary Termination of Employment During the Change in Control Period</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of an Involuntary Termination that occurs under the circumstances described in Section 4.1 of the Plan in</w:t>
      </w:r>
    </w:p>
    <w:p>
      <w:pPr>
        <w:spacing w:after="0" w:line="2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subclause (a) or (b) (that is, (a) the Employer terminates your employment for a reason other than (x) Cause, (y) your death, or (z) your Disability and such termination occurs during the Change in Control Period), or (b) you terminate your employment with the Employer due to a Good Reason Termination and such termination occurs during the Change in Control Period), and as described in Section 4.1.1 of the Plan, then subject to the terms and conditions of the Plan (including the Severance Release requirement under the Plan), you will receive the following Severance Benefits:</w:t>
      </w:r>
    </w:p>
    <w:p>
      <w:pPr>
        <w:spacing w:after="0" w:line="185" w:lineRule="exact"/>
        <w:rPr>
          <w:sz w:val="20"/>
          <w:szCs w:val="20"/>
          <w:color w:val="auto"/>
        </w:rPr>
      </w:pPr>
    </w:p>
    <w:p>
      <w:pPr>
        <w:ind w:left="1300" w:hanging="644"/>
        <w:spacing w:after="0"/>
        <w:tabs>
          <w:tab w:leader="none" w:pos="1300"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 Severance Benefits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660" w:firstLine="648"/>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Continuing payments of your Monthly Base Salary during the CIC Severance Period (as defined in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attached to and made a part of this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23 -</w:t>
      </w:r>
    </w:p>
    <w:p>
      <w:pPr>
        <w:sectPr>
          <w:pgSz w:w="11900" w:h="16838" w:orient="portrait"/>
          <w:cols w:equalWidth="0" w:num="1">
            <w:col w:w="11240"/>
          </w:cols>
          <w:pgMar w:left="320" w:top="1417" w:right="339" w:bottom="1440" w:gutter="0" w:footer="0" w:header="0"/>
        </w:sectPr>
      </w:pPr>
    </w:p>
    <w:bookmarkStart w:id="480" w:name="page481"/>
    <w:bookmarkEnd w:id="480"/>
    <w:p>
      <w:pPr>
        <w:ind w:left="660"/>
        <w:spacing w:after="0"/>
        <w:rPr>
          <w:sz w:val="20"/>
          <w:szCs w:val="20"/>
          <w:color w:val="auto"/>
        </w:rPr>
      </w:pPr>
      <w:r>
        <w:rPr>
          <w:rFonts w:ascii="Times New Roman" w:cs="Times New Roman" w:eastAsia="Times New Roman" w:hAnsi="Times New Roman"/>
          <w:sz w:val="22"/>
          <w:szCs w:val="22"/>
          <w:color w:val="auto"/>
        </w:rPr>
        <w:t>Participation Agreement), payable in accordance with your Employer’s standard payroll procedures; and</w:t>
      </w:r>
    </w:p>
    <w:p>
      <w:pPr>
        <w:spacing w:after="0" w:line="214" w:lineRule="exact"/>
        <w:rPr>
          <w:sz w:val="20"/>
          <w:szCs w:val="20"/>
          <w:color w:val="auto"/>
        </w:rPr>
      </w:pPr>
    </w:p>
    <w:p>
      <w:pPr>
        <w:jc w:val="both"/>
        <w:ind w:left="660" w:firstLine="644"/>
        <w:spacing w:after="0" w:line="260" w:lineRule="auto"/>
        <w:tabs>
          <w:tab w:leader="none" w:pos="1956" w:val="left"/>
        </w:tabs>
        <w:numPr>
          <w:ilvl w:val="2"/>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lump sum cash payment in an aggregate amount equal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Add for C-Suite and any others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determined by Administrator </w:t>
      </w:r>
      <w:r>
        <w:rPr>
          <w:rFonts w:ascii="Times New Roman" w:cs="Times New Roman" w:eastAsia="Times New Roman" w:hAnsi="Times New Roman"/>
          <w:sz w:val="22"/>
          <w:szCs w:val="22"/>
          <w:color w:val="auto"/>
        </w:rPr>
        <w:t>one hundred percent (100%)]</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OR [</w:t>
      </w:r>
      <w:r>
        <w:rPr>
          <w:rFonts w:ascii="Times New Roman" w:cs="Times New Roman" w:eastAsia="Times New Roman" w:hAnsi="Times New Roman"/>
          <w:sz w:val="22"/>
          <w:szCs w:val="22"/>
          <w:b w:val="1"/>
          <w:bCs w:val="1"/>
          <w:i w:val="1"/>
          <w:iCs w:val="1"/>
          <w:color w:val="auto"/>
        </w:rPr>
        <w:t xml:space="preserve">Add for VPs and any others as determined by Administrator </w:t>
      </w:r>
      <w:r>
        <w:rPr>
          <w:rFonts w:ascii="Times New Roman" w:cs="Times New Roman" w:eastAsia="Times New Roman" w:hAnsi="Times New Roman"/>
          <w:sz w:val="22"/>
          <w:szCs w:val="22"/>
          <w:color w:val="auto"/>
        </w:rPr>
        <w:t>seventy-five percent (75%)</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your Target Bonus, will be paid as set forth in the Plan.</w:t>
      </w:r>
    </w:p>
    <w:p>
      <w:pPr>
        <w:spacing w:after="0" w:line="165" w:lineRule="exact"/>
        <w:rPr>
          <w:rFonts w:ascii="Times New Roman" w:cs="Times New Roman" w:eastAsia="Times New Roman" w:hAnsi="Times New Roman"/>
          <w:sz w:val="22"/>
          <w:szCs w:val="22"/>
          <w:color w:val="auto"/>
        </w:rPr>
      </w:pPr>
    </w:p>
    <w:p>
      <w:pPr>
        <w:jc w:val="both"/>
        <w:ind w:left="660" w:hanging="4"/>
        <w:spacing w:after="0" w:line="253" w:lineRule="auto"/>
        <w:tabs>
          <w:tab w:leader="none" w:pos="1308" w:val="left"/>
        </w:tabs>
        <w:numPr>
          <w:ilvl w:val="1"/>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COBRA Benefit</w:t>
      </w:r>
      <w:r>
        <w:rPr>
          <w:rFonts w:ascii="Times New Roman" w:cs="Times New Roman" w:eastAsia="Times New Roman" w:hAnsi="Times New Roman"/>
          <w:sz w:val="22"/>
          <w:szCs w:val="22"/>
          <w:color w:val="auto"/>
        </w:rPr>
        <w:t>. If you and any Family Members have Qualifying Health Coverage (as defined in Section 4.1.2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 and subject to the terms and conditions of Section 4.1.2 of the Plan, COBRA Benefits for the number of months in your CIC Severance Period or until you have secured other employment that provides group health insurance coverage, whichever occurs first.</w:t>
      </w:r>
    </w:p>
    <w:p>
      <w:pPr>
        <w:spacing w:after="0" w:line="175" w:lineRule="exact"/>
        <w:rPr>
          <w:rFonts w:ascii="Times New Roman" w:cs="Times New Roman" w:eastAsia="Times New Roman" w:hAnsi="Times New Roman"/>
          <w:sz w:val="22"/>
          <w:szCs w:val="22"/>
          <w:color w:val="auto"/>
        </w:rPr>
      </w:pPr>
    </w:p>
    <w:p>
      <w:pPr>
        <w:jc w:val="both"/>
        <w:ind w:left="660" w:hanging="4"/>
        <w:spacing w:after="0" w:line="259" w:lineRule="auto"/>
        <w:tabs>
          <w:tab w:leader="none" w:pos="1308" w:val="left"/>
        </w:tabs>
        <w:numPr>
          <w:ilvl w:val="1"/>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Award Vesting Acceleration Benefit</w:t>
      </w:r>
      <w:r>
        <w:rPr>
          <w:rFonts w:ascii="Times New Roman" w:cs="Times New Roman" w:eastAsia="Times New Roman" w:hAnsi="Times New Roman"/>
          <w:sz w:val="22"/>
          <w:szCs w:val="22"/>
          <w:color w:val="auto"/>
        </w:rPr>
        <w:t>. One hundred percent (100%) of your then unvested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Time-based Equity Awards will vest in full and be free of restrictions related to the exercisability or vesting thereof.</w:t>
      </w:r>
    </w:p>
    <w:p>
      <w:pPr>
        <w:spacing w:after="0" w:line="166"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4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Grandfathered Awards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left="660" w:hanging="4"/>
        <w:spacing w:after="0" w:line="248" w:lineRule="auto"/>
        <w:tabs>
          <w:tab w:leader="none" w:pos="1308" w:val="left"/>
        </w:tabs>
        <w:numPr>
          <w:ilvl w:val="1"/>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If, during the time period beginning upon the consummation of a 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ending on the date immediately prior to your Retention Date (as described below), either (a) your Employer terminates your employment for a reason other than (x) Cause, (y) your death, or (z) your Disability, or (b) you terminate your employment with your Employer due to a Good Reason Termination, then, subject to the Severance Release requirement under the Plan, one hundred percent (100%) of your then unvested and outstanding Grandfathered Awards (that do not vest pursuant to Section B, above) will vest in full and be free of restrictions related to the exercisability or vesting thereof; and</w:t>
      </w:r>
    </w:p>
    <w:p>
      <w:pPr>
        <w:spacing w:after="0" w:line="181" w:lineRule="exact"/>
        <w:rPr>
          <w:rFonts w:ascii="Times New Roman" w:cs="Times New Roman" w:eastAsia="Times New Roman" w:hAnsi="Times New Roman"/>
          <w:sz w:val="22"/>
          <w:szCs w:val="22"/>
          <w:color w:val="auto"/>
        </w:rPr>
      </w:pPr>
    </w:p>
    <w:p>
      <w:pPr>
        <w:jc w:val="both"/>
        <w:ind w:left="660" w:hanging="4"/>
        <w:spacing w:after="0" w:line="249" w:lineRule="auto"/>
        <w:tabs>
          <w:tab w:leader="none" w:pos="1308" w:val="left"/>
        </w:tabs>
        <w:numPr>
          <w:ilvl w:val="1"/>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Employment Through 2-year Anniversary of Change in Control</w:t>
      </w:r>
      <w:r>
        <w:rPr>
          <w:rFonts w:ascii="Times New Roman" w:cs="Times New Roman" w:eastAsia="Times New Roman" w:hAnsi="Times New Roman"/>
          <w:sz w:val="22"/>
          <w:szCs w:val="22"/>
          <w:color w:val="auto"/>
        </w:rPr>
        <w:t>. If you remain employed with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Employer or a parent or subsidiary of the Company from the Effective Date through the Retention Date, then subject to the Retention Release becoming effective and irrevocable no later than Retention Release Deadline Date, one hundred percent (100%) of your then unvested and outstanding Grandfathered Awards will vest in full and be free of restrictions related to the exercisability or vesting thereof. For purposes of the Plan and this Participation Agreement, your Retention Date is the two (2) year anniversary of the Change in Control.</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Severance Release Requirement</w:t>
      </w:r>
      <w:r>
        <w:rPr>
          <w:rFonts w:ascii="Times New Roman" w:cs="Times New Roman" w:eastAsia="Times New Roman" w:hAnsi="Times New Roman"/>
          <w:sz w:val="22"/>
          <w:szCs w:val="22"/>
          <w:color w:val="auto"/>
        </w:rPr>
        <w:t>. In order to receive any Severance Benefits for which you otherwise become eligible under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Plan, you must sign and deliver to the Administrator the Severance Release, which must become effective and irrevocable within the requisite period set forth in the Severance Release and is subject to the Severance Release timing requirements specified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1" w:right="339" w:bottom="1440" w:gutter="0" w:footer="0" w:header="0"/>
        </w:sectPr>
      </w:pPr>
    </w:p>
    <w:bookmarkStart w:id="481" w:name="page482"/>
    <w:bookmarkEnd w:id="481"/>
    <w:p>
      <w:pPr>
        <w:jc w:val="both"/>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Golden Parachute Tax Reduction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Also, as explained in the Plan, your Severance Benefits (if any) and Grandfathered Award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Retention Acceleration (if any) will be reduced if necessary to avoid the Severance Benefits and Grandfathered Award Retention Acceleration from becoming subject to “golden parachute” excise taxes under the Internal Revenue Code.</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Please note that your Employer has the right to withhold from any Severance Benefits and any Grandfathered Award Retention Acceleration any applicable U.S. federal, state, local and non-U.S. taxes required to be withheld and any other required payroll deductions.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By your signature below, you agree and acknowledge that any Severance Benefits you receive or may receive under the Plan are subject to the provisions of the “Mitigation” section (Section 12) of the Plan, and you agree to inform the Company promptly in writing if you commence employment or enter into a consulting arrangement with a New Employer (as defined in the Plan) while you are receiving Severance Benefits under the Plan.</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By your signature below, you and the Company agree that your participation in the Plan is governed by this Participation Agreement and the provisions of the Plan. Your signature below confirms that: (1) you have received a copy of the Seer, Inc. Key Executive Change in Control and Severance Plan; (2) you have carefully read this Participation Agreement and the Plan, including, but not limited to, the terms and conditions for participation in, and receipt of any Severance Benefits and any Grandfathered Award Retention Acceleration, under the Plan; and (3) the decisions and determinations by the Administrator under the Plan will be final and binding on you and your successors, and will be given the maximum possible deference permitted by law.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2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SEER, INC.</w:t>
            </w:r>
          </w:p>
        </w:tc>
        <w:tc>
          <w:tcPr>
            <w:tcW w:w="3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[NAME OF ELIGIBLE EMPLOYEE]</w:t>
            </w:r>
          </w:p>
        </w:tc>
      </w:tr>
      <w:tr>
        <w:trPr>
          <w:trHeight w:val="447"/>
        </w:trPr>
        <w:tc>
          <w:tcPr>
            <w:tcW w:w="12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r>
        <w:trPr>
          <w:trHeight w:val="289"/>
        </w:trPr>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Signature</w:t>
            </w:r>
          </w:p>
        </w:tc>
        <w:tc>
          <w:tcPr>
            <w:tcW w:w="3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Signature</w:t>
            </w:r>
          </w:p>
        </w:tc>
      </w:tr>
      <w:tr>
        <w:trPr>
          <w:trHeight w:val="285"/>
        </w:trPr>
        <w:tc>
          <w:tcPr>
            <w:tcW w:w="12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r>
        <w:trPr>
          <w:trHeight w:val="289"/>
        </w:trPr>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w:t>
            </w:r>
          </w:p>
        </w:tc>
      </w:tr>
      <w:tr>
        <w:trPr>
          <w:trHeight w:val="285"/>
        </w:trPr>
        <w:tc>
          <w:tcPr>
            <w:tcW w:w="12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89"/>
        </w:trPr>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500"/>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Attachment:</w:t>
            </w:r>
          </w:p>
        </w:tc>
        <w:tc>
          <w:tcPr>
            <w:tcW w:w="100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Seer, Inc. Key Executive Change in Control and Severance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15" w:right="339" w:bottom="1440" w:gutter="0" w:footer="0" w:header="0"/>
        </w:sectPr>
      </w:pPr>
    </w:p>
    <w:bookmarkStart w:id="482" w:name="page483"/>
    <w:bookmarkEnd w:id="48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b w:val="1"/>
          <w:bCs w:val="1"/>
          <w:color w:val="auto"/>
        </w:rPr>
        <w:t xml:space="preserve"> to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Key Executive Change in Control and Severance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Participation Agreement for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[NAME OF ELIGIBLE EMPLOYEE]</w:t>
      </w:r>
    </w:p>
    <w:p>
      <w:pPr>
        <w:spacing w:after="0" w:line="220" w:lineRule="exact"/>
        <w:rPr>
          <w:sz w:val="20"/>
          <w:szCs w:val="20"/>
          <w:color w:val="auto"/>
        </w:rPr>
      </w:pPr>
    </w:p>
    <w:p>
      <w:pPr>
        <w:ind w:right="20" w:firstLine="8"/>
        <w:spacing w:after="0" w:line="275" w:lineRule="auto"/>
        <w:tabs>
          <w:tab w:leader="none" w:pos="648"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Definition</w:t>
      </w:r>
      <w:r>
        <w:rPr>
          <w:rFonts w:ascii="Times New Roman" w:cs="Times New Roman" w:eastAsia="Times New Roman" w:hAnsi="Times New Roman"/>
          <w:sz w:val="22"/>
          <w:szCs w:val="22"/>
          <w:color w:val="auto"/>
        </w:rPr>
        <w:t>. For the purposes of the Plan and the Participation Agreement,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i w:val="1"/>
          <w:iCs w:val="1"/>
          <w:color w:val="auto"/>
        </w:rPr>
        <w:t>[To be discussed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the Company. Some alternatives included for consideration, but changes may be made as desired:</w:t>
      </w:r>
    </w:p>
    <w:p>
      <w:pPr>
        <w:spacing w:after="0" w:line="149" w:lineRule="exact"/>
        <w:rPr>
          <w:rFonts w:ascii="Times New Roman" w:cs="Times New Roman" w:eastAsia="Times New Roman" w:hAnsi="Times New Roman"/>
          <w:sz w:val="22"/>
          <w:szCs w:val="22"/>
          <w:color w:val="auto"/>
        </w:rPr>
      </w:pPr>
    </w:p>
    <w:p>
      <w:pPr>
        <w:jc w:val="both"/>
        <w:ind w:firstLine="656"/>
        <w:spacing w:after="0" w:line="245" w:lineRule="auto"/>
        <w:tabs>
          <w:tab w:leader="none" w:pos="945" w:val="left"/>
        </w:tabs>
        <w:numPr>
          <w:ilvl w:val="1"/>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your failure to </w:t>
      </w:r>
      <w:r>
        <w:rPr>
          <w:rFonts w:ascii="Times New Roman" w:cs="Times New Roman" w:eastAsia="Times New Roman" w:hAnsi="Times New Roman"/>
          <w:sz w:val="22"/>
          <w:szCs w:val="22"/>
          <w:i w:val="1"/>
          <w:iCs w:val="1"/>
          <w:color w:val="auto"/>
        </w:rPr>
        <w:t>[For C-Suite add:</w:t>
      </w:r>
      <w:r>
        <w:rPr>
          <w:rFonts w:ascii="Times New Roman" w:cs="Times New Roman" w:eastAsia="Times New Roman" w:hAnsi="Times New Roman"/>
          <w:sz w:val="22"/>
          <w:szCs w:val="22"/>
          <w:color w:val="auto"/>
        </w:rPr>
        <w:t xml:space="preserve"> significantly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perform your assigned duties or responsibilities as an employee (other than a failure resulting from your Disability) after written notice thereof from the Company describing your failure to </w:t>
      </w:r>
      <w:r>
        <w:rPr>
          <w:rFonts w:ascii="Times New Roman" w:cs="Times New Roman" w:eastAsia="Times New Roman" w:hAnsi="Times New Roman"/>
          <w:sz w:val="22"/>
          <w:szCs w:val="22"/>
          <w:i w:val="1"/>
          <w:iCs w:val="1"/>
          <w:color w:val="auto"/>
        </w:rPr>
        <w:t xml:space="preserve">[For C-Suite add: </w:t>
      </w:r>
      <w:r>
        <w:rPr>
          <w:rFonts w:ascii="Times New Roman" w:cs="Times New Roman" w:eastAsia="Times New Roman" w:hAnsi="Times New Roman"/>
          <w:sz w:val="22"/>
          <w:szCs w:val="22"/>
          <w:color w:val="auto"/>
        </w:rPr>
        <w:t>significantly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 such duties or responsibilities and provided that such failure has not been cured within</w:t>
      </w:r>
      <w:r>
        <w:rPr>
          <w:rFonts w:ascii="Times New Roman" w:cs="Times New Roman" w:eastAsia="Times New Roman" w:hAnsi="Times New Roman"/>
          <w:sz w:val="22"/>
          <w:szCs w:val="22"/>
          <w:i w:val="1"/>
          <w:iCs w:val="1"/>
          <w:color w:val="auto"/>
        </w:rPr>
        <w:t xml:space="preserve"> [For C-Suite add: </w:t>
      </w:r>
      <w:r>
        <w:rPr>
          <w:rFonts w:ascii="Times New Roman" w:cs="Times New Roman" w:eastAsia="Times New Roman" w:hAnsi="Times New Roman"/>
          <w:sz w:val="22"/>
          <w:szCs w:val="22"/>
          <w:color w:val="auto"/>
        </w:rPr>
        <w:t>thirty (30)</w:t>
      </w:r>
      <w:r>
        <w:rPr>
          <w:rFonts w:ascii="Times New Roman" w:cs="Times New Roman" w:eastAsia="Times New Roman" w:hAnsi="Times New Roman"/>
          <w:sz w:val="22"/>
          <w:szCs w:val="22"/>
          <w:i w:val="1"/>
          <w:iCs w:val="1"/>
          <w:color w:val="auto"/>
        </w:rPr>
        <w:t>] [For VP add</w:t>
      </w:r>
      <w:r>
        <w:rPr>
          <w:rFonts w:ascii="Times New Roman" w:cs="Times New Roman" w:eastAsia="Times New Roman" w:hAnsi="Times New Roman"/>
          <w:sz w:val="22"/>
          <w:szCs w:val="22"/>
          <w:color w:val="auto"/>
        </w:rPr>
        <w:t>: ten (10)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days after the date the Company’s gives such written notice; (b) your engaging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act of dishonesty, fraud or misrepresentation with respect to the Company; (c) your violation of any federal or state law or regulation applicable to the business of the Company or its affiliates; (d) your breach of any confidentiality agreement or invention assignment agreement between you and the Company (or any affiliate of the Company); (e) your </w:t>
      </w:r>
      <w:r>
        <w:rPr>
          <w:rFonts w:ascii="Times New Roman" w:cs="Times New Roman" w:eastAsia="Times New Roman" w:hAnsi="Times New Roman"/>
          <w:sz w:val="22"/>
          <w:szCs w:val="22"/>
          <w:i w:val="1"/>
          <w:iCs w:val="1"/>
          <w:color w:val="auto"/>
        </w:rPr>
        <w:t>[For C-Suite add:</w:t>
      </w:r>
      <w:r>
        <w:rPr>
          <w:rFonts w:ascii="Times New Roman" w:cs="Times New Roman" w:eastAsia="Times New Roman" w:hAnsi="Times New Roman"/>
          <w:sz w:val="22"/>
          <w:szCs w:val="22"/>
          <w:color w:val="auto"/>
        </w:rPr>
        <w:t xml:space="preserve"> material</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breach of your employment agreement with the Company or any other agreement between you and the Company </w:t>
      </w:r>
      <w:r>
        <w:rPr>
          <w:rFonts w:ascii="Times New Roman" w:cs="Times New Roman" w:eastAsia="Times New Roman" w:hAnsi="Times New Roman"/>
          <w:sz w:val="22"/>
          <w:szCs w:val="22"/>
          <w:i w:val="1"/>
          <w:iCs w:val="1"/>
          <w:color w:val="auto"/>
        </w:rPr>
        <w:t>[For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C-Suite add: </w:t>
      </w:r>
      <w:r>
        <w:rPr>
          <w:rFonts w:ascii="Times New Roman" w:cs="Times New Roman" w:eastAsia="Times New Roman" w:hAnsi="Times New Roman"/>
          <w:sz w:val="22"/>
          <w:szCs w:val="22"/>
          <w:color w:val="auto"/>
        </w:rPr>
        <w:t>and failure to cure such breach (if capable of cure) within ten (10) days after the Company gives written notice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you regarding such breach</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(f) your being convicted of, or entering a plea of guilty or nolo contendere to, any </w:t>
      </w:r>
      <w:r>
        <w:rPr>
          <w:rFonts w:ascii="Times New Roman" w:cs="Times New Roman" w:eastAsia="Times New Roman" w:hAnsi="Times New Roman"/>
          <w:sz w:val="22"/>
          <w:szCs w:val="22"/>
          <w:i w:val="1"/>
          <w:iCs w:val="1"/>
          <w:color w:val="auto"/>
        </w:rPr>
        <w:t>[For C-Suite add:</w:t>
      </w:r>
      <w:r>
        <w:rPr>
          <w:rFonts w:ascii="Times New Roman" w:cs="Times New Roman" w:eastAsia="Times New Roman" w:hAnsi="Times New Roman"/>
          <w:sz w:val="22"/>
          <w:szCs w:val="22"/>
          <w:color w:val="auto"/>
        </w:rPr>
        <w:t xml:space="preserve"> felony or crime of moral turpitude</w:t>
      </w:r>
      <w:r>
        <w:rPr>
          <w:rFonts w:ascii="Times New Roman" w:cs="Times New Roman" w:eastAsia="Times New Roman" w:hAnsi="Times New Roman"/>
          <w:sz w:val="22"/>
          <w:szCs w:val="22"/>
          <w:i w:val="1"/>
          <w:iCs w:val="1"/>
          <w:color w:val="auto"/>
        </w:rPr>
        <w:t>] [For VP add</w:t>
      </w:r>
      <w:r>
        <w:rPr>
          <w:rFonts w:ascii="Times New Roman" w:cs="Times New Roman" w:eastAsia="Times New Roman" w:hAnsi="Times New Roman"/>
          <w:sz w:val="22"/>
          <w:szCs w:val="22"/>
          <w:color w:val="auto"/>
        </w:rPr>
        <w:t xml:space="preserve">: crime]; or (g) your willful misconduct which </w:t>
      </w:r>
      <w:r>
        <w:rPr>
          <w:rFonts w:ascii="Times New Roman" w:cs="Times New Roman" w:eastAsia="Times New Roman" w:hAnsi="Times New Roman"/>
          <w:sz w:val="22"/>
          <w:szCs w:val="22"/>
          <w:i w:val="1"/>
          <w:iCs w:val="1"/>
          <w:color w:val="auto"/>
        </w:rPr>
        <w:t>[For C-Suite add:</w:t>
      </w:r>
      <w:r>
        <w:rPr>
          <w:rFonts w:ascii="Times New Roman" w:cs="Times New Roman" w:eastAsia="Times New Roman" w:hAnsi="Times New Roman"/>
          <w:sz w:val="22"/>
          <w:szCs w:val="22"/>
          <w:color w:val="auto"/>
        </w:rPr>
        <w:t xml:space="preserve"> significantly and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adversely reflects upon the business, operations, or reputation of the Company, which misconduct has not been cured (or cannot be cured) within ten (10) days after the Company gives written notice to you regarding such misconduct. For purposes of clarity, the termination of your employment due to death or Disability is not, by itself, deemed to be a termination by the Company other than for Cause.</w:t>
      </w:r>
    </w:p>
    <w:p>
      <w:pPr>
        <w:spacing w:after="0" w:line="189" w:lineRule="exact"/>
        <w:rPr>
          <w:rFonts w:ascii="Times New Roman" w:cs="Times New Roman" w:eastAsia="Times New Roman" w:hAnsi="Times New Roman"/>
          <w:sz w:val="22"/>
          <w:szCs w:val="22"/>
          <w:color w:val="auto"/>
        </w:rPr>
      </w:pPr>
    </w:p>
    <w:p>
      <w:pPr>
        <w:jc w:val="both"/>
        <w:ind w:firstLine="8"/>
        <w:spacing w:after="0" w:line="251" w:lineRule="auto"/>
        <w:tabs>
          <w:tab w:leader="none" w:pos="715"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CIC Severance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Definition</w:t>
      </w:r>
      <w:r>
        <w:rPr>
          <w:rFonts w:ascii="Times New Roman" w:cs="Times New Roman" w:eastAsia="Times New Roman" w:hAnsi="Times New Roman"/>
          <w:sz w:val="22"/>
          <w:szCs w:val="22"/>
          <w:color w:val="auto"/>
        </w:rPr>
        <w:t>. For the purposes of the Plan and this Participation Agreement, “</w:t>
      </w:r>
      <w:r>
        <w:rPr>
          <w:rFonts w:ascii="Times New Roman" w:cs="Times New Roman" w:eastAsia="Times New Roman" w:hAnsi="Times New Roman"/>
          <w:sz w:val="22"/>
          <w:szCs w:val="22"/>
          <w:b w:val="1"/>
          <w:bCs w:val="1"/>
          <w:color w:val="auto"/>
        </w:rPr>
        <w:t>CIC Severance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Period</w:t>
      </w:r>
      <w:r>
        <w:rPr>
          <w:rFonts w:ascii="Times New Roman" w:cs="Times New Roman" w:eastAsia="Times New Roman" w:hAnsi="Times New Roman"/>
          <w:sz w:val="22"/>
          <w:szCs w:val="22"/>
          <w:color w:val="auto"/>
        </w:rPr>
        <w:t>” means the period of time commencing immediately after the termination of your employment with the Employer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through the date that is </w:t>
      </w:r>
      <w:r>
        <w:rPr>
          <w:rFonts w:ascii="Times New Roman" w:cs="Times New Roman" w:eastAsia="Times New Roman" w:hAnsi="Times New Roman"/>
          <w:sz w:val="22"/>
          <w:szCs w:val="22"/>
          <w:b w:val="1"/>
          <w:bCs w:val="1"/>
          <w:i w:val="1"/>
          <w:iCs w:val="1"/>
          <w:color w:val="auto"/>
        </w:rPr>
        <w:t>[Add C-Suite and any others as determined by Administrator:</w:t>
      </w:r>
      <w:r>
        <w:rPr>
          <w:rFonts w:ascii="Times New Roman" w:cs="Times New Roman" w:eastAsia="Times New Roman" w:hAnsi="Times New Roman"/>
          <w:sz w:val="22"/>
          <w:szCs w:val="22"/>
          <w:color w:val="auto"/>
        </w:rPr>
        <w:t xml:space="preserve"> twelve (12) months following such termination date.] </w:t>
      </w:r>
      <w:r>
        <w:rPr>
          <w:rFonts w:ascii="Times New Roman" w:cs="Times New Roman" w:eastAsia="Times New Roman" w:hAnsi="Times New Roman"/>
          <w:sz w:val="22"/>
          <w:szCs w:val="22"/>
          <w:b w:val="1"/>
          <w:bCs w:val="1"/>
          <w:i w:val="1"/>
          <w:iCs w:val="1"/>
          <w:color w:val="auto"/>
        </w:rPr>
        <w:t>[Add for VPs and any others as determined by Administrator:</w:t>
      </w:r>
      <w:r>
        <w:rPr>
          <w:rFonts w:ascii="Times New Roman" w:cs="Times New Roman" w:eastAsia="Times New Roman" w:hAnsi="Times New Roman"/>
          <w:sz w:val="22"/>
          <w:szCs w:val="22"/>
          <w:color w:val="auto"/>
        </w:rPr>
        <w:t xml:space="preserve"> nine (9) months following such termination date.]</w:t>
      </w:r>
    </w:p>
    <w:p>
      <w:pPr>
        <w:spacing w:after="0" w:line="175" w:lineRule="exact"/>
        <w:rPr>
          <w:rFonts w:ascii="Times New Roman" w:cs="Times New Roman" w:eastAsia="Times New Roman" w:hAnsi="Times New Roman"/>
          <w:sz w:val="22"/>
          <w:szCs w:val="22"/>
          <w:color w:val="auto"/>
        </w:rPr>
      </w:pPr>
    </w:p>
    <w:p>
      <w:pPr>
        <w:jc w:val="both"/>
        <w:ind w:firstLine="8"/>
        <w:spacing w:after="0" w:line="249" w:lineRule="auto"/>
        <w:tabs>
          <w:tab w:leader="none" w:pos="648"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 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Definition</w:t>
      </w:r>
      <w:r>
        <w:rPr>
          <w:rFonts w:ascii="Times New Roman" w:cs="Times New Roman" w:eastAsia="Times New Roman" w:hAnsi="Times New Roman"/>
          <w:sz w:val="22"/>
          <w:szCs w:val="22"/>
          <w:color w:val="auto"/>
        </w:rPr>
        <w:t>. For the purposes of the Plan and the Participation Agreement,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means: your voluntary termination of your employment with the Company after one or more of the following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undertaken (through a single action or series of actions) without your written consent: (a) a material reduction by the Company in your then-current annual base salary as compared to your base salary in effect immediately prior to such reduction; or (b) a material change in the geographic location of your primary work facility or location; provided, that a relocation of fifty (50) miles or less from your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7"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26 -</w:t>
      </w:r>
    </w:p>
    <w:p>
      <w:pPr>
        <w:sectPr>
          <w:pgSz w:w="11900" w:h="16838" w:orient="portrait"/>
          <w:cols w:equalWidth="0" w:num="1">
            <w:col w:w="11240"/>
          </w:cols>
          <w:pgMar w:left="320" w:top="1417" w:right="339" w:bottom="1440" w:gutter="0" w:footer="0" w:header="0"/>
        </w:sectPr>
      </w:pPr>
    </w:p>
    <w:bookmarkStart w:id="483" w:name="page484"/>
    <w:bookmarkEnd w:id="483"/>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then present location or to your home as your primary work location will not be considered a material change in geographic location </w:t>
      </w:r>
      <w:r>
        <w:rPr>
          <w:rFonts w:ascii="Times New Roman" w:cs="Times New Roman" w:eastAsia="Times New Roman" w:hAnsi="Times New Roman"/>
          <w:sz w:val="22"/>
          <w:szCs w:val="22"/>
          <w:i w:val="1"/>
          <w:iCs w:val="1"/>
          <w:color w:val="auto"/>
        </w:rPr>
        <w:t>[for President/COO, CFO and GC only, add:</w:t>
      </w:r>
      <w:r>
        <w:rPr>
          <w:rFonts w:ascii="Times New Roman" w:cs="Times New Roman" w:eastAsia="Times New Roman" w:hAnsi="Times New Roman"/>
          <w:sz w:val="22"/>
          <w:szCs w:val="22"/>
          <w:color w:val="auto"/>
        </w:rPr>
        <w:t xml:space="preserve"> ; or (c) a material reduction of your authority, duties or responsibilities, unless you are provided with a comparable position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To the extent your primary work facility or location is not the Company’s corporate offices or facilities due to a shelter-in-place order, quarantine order, or similar work-from-home requirement that applies to you, your primary work location, from which a change in location under the foregoing clause (b) will be measured, will be considered the Company’s office or facility location where your employment with the Company primarily was based immediately prior to the commencement of such shelter-in-place order, quarantine order, or similar work-from-home requirement. An event or action will not give you grounds to terminate your employment as a Good Reason Termination unless (i) you give the Company written notice within sixty (60) days after you know or should know of the initial existence of such event or action, (ii) such event or action is not reversed, remedied or cured, as the case may be, by the Company as soon as possible but in no event later than thirty (30) days of receiving such written notice from you (the “</w:t>
      </w:r>
      <w:r>
        <w:rPr>
          <w:rFonts w:ascii="Times New Roman" w:cs="Times New Roman" w:eastAsia="Times New Roman" w:hAnsi="Times New Roman"/>
          <w:sz w:val="22"/>
          <w:szCs w:val="22"/>
          <w:b w:val="1"/>
          <w:bCs w:val="1"/>
          <w:color w:val="auto"/>
        </w:rPr>
        <w:t>Cure Period</w:t>
      </w:r>
      <w:r>
        <w:rPr>
          <w:rFonts w:ascii="Times New Roman" w:cs="Times New Roman" w:eastAsia="Times New Roman" w:hAnsi="Times New Roman"/>
          <w:sz w:val="22"/>
          <w:szCs w:val="22"/>
          <w:color w:val="auto"/>
        </w:rPr>
        <w:t>”), and (iii) you terminate your employment within sixty (60) days following the end of the Cure Period.</w:t>
      </w:r>
    </w:p>
    <w:p>
      <w:pPr>
        <w:spacing w:after="0" w:line="191" w:lineRule="exact"/>
        <w:rPr>
          <w:sz w:val="20"/>
          <w:szCs w:val="20"/>
          <w:color w:val="auto"/>
        </w:rPr>
      </w:pPr>
    </w:p>
    <w:p>
      <w:pPr>
        <w:jc w:val="both"/>
        <w:ind w:firstLine="8"/>
        <w:spacing w:after="0" w:line="249" w:lineRule="auto"/>
        <w:tabs>
          <w:tab w:leader="none" w:pos="648"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Non-CIC Severance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Definition</w:t>
      </w:r>
      <w:r>
        <w:rPr>
          <w:rFonts w:ascii="Times New Roman" w:cs="Times New Roman" w:eastAsia="Times New Roman" w:hAnsi="Times New Roman"/>
          <w:sz w:val="22"/>
          <w:szCs w:val="22"/>
          <w:color w:val="auto"/>
        </w:rPr>
        <w:t>. For the purposes of the Plan and this Participation Agreement, “</w:t>
      </w:r>
      <w:r>
        <w:rPr>
          <w:rFonts w:ascii="Times New Roman" w:cs="Times New Roman" w:eastAsia="Times New Roman" w:hAnsi="Times New Roman"/>
          <w:sz w:val="22"/>
          <w:szCs w:val="22"/>
          <w:b w:val="1"/>
          <w:bCs w:val="1"/>
          <w:color w:val="auto"/>
        </w:rPr>
        <w:t>Non-CIC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Severance Period</w:t>
      </w:r>
      <w:r>
        <w:rPr>
          <w:rFonts w:ascii="Times New Roman" w:cs="Times New Roman" w:eastAsia="Times New Roman" w:hAnsi="Times New Roman"/>
          <w:sz w:val="22"/>
          <w:szCs w:val="22"/>
          <w:color w:val="auto"/>
        </w:rPr>
        <w:t>” means the period of time commencing immediately after the termination of your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Employer through the date that is </w:t>
      </w:r>
      <w:r>
        <w:rPr>
          <w:rFonts w:ascii="Times New Roman" w:cs="Times New Roman" w:eastAsia="Times New Roman" w:hAnsi="Times New Roman"/>
          <w:sz w:val="22"/>
          <w:szCs w:val="22"/>
          <w:b w:val="1"/>
          <w:bCs w:val="1"/>
          <w:i w:val="1"/>
          <w:iCs w:val="1"/>
          <w:color w:val="auto"/>
        </w:rPr>
        <w:t>[Add C-Suite and any others as determined by Administrator:</w:t>
      </w:r>
      <w:r>
        <w:rPr>
          <w:rFonts w:ascii="Times New Roman" w:cs="Times New Roman" w:eastAsia="Times New Roman" w:hAnsi="Times New Roman"/>
          <w:sz w:val="22"/>
          <w:szCs w:val="22"/>
          <w:color w:val="auto"/>
        </w:rPr>
        <w:t xml:space="preserve"> nine (9) months following such termination date.] </w:t>
      </w:r>
      <w:r>
        <w:rPr>
          <w:rFonts w:ascii="Times New Roman" w:cs="Times New Roman" w:eastAsia="Times New Roman" w:hAnsi="Times New Roman"/>
          <w:sz w:val="22"/>
          <w:szCs w:val="22"/>
          <w:b w:val="1"/>
          <w:bCs w:val="1"/>
          <w:i w:val="1"/>
          <w:iCs w:val="1"/>
          <w:color w:val="auto"/>
        </w:rPr>
        <w:t>[Add for VPs and any others as determined by Administrator:</w:t>
      </w:r>
      <w:r>
        <w:rPr>
          <w:rFonts w:ascii="Times New Roman" w:cs="Times New Roman" w:eastAsia="Times New Roman" w:hAnsi="Times New Roman"/>
          <w:sz w:val="22"/>
          <w:szCs w:val="22"/>
          <w:color w:val="auto"/>
        </w:rPr>
        <w:t xml:space="preserve"> three (3) months plus an additional one (1) month for every fully completed Year of Service in excess of three (3) Years of Service; provided, however, that in all cases, the Severance Period will end no later than six (6) months following your termination date.]</w:t>
      </w:r>
    </w:p>
    <w:p>
      <w:pPr>
        <w:spacing w:after="0" w:line="178" w:lineRule="exact"/>
        <w:rPr>
          <w:rFonts w:ascii="Times New Roman" w:cs="Times New Roman" w:eastAsia="Times New Roman" w:hAnsi="Times New Roman"/>
          <w:sz w:val="22"/>
          <w:szCs w:val="22"/>
          <w:color w:val="auto"/>
        </w:rPr>
      </w:pPr>
    </w:p>
    <w:p>
      <w:pPr>
        <w:jc w:val="both"/>
        <w:ind w:firstLine="8"/>
        <w:spacing w:after="0" w:line="251" w:lineRule="auto"/>
        <w:tabs>
          <w:tab w:leader="none" w:pos="648"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[Add for VPs and any others as determined by Administrator: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Year of Service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Definition</w:t>
      </w:r>
      <w:r>
        <w:rPr>
          <w:rFonts w:ascii="Times New Roman" w:cs="Times New Roman" w:eastAsia="Times New Roman" w:hAnsi="Times New Roman"/>
          <w:sz w:val="22"/>
          <w:szCs w:val="22"/>
          <w:color w:val="auto"/>
        </w:rPr>
        <w:t>. For the purposes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Plan and this Participation Agreement “</w:t>
      </w:r>
      <w:r>
        <w:rPr>
          <w:rFonts w:ascii="Times New Roman" w:cs="Times New Roman" w:eastAsia="Times New Roman" w:hAnsi="Times New Roman"/>
          <w:sz w:val="22"/>
          <w:szCs w:val="22"/>
          <w:b w:val="1"/>
          <w:bCs w:val="1"/>
          <w:color w:val="auto"/>
        </w:rPr>
        <w:t>Year of Service</w:t>
      </w:r>
      <w:r>
        <w:rPr>
          <w:rFonts w:ascii="Times New Roman" w:cs="Times New Roman" w:eastAsia="Times New Roman" w:hAnsi="Times New Roman"/>
          <w:sz w:val="22"/>
          <w:szCs w:val="22"/>
          <w:color w:val="auto"/>
        </w:rPr>
        <w:t>” means the twelve (12)-month period measured from your initial start date with the Company or any Employer, provided, however, if you previously left employment with the Company and all Employers and returned to employment with the Company or an Employer, this will be measured from your most recent employment return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4"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27 -</w:t>
      </w:r>
    </w:p>
    <w:p>
      <w:pPr>
        <w:sectPr>
          <w:pgSz w:w="11900" w:h="16838" w:orient="portrait"/>
          <w:cols w:equalWidth="0" w:num="1">
            <w:col w:w="11240"/>
          </w:cols>
          <w:pgMar w:left="320" w:top="1421" w:right="339" w:bottom="1440" w:gutter="0" w:footer="0" w:header="0"/>
        </w:sectPr>
      </w:pPr>
    </w:p>
    <w:bookmarkStart w:id="484" w:name="page485"/>
    <w:bookmarkEnd w:id="48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30, 2020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Omid Farokhzad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Via email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Confirmatory Employment Letter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Omid:</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This confirmatory employment letter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entered into between Omid Farokhzad (“you”) and Seer, Inc. (the “Company” or “we”), effective as of the day immediately prior to the Registration Date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to confirm the terms and conditions of your employment with the Company as of the Effective Date. “</w:t>
      </w:r>
      <w:r>
        <w:rPr>
          <w:rFonts w:ascii="Times New Roman" w:cs="Times New Roman" w:eastAsia="Times New Roman" w:hAnsi="Times New Roman"/>
          <w:sz w:val="21"/>
          <w:szCs w:val="21"/>
          <w:b w:val="1"/>
          <w:bCs w:val="1"/>
          <w:color w:val="auto"/>
        </w:rPr>
        <w:t>Registration Date</w:t>
      </w:r>
      <w:r>
        <w:rPr>
          <w:rFonts w:ascii="Times New Roman" w:cs="Times New Roman" w:eastAsia="Times New Roman" w:hAnsi="Times New Roman"/>
          <w:sz w:val="21"/>
          <w:szCs w:val="21"/>
          <w:color w:val="auto"/>
        </w:rPr>
        <w:t>” means the effective date of the first registration statement that is filed by the Company and declared effective pursuant to Section 12(b) of the U.S. Securities Exchange Act of 1934, as amended, with respect to any class of the Company’s securities.</w:t>
      </w:r>
    </w:p>
    <w:p>
      <w:pPr>
        <w:spacing w:after="0" w:line="160" w:lineRule="exact"/>
        <w:rPr>
          <w:sz w:val="20"/>
          <w:szCs w:val="20"/>
          <w:color w:val="auto"/>
        </w:rPr>
      </w:pPr>
    </w:p>
    <w:p>
      <w:pPr>
        <w:jc w:val="both"/>
        <w:ind w:firstLine="656"/>
        <w:spacing w:after="0" w:line="262" w:lineRule="auto"/>
        <w:tabs>
          <w:tab w:leader="none" w:pos="1296" w:val="left"/>
        </w:tabs>
        <w:numPr>
          <w:ilvl w:val="0"/>
          <w:numId w:val="4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Title; Position; Location</w:t>
      </w:r>
      <w:r>
        <w:rPr>
          <w:rFonts w:ascii="Times New Roman" w:cs="Times New Roman" w:eastAsia="Times New Roman" w:hAnsi="Times New Roman"/>
          <w:sz w:val="21"/>
          <w:szCs w:val="21"/>
          <w:color w:val="auto"/>
        </w:rPr>
        <w:t>. You will continue to serve as the Company’s Chief Executive Officer (“</w:t>
      </w:r>
      <w:r>
        <w:rPr>
          <w:rFonts w:ascii="Times New Roman" w:cs="Times New Roman" w:eastAsia="Times New Roman" w:hAnsi="Times New Roman"/>
          <w:sz w:val="21"/>
          <w:szCs w:val="21"/>
          <w:b w:val="1"/>
          <w:bCs w:val="1"/>
          <w:color w:val="auto"/>
        </w:rPr>
        <w:t>CEO</w:t>
      </w:r>
      <w:r>
        <w:rPr>
          <w:rFonts w:ascii="Times New Roman" w:cs="Times New Roman" w:eastAsia="Times New Roman" w:hAnsi="Times New Roman"/>
          <w:sz w:val="21"/>
          <w:szCs w:val="21"/>
          <w:color w:val="auto"/>
        </w:rPr>
        <w:t>”). While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remain CEO, you may elect to hold the title of President in addition to your CEO title. You also will continue to report to the Company’s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and will perform the duties and responsibilities customary for such position and such other related duties as are reasonably assigned by the Board. You will perform your duties from the Company’s corporate offices located in Redwood City, California (with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66" w:lineRule="exact"/>
        <w:rPr>
          <w:rFonts w:ascii="Times New Roman" w:cs="Times New Roman" w:eastAsia="Times New Roman" w:hAnsi="Times New Roman"/>
          <w:sz w:val="21"/>
          <w:szCs w:val="21"/>
          <w:color w:val="auto"/>
        </w:rPr>
      </w:pPr>
    </w:p>
    <w:p>
      <w:pPr>
        <w:jc w:val="both"/>
        <w:ind w:firstLine="656"/>
        <w:spacing w:after="0" w:line="253" w:lineRule="auto"/>
        <w:tabs>
          <w:tab w:leader="none" w:pos="1296"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Our Board has approved that, provided you remain employed through the Effective Date,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base salary (“</w:t>
      </w: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will be increased to $510,000 as of the Effective Date. Your Salary will be payable, less any applicable withholdings, in accordance with the Company’s normal payroll practices. Your annual base salary will be subject to review and adjustment from time to time by our Board or the Committee as applicable, in its sole discretion.</w:t>
      </w:r>
    </w:p>
    <w:p>
      <w:pPr>
        <w:spacing w:after="0" w:line="175"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For the 2020 and 2021 calendar years, you will be eligible for a target annual cash bonus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equal to sixty-five percent (65%)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our Board or the Committee, as applicable, in its sole discretion, and no amount of any annual bonus is guaranteed. In addition, the Board or the Committee, as applicable and in its sole discretion, may approve that the Company grant additional discretionary bonus amounts to you.</w:t>
      </w:r>
    </w:p>
    <w:p>
      <w:pPr>
        <w:sectPr>
          <w:pgSz w:w="11900" w:h="16838" w:orient="portrait"/>
          <w:cols w:equalWidth="0" w:num="1">
            <w:col w:w="11240"/>
          </w:cols>
          <w:pgMar w:left="320" w:top="117" w:right="339" w:bottom="1440" w:gutter="0" w:footer="0" w:header="0"/>
        </w:sectPr>
      </w:pPr>
    </w:p>
    <w:bookmarkStart w:id="485" w:name="page486"/>
    <w:bookmarkEnd w:id="485"/>
    <w:p>
      <w:pPr>
        <w:jc w:val="both"/>
        <w:ind w:firstLine="656"/>
        <w:spacing w:after="0" w:line="253" w:lineRule="auto"/>
        <w:tabs>
          <w:tab w:leader="none" w:pos="1296" w:val="left"/>
        </w:tabs>
        <w:numPr>
          <w:ilvl w:val="1"/>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Awards</w:t>
      </w:r>
      <w:r>
        <w:rPr>
          <w:rFonts w:ascii="Times New Roman" w:cs="Times New Roman" w:eastAsia="Times New Roman" w:hAnsi="Times New Roman"/>
          <w:sz w:val="22"/>
          <w:szCs w:val="22"/>
          <w:color w:val="auto"/>
        </w:rPr>
        <w:t>. You will be eligible to receive awards of stock options or other equity awards pursuant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plans 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pacing w:after="0" w:line="175" w:lineRule="exact"/>
        <w:rPr>
          <w:rFonts w:ascii="Times New Roman" w:cs="Times New Roman" w:eastAsia="Times New Roman" w:hAnsi="Times New Roman"/>
          <w:sz w:val="22"/>
          <w:szCs w:val="22"/>
          <w:color w:val="auto"/>
        </w:rPr>
      </w:pPr>
    </w:p>
    <w:p>
      <w:pPr>
        <w:jc w:val="both"/>
        <w:ind w:firstLine="656"/>
        <w:spacing w:after="0" w:line="258" w:lineRule="auto"/>
        <w:tabs>
          <w:tab w:leader="none" w:pos="1296" w:val="left"/>
        </w:tabs>
        <w:numPr>
          <w:ilvl w:val="1"/>
          <w:numId w:val="4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Employee Benefits</w:t>
      </w:r>
      <w:r>
        <w:rPr>
          <w:rFonts w:ascii="Times New Roman" w:cs="Times New Roman" w:eastAsia="Times New Roman" w:hAnsi="Times New Roman"/>
          <w:sz w:val="21"/>
          <w:szCs w:val="21"/>
          <w:color w:val="auto"/>
        </w:rPr>
        <w:t>. You will continue to be eligible to participate in the benefit plans and programs established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the Company for its employees from time to time, subject to their applicable terms and conditions, including without limitation any eligibility requirements. The Company will reimburse you for reasonable travel and lodging expenses incurred by you for your travel between your primary residence in Massachusetts and your primary work location in Redwood City, California. For purposes of the immediately preceding sentence, flights expenses of up to $6,250 per month and lodging expenses of up to $4,750 per month will be presumed to be reasonable, provided that the Company may provide reimbursement to you for additional amounts, in its sole discretion. With respect to such reimbursements, the Company will provide additional payments in the amount necessary to pay federal, state and local income and employment taxes with respect to (x) such reimbursements and</w:t>
      </w:r>
    </w:p>
    <w:p>
      <w:pPr>
        <w:spacing w:after="0" w:line="3" w:lineRule="exact"/>
        <w:rPr>
          <w:rFonts w:ascii="Times New Roman" w:cs="Times New Roman" w:eastAsia="Times New Roman" w:hAnsi="Times New Roman"/>
          <w:sz w:val="21"/>
          <w:szCs w:val="21"/>
          <w:color w:val="auto"/>
        </w:rPr>
      </w:pPr>
    </w:p>
    <w:p>
      <w:pPr>
        <w:jc w:val="both"/>
        <w:ind w:firstLine="8"/>
        <w:spacing w:after="0" w:line="257" w:lineRule="auto"/>
        <w:tabs>
          <w:tab w:leader="none" w:pos="309" w:val="left"/>
        </w:tabs>
        <w:numPr>
          <w:ilvl w:val="0"/>
          <w:numId w:val="4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additional payments (the “</w:t>
      </w:r>
      <w:r>
        <w:rPr>
          <w:rFonts w:ascii="Times New Roman" w:cs="Times New Roman" w:eastAsia="Times New Roman" w:hAnsi="Times New Roman"/>
          <w:sz w:val="21"/>
          <w:szCs w:val="21"/>
          <w:b w:val="1"/>
          <w:bCs w:val="1"/>
          <w:color w:val="auto"/>
        </w:rPr>
        <w:t>Tax Neutrality Payments</w:t>
      </w:r>
      <w:r>
        <w:rPr>
          <w:rFonts w:ascii="Times New Roman" w:cs="Times New Roman" w:eastAsia="Times New Roman" w:hAnsi="Times New Roman"/>
          <w:sz w:val="21"/>
          <w:szCs w:val="21"/>
          <w:color w:val="auto"/>
        </w:rPr>
        <w:t>”). Any Tax Neutrality Payment will be calculated by the Company based on the highest marginal rates actually in effect for you with respect to such reimbursements and additional payments. The Company, in its sole discretion, will determine the amount of any Tax Neutrality Payment, based on the foregoing and following consultation with you.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73" w:lineRule="exact"/>
        <w:rPr>
          <w:rFonts w:ascii="Times New Roman" w:cs="Times New Roman" w:eastAsia="Times New Roman" w:hAnsi="Times New Roman"/>
          <w:sz w:val="21"/>
          <w:szCs w:val="21"/>
          <w:color w:val="auto"/>
        </w:rPr>
      </w:pPr>
    </w:p>
    <w:p>
      <w:pPr>
        <w:jc w:val="both"/>
        <w:ind w:firstLine="656"/>
        <w:spacing w:after="0" w:line="251" w:lineRule="auto"/>
        <w:tabs>
          <w:tab w:leader="none" w:pos="1296" w:val="left"/>
        </w:tabs>
        <w:numPr>
          <w:ilvl w:val="1"/>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Severance</w:t>
      </w:r>
      <w:r>
        <w:rPr>
          <w:rFonts w:ascii="Times New Roman" w:cs="Times New Roman" w:eastAsia="Times New Roman" w:hAnsi="Times New Roman"/>
          <w:sz w:val="22"/>
          <w:szCs w:val="22"/>
          <w:color w:val="auto"/>
        </w:rPr>
        <w:t>. You will be eligible to enter into a Change in Control and Severance Agreement in substantially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form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Severance Agreement</w:t>
      </w:r>
      <w:r>
        <w:rPr>
          <w:rFonts w:ascii="Times New Roman" w:cs="Times New Roman" w:eastAsia="Times New Roman" w:hAnsi="Times New Roman"/>
          <w:sz w:val="22"/>
          <w:szCs w:val="22"/>
          <w:color w:val="auto"/>
        </w:rPr>
        <w:t>”). The Severance Agreement will specify the severance payments and benefits you may become entitled to receive in connection with certain qualifying terminations of your employment with the Company and/or a change in control of the Company, as described in further detail in the Severance Agreement.</w:t>
      </w:r>
    </w:p>
    <w:p>
      <w:pPr>
        <w:spacing w:after="0" w:line="175"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1"/>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As an employee of the Company, you will continue to have access to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 information of the Company and, during the course of your employment, you may develop certain information or inventions that will be the property of the Company. To protect the interests of the Company, your acceptance of this Agreement confirms that the terms of the At-Will Employment, Confidential Information, Invention Assignment and Arbitration Agreement between you and the Company dated February 4, 2020 (the “</w:t>
      </w:r>
      <w:r>
        <w:rPr>
          <w:rFonts w:ascii="Times New Roman" w:cs="Times New Roman" w:eastAsia="Times New Roman" w:hAnsi="Times New Roman"/>
          <w:sz w:val="22"/>
          <w:szCs w:val="22"/>
          <w:b w:val="1"/>
          <w:bCs w:val="1"/>
          <w:color w:val="auto"/>
        </w:rPr>
        <w:t>Proprietary Agreement</w:t>
      </w:r>
      <w:r>
        <w:rPr>
          <w:rFonts w:ascii="Times New Roman" w:cs="Times New Roman" w:eastAsia="Times New Roman" w:hAnsi="Times New Roman"/>
          <w:sz w:val="22"/>
          <w:szCs w:val="22"/>
          <w:color w:val="auto"/>
        </w:rPr>
        <w:t>”) still apply.</w:t>
      </w:r>
    </w:p>
    <w:p>
      <w:pPr>
        <w:spacing w:after="0" w:line="175"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1"/>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At-Will Employment</w:t>
      </w:r>
      <w:r>
        <w:rPr>
          <w:rFonts w:ascii="Times New Roman" w:cs="Times New Roman" w:eastAsia="Times New Roman" w:hAnsi="Times New Roman"/>
          <w:sz w:val="22"/>
          <w:szCs w:val="22"/>
          <w:color w:val="auto"/>
        </w:rPr>
        <w:t>. This Agreement does not imply any right to your continued employment for any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or any parent, subsidiary, or other affiliate of the Company. Your employment with the Company is for no specified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7" w:right="339" w:bottom="1440" w:gutter="0" w:footer="0" w:header="0"/>
        </w:sectPr>
      </w:pPr>
    </w:p>
    <w:bookmarkStart w:id="486" w:name="page487"/>
    <w:bookmarkEnd w:id="486"/>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will continue to constitute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w:t>
      </w:r>
    </w:p>
    <w:p>
      <w:pPr>
        <w:spacing w:after="0" w:line="169" w:lineRule="exact"/>
        <w:rPr>
          <w:sz w:val="20"/>
          <w:szCs w:val="20"/>
          <w:color w:val="auto"/>
        </w:rPr>
      </w:pPr>
    </w:p>
    <w:p>
      <w:pPr>
        <w:jc w:val="both"/>
        <w:ind w:firstLine="656"/>
        <w:spacing w:after="0" w:line="257" w:lineRule="auto"/>
        <w:tabs>
          <w:tab w:leader="none" w:pos="1296" w:val="left"/>
        </w:tabs>
        <w:numPr>
          <w:ilvl w:val="0"/>
          <w:numId w:val="4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The Company (or its affiliate, as applicable) will have the right and authority to deduct from any payments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benefits under this Agreement all applicable federal, state, and local taxes or other required withholdings and payroll deductions (“</w:t>
      </w:r>
      <w:r>
        <w:rPr>
          <w:rFonts w:ascii="Times New Roman" w:cs="Times New Roman" w:eastAsia="Times New Roman" w:hAnsi="Times New Roman"/>
          <w:sz w:val="21"/>
          <w:szCs w:val="21"/>
          <w:b w:val="1"/>
          <w:bCs w:val="1"/>
          <w:color w:val="auto"/>
        </w:rPr>
        <w:t>Withholdings</w:t>
      </w:r>
      <w:r>
        <w:rPr>
          <w:rFonts w:ascii="Times New Roman" w:cs="Times New Roman" w:eastAsia="Times New Roman" w:hAnsi="Times New Roman"/>
          <w:sz w:val="21"/>
          <w:szCs w:val="21"/>
          <w:color w:val="auto"/>
        </w:rPr>
        <w:t>”). Prior to the payment of any amounts or provision of any benefits under this Agreement, the Company (and its affiliate, as applicable) is permitted to deduct or withhold, or require you to remit to the Company, an amount sufficient to satisfy any applicable Withholdings with respect to such payments and benefits. The payments and benefits under this Agreement are intended to be exempt from, or otherwise to comply with, Section 409A of the Internal Revenue Code of 1986, as amended, and any regulations and other formal guidance promulgated thereunder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so that none of the payments and benefits under this Agreement will be subject to the additional tax imposed under Section 409A, and any ambiguities and ambiguous terms herein will be interpreted to be exempt or to so comply. Any taxable reimbursements payable to you under Section 5 above will be paid, less applicable withholdings, only with respect to expenses incurred while you are employed as CEO under this Agreement, no later than the last day of your taxable year immediately following your taxable year in which the expense was incurred by you. No such amounts reimbursable to you in one taxable year of yours will affect the amounts reimbursable to you in another taxable year. Any of the additional amounts payable to you under Section 5 for income and employment taxes will be paid no later than the last day of your taxable year immediately following your taxable year in which the taxes are remitted by you to the requisite applicable authorities. Notwithstanding any contrary Agreement provision, the Company reserves the right to amend the Agreement as it deems necessary or advisable, in its sole discretion and without your consent or the consent of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or any parent, subsidiary or other affiliate of the Company have any responsibility, liability or obligation to reimburse or indemnify you or hold you harmless for any taxes, penalties or interest that may be imposed, or other costs that may be incurred, as a result of Section 409A.</w:t>
      </w:r>
    </w:p>
    <w:p>
      <w:pPr>
        <w:spacing w:after="0" w:line="170" w:lineRule="exact"/>
        <w:rPr>
          <w:rFonts w:ascii="Times New Roman" w:cs="Times New Roman" w:eastAsia="Times New Roman" w:hAnsi="Times New Roman"/>
          <w:sz w:val="21"/>
          <w:szCs w:val="21"/>
          <w:color w:val="auto"/>
        </w:rPr>
      </w:pPr>
    </w:p>
    <w:p>
      <w:pPr>
        <w:jc w:val="both"/>
        <w:ind w:firstLine="656"/>
        <w:spacing w:after="0" w:line="248" w:lineRule="auto"/>
        <w:tabs>
          <w:tab w:leader="none" w:pos="1296"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Additional Employment Provisions</w:t>
      </w:r>
      <w:r>
        <w:rPr>
          <w:rFonts w:ascii="Times New Roman" w:cs="Times New Roman" w:eastAsia="Times New Roman" w:hAnsi="Times New Roman"/>
          <w:sz w:val="22"/>
          <w:szCs w:val="22"/>
          <w:color w:val="auto"/>
        </w:rPr>
        <w:t>. During the term of your employment with the Company, you agree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your duties faithfully and to the best of your abilities and will devote your full business efforts and time to rendering services to the Company hereunder.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You will be permitted to (x) serve in additional roles as a member of a board of directors or strategic advisory or other similar boards, subject to the Board’s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1" w:right="339" w:bottom="1440" w:gutter="0" w:footer="0" w:header="0"/>
        </w:sectPr>
      </w:pPr>
    </w:p>
    <w:bookmarkStart w:id="487" w:name="page488"/>
    <w:bookmarkEnd w:id="487"/>
    <w:p>
      <w:pPr>
        <w:jc w:val="both"/>
        <w:spacing w:after="0" w:line="246" w:lineRule="auto"/>
        <w:rPr>
          <w:sz w:val="20"/>
          <w:szCs w:val="20"/>
          <w:color w:val="auto"/>
        </w:rPr>
      </w:pPr>
      <w:r>
        <w:rPr>
          <w:rFonts w:ascii="Times New Roman" w:cs="Times New Roman" w:eastAsia="Times New Roman" w:hAnsi="Times New Roman"/>
          <w:sz w:val="22"/>
          <w:szCs w:val="22"/>
          <w:color w:val="auto"/>
        </w:rPr>
        <w:t>written approval (not to be unreasonably withheld or delayed), and (y) continue to serve on the boards of directors and strategic advisory boards on which you serve as of the date first set forth above in this Agreement, in each case so long as those activities do not conflict with your obligations to the Company. Nothing in this Agreement shall prohibit you from (a) making and managing passive investments, or (b) participating in professional and charitable organizations in an unpaid capacity, in a manner, and to an extent, that will not interfere with your duties or obligations to the Company, including under the Proprietary Agreement. You agree not to bring any third party confidential information to the Company, including that of your former employer,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w:t>
      </w:r>
    </w:p>
    <w:p>
      <w:pPr>
        <w:spacing w:after="0" w:line="184" w:lineRule="exact"/>
        <w:rPr>
          <w:sz w:val="20"/>
          <w:szCs w:val="20"/>
          <w:color w:val="auto"/>
        </w:rPr>
      </w:pPr>
    </w:p>
    <w:p>
      <w:pPr>
        <w:jc w:val="both"/>
        <w:ind w:firstLine="656"/>
        <w:spacing w:after="0" w:line="259" w:lineRule="auto"/>
        <w:tabs>
          <w:tab w:leader="none" w:pos="1288"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 You will be eligible to enter into the form of indemnification agreement maintained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that provides you with the greatest level of protections, and you will receive coverage under the Company’s director and officer insurance policy for your roles as a director and officer of the Company.</w:t>
      </w:r>
    </w:p>
    <w:p>
      <w:pPr>
        <w:spacing w:after="0" w:line="166" w:lineRule="exact"/>
        <w:rPr>
          <w:rFonts w:ascii="Times New Roman" w:cs="Times New Roman" w:eastAsia="Times New Roman" w:hAnsi="Times New Roman"/>
          <w:sz w:val="22"/>
          <w:szCs w:val="22"/>
          <w:color w:val="auto"/>
        </w:rPr>
      </w:pPr>
    </w:p>
    <w:p>
      <w:pPr>
        <w:jc w:val="both"/>
        <w:ind w:firstLine="656"/>
        <w:spacing w:after="0" w:line="245" w:lineRule="auto"/>
        <w:tabs>
          <w:tab w:leader="none" w:pos="1296"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Protected Activity Not Prohibited</w:t>
      </w:r>
      <w:r>
        <w:rPr>
          <w:rFonts w:ascii="Times New Roman" w:cs="Times New Roman" w:eastAsia="Times New Roman" w:hAnsi="Times New Roman"/>
          <w:sz w:val="22"/>
          <w:szCs w:val="22"/>
          <w:color w:val="auto"/>
        </w:rPr>
        <w:t>. Notwithstanding any contrary provision of the Agreement or of Severance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Proprietary Agreement, nothing in this Agreement, the Severance Agreement, or Proprietary Agreement will prohibit or impede you from engaging in any Protected Activity. For purposes of this Agreement, “Protected Activity” will mean communicating, cooperating or filing a complaint with any U.S. federal, state or local governmental or law enforcement branch, agency or entity, including, but not limited to, the Securities and Exchange Commission, the Equal Employment Opportunity Commission, the Occupational Safety and Health Administration, and the National Labor Relations Board (collectively, a “</w:t>
      </w:r>
      <w:r>
        <w:rPr>
          <w:rFonts w:ascii="Times New Roman" w:cs="Times New Roman" w:eastAsia="Times New Roman" w:hAnsi="Times New Roman"/>
          <w:sz w:val="22"/>
          <w:szCs w:val="22"/>
          <w:b w:val="1"/>
          <w:bCs w:val="1"/>
          <w:color w:val="auto"/>
        </w:rPr>
        <w:t>Governmental Entity</w:t>
      </w:r>
      <w:r>
        <w:rPr>
          <w:rFonts w:ascii="Times New Roman" w:cs="Times New Roman" w:eastAsia="Times New Roman" w:hAnsi="Times New Roman"/>
          <w:sz w:val="22"/>
          <w:szCs w:val="22"/>
          <w:color w:val="auto"/>
        </w:rPr>
        <w:t xml:space="preserve">”) with respect to possible violations of any U.S. federal, state or local law or regulation, or otherwise making disclosures to any Governmental Entity, in each case, that are protected under the whistleblower provisions of any such law or regulation;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in each case, such communications and disclosures are consistent with applicable law. Notwithstanding the foregoing, you agree to take all reasonable precautions to prevent any unauthorized use or disclosure of any information that may constitute Company confidential information (as defined in the as defined in the Proprietary Agreement or any other agreement between you and the Company or any parent, subsidiary or other affiliate of the Company relating to the protection of confidential information) in a manner not protected by applicable law (each, a “</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to any parties other than the Governmental Entities. You further understand that Protected Activity does not include disclosure of any Company attorney-client privileged communications or attorney work product. Any language in the Proprietary Agreement or any Confidentiality Agreement that conflicts with, or is contrary to, this paragraph is superseded by this Agreement. You understand and acknowledge that pursuant to the Defend Trade Secrets Act of 2016 (A) an individual will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1" w:right="339" w:bottom="1440" w:gutter="0" w:footer="0" w:header="0"/>
        </w:sectPr>
      </w:pPr>
    </w:p>
    <w:bookmarkStart w:id="488" w:name="page489"/>
    <w:bookmarkEnd w:id="488"/>
    <w:p>
      <w:pPr>
        <w:jc w:val="both"/>
        <w:spacing w:after="0" w:line="252" w:lineRule="auto"/>
        <w:rPr>
          <w:sz w:val="20"/>
          <w:szCs w:val="20"/>
          <w:color w:val="auto"/>
        </w:rPr>
      </w:pPr>
      <w:r>
        <w:rPr>
          <w:rFonts w:ascii="Times New Roman" w:cs="Times New Roman" w:eastAsia="Times New Roman" w:hAnsi="Times New Roman"/>
          <w:sz w:val="22"/>
          <w:szCs w:val="22"/>
          <w:color w:val="auto"/>
        </w:rPr>
        <w:t>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75" w:lineRule="exact"/>
        <w:rPr>
          <w:sz w:val="20"/>
          <w:szCs w:val="20"/>
          <w:color w:val="auto"/>
        </w:rPr>
      </w:pPr>
    </w:p>
    <w:p>
      <w:pPr>
        <w:jc w:val="both"/>
        <w:ind w:firstLine="656"/>
        <w:spacing w:after="0" w:line="248" w:lineRule="auto"/>
        <w:tabs>
          <w:tab w:leader="none" w:pos="1296"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 This Agreement, together with the Proprietary Agreement, the Severance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 awards granted to you by the Company under its 2017 Stock Incentive Plan or the Company’s 2020 RSU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This Agreement will be governed by the laws of the State of California but without regard to the conflict of law provision. This Agreement may be modified only by a written agreement signed by a duly authorized officer of the Company (other than yourself) and you.</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1" w:right="339" w:bottom="1440" w:gutter="0" w:footer="0" w:header="0"/>
        </w:sectPr>
      </w:pPr>
    </w:p>
    <w:bookmarkStart w:id="489" w:name="page490"/>
    <w:bookmarkEnd w:id="489"/>
    <w:p>
      <w:pPr>
        <w:ind w:firstLine="648"/>
        <w:spacing w:after="0" w:line="271" w:lineRule="auto"/>
        <w:rPr>
          <w:sz w:val="20"/>
          <w:szCs w:val="20"/>
          <w:color w:val="auto"/>
        </w:rPr>
      </w:pPr>
      <w:r>
        <w:rPr>
          <w:rFonts w:ascii="Times New Roman" w:cs="Times New Roman" w:eastAsia="Times New Roman" w:hAnsi="Times New Roman"/>
          <w:sz w:val="22"/>
          <w:szCs w:val="22"/>
          <w:color w:val="auto"/>
        </w:rPr>
        <w:t>To confirm the current terms and conditions of your employment, please sign and date in the spaces indicated and return this Agreement to me.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2"/>
          <w:szCs w:val="22"/>
          <w:color w:val="auto"/>
        </w:rPr>
        <w:t>Sincerely,</w:t>
      </w:r>
    </w:p>
    <w:p>
      <w:pPr>
        <w:spacing w:after="0" w:line="32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SEER, INC.</w:t>
      </w:r>
    </w:p>
    <w:p>
      <w:pPr>
        <w:spacing w:after="0" w:line="200" w:lineRule="exact"/>
        <w:rPr>
          <w:sz w:val="20"/>
          <w:szCs w:val="20"/>
          <w:color w:val="auto"/>
        </w:rPr>
      </w:pPr>
    </w:p>
    <w:p>
      <w:pPr>
        <w:spacing w:after="0" w:line="398" w:lineRule="exact"/>
        <w:rPr>
          <w:sz w:val="20"/>
          <w:szCs w:val="20"/>
          <w:color w:val="auto"/>
        </w:rPr>
      </w:pPr>
    </w:p>
    <w:p>
      <w:pPr>
        <w:ind w:left="5400"/>
        <w:spacing w:after="0"/>
        <w:tabs>
          <w:tab w:leader="none" w:pos="59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Omead Ostadan</w:t>
      </w:r>
    </w:p>
    <w:p>
      <w:pPr>
        <w:spacing w:after="0" w:line="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color w:val="auto"/>
        </w:rPr>
        <w:t>Omead Ostadan</w:t>
      </w:r>
    </w:p>
    <w:p>
      <w:pPr>
        <w:spacing w:after="0" w:line="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color w:val="auto"/>
        </w:rPr>
        <w:t>President and COO</w:t>
      </w: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Agreed to and accepted: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/s/ Omid Farokhzad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Omid Farokhzad</w:t>
      </w:r>
    </w:p>
    <w:p>
      <w:pPr>
        <w:spacing w:after="0" w:line="328"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2"/>
          <w:szCs w:val="22"/>
          <w:color w:val="auto"/>
        </w:rPr>
        <w:t>November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27940</wp:posOffset>
            </wp:positionV>
            <wp:extent cx="28371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Confirmatory Employment Letter]</w:t>
      </w:r>
    </w:p>
    <w:p>
      <w:pPr>
        <w:sectPr>
          <w:pgSz w:w="11900" w:h="16838" w:orient="portrait"/>
          <w:cols w:equalWidth="0" w:num="1">
            <w:col w:w="11220"/>
          </w:cols>
          <w:pgMar w:left="320" w:top="14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21" w:right="359" w:bottom="1440" w:gutter="0" w:footer="0" w:header="0"/>
          <w:type w:val="continuous"/>
        </w:sectPr>
      </w:pPr>
    </w:p>
    <w:bookmarkStart w:id="490" w:name="page491"/>
    <w:bookmarkEnd w:id="490"/>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Seer, Inc. CEO Change in Control and Severance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9019"/>
          </w:cols>
          <w:pgMar w:left="1440" w:top="1417" w:right="1440" w:bottom="1440" w:gutter="0" w:footer="0" w:header="0"/>
        </w:sectPr>
      </w:pPr>
    </w:p>
    <w:bookmarkStart w:id="491" w:name="page492"/>
    <w:bookmarkEnd w:id="491"/>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30, 2020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Omead Ostadan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Via email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Confirmatory Employment Letter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Omead:</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This confirmatory employment letter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entered into between Omead Ostadan (“</w:t>
      </w:r>
      <w:r>
        <w:rPr>
          <w:rFonts w:ascii="Times New Roman" w:cs="Times New Roman" w:eastAsia="Times New Roman" w:hAnsi="Times New Roman"/>
          <w:sz w:val="21"/>
          <w:szCs w:val="21"/>
          <w:b w:val="1"/>
          <w:bCs w:val="1"/>
          <w:color w:val="auto"/>
        </w:rPr>
        <w:t>you</w:t>
      </w:r>
      <w:r>
        <w:rPr>
          <w:rFonts w:ascii="Times New Roman" w:cs="Times New Roman" w:eastAsia="Times New Roman" w:hAnsi="Times New Roman"/>
          <w:sz w:val="21"/>
          <w:szCs w:val="21"/>
          <w:color w:val="auto"/>
        </w:rPr>
        <w:t>”) and Seer,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we</w:t>
      </w:r>
      <w:r>
        <w:rPr>
          <w:rFonts w:ascii="Times New Roman" w:cs="Times New Roman" w:eastAsia="Times New Roman" w:hAnsi="Times New Roman"/>
          <w:sz w:val="21"/>
          <w:szCs w:val="21"/>
          <w:color w:val="auto"/>
        </w:rPr>
        <w:t>”), effective as of the day immediately prior to the Registration Date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to confirm the terms and conditions of your employment with the Company as of the Effective Date. “</w:t>
      </w:r>
      <w:r>
        <w:rPr>
          <w:rFonts w:ascii="Times New Roman" w:cs="Times New Roman" w:eastAsia="Times New Roman" w:hAnsi="Times New Roman"/>
          <w:sz w:val="21"/>
          <w:szCs w:val="21"/>
          <w:b w:val="1"/>
          <w:bCs w:val="1"/>
          <w:color w:val="auto"/>
        </w:rPr>
        <w:t>Registration Date</w:t>
      </w:r>
      <w:r>
        <w:rPr>
          <w:rFonts w:ascii="Times New Roman" w:cs="Times New Roman" w:eastAsia="Times New Roman" w:hAnsi="Times New Roman"/>
          <w:sz w:val="21"/>
          <w:szCs w:val="21"/>
          <w:color w:val="auto"/>
        </w:rPr>
        <w:t>” means the effective date of the first registration statement that is filed by the Company and declared effective pursuant to Section 12(b) of the U.S. Securities Exchange Act of 1934, as amended, with respect to any class of the Company’s securities.</w:t>
      </w:r>
    </w:p>
    <w:p>
      <w:pPr>
        <w:spacing w:after="0" w:line="160" w:lineRule="exact"/>
        <w:rPr>
          <w:sz w:val="20"/>
          <w:szCs w:val="20"/>
          <w:color w:val="auto"/>
        </w:rPr>
      </w:pPr>
    </w:p>
    <w:p>
      <w:pPr>
        <w:jc w:val="both"/>
        <w:ind w:firstLine="656"/>
        <w:spacing w:after="0" w:line="247" w:lineRule="auto"/>
        <w:tabs>
          <w:tab w:leader="none" w:pos="1296"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Title; Position; Location</w:t>
      </w:r>
      <w:r>
        <w:rPr>
          <w:rFonts w:ascii="Times New Roman" w:cs="Times New Roman" w:eastAsia="Times New Roman" w:hAnsi="Times New Roman"/>
          <w:sz w:val="22"/>
          <w:szCs w:val="22"/>
          <w:color w:val="auto"/>
        </w:rPr>
        <w:t>. You will continue to serve as the Company’s President and Chief Operating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also will continue to report to the Company’s Chief Executive Officer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and will perform the duties and responsibilities customary for such position and such other related duties as are reasonably assigned by the CEO. Until the Company opens an office in San Diego, California or, if earlier, you relocate your primary residence to Redwood City or the surrounding Bay Area, you will perform your duties remotely, but will be expected to travel to the Company’s corporate offices located in Redwood City, California as reasonably necessary or appropriate in furtherance of your employment duties and responsibilities (with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81"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Our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has approved that, provided you remain employed through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Effective Date, your annual base salary (“</w:t>
      </w: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will be increased to $435,000 as of the Effective Date. Your Salary will be payable, less any applicable withholdings, in accordance with the Company’s normal payroll practices. Your annual base salary will be subject to review and adjustment from time to time by our Board or its Compensation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applicable, in its sole discretion.</w:t>
      </w:r>
    </w:p>
    <w:p>
      <w:pPr>
        <w:spacing w:after="0" w:line="175"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For the 2020 and 2021 calendar years, you will be eligible for a target annual cash bonus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equal to forty-five percent (45%)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our Board or the Committee, as applicable, in its sole discretion, and no amount of any annual bonus is</w:t>
      </w:r>
    </w:p>
    <w:p>
      <w:pPr>
        <w:sectPr>
          <w:pgSz w:w="11900" w:h="16838" w:orient="portrait"/>
          <w:cols w:equalWidth="0" w:num="1">
            <w:col w:w="11240"/>
          </w:cols>
          <w:pgMar w:left="320" w:top="117" w:right="339" w:bottom="1440" w:gutter="0" w:footer="0" w:header="0"/>
        </w:sectPr>
      </w:pPr>
    </w:p>
    <w:bookmarkStart w:id="492" w:name="page493"/>
    <w:bookmarkEnd w:id="492"/>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guaranteed. In addition, the Board or the Committee, as applicable and in its sole discretion, may approve that the Company grant additional discretionary bonus amounts to you.</w:t>
      </w:r>
    </w:p>
    <w:p>
      <w:pPr>
        <w:spacing w:after="0" w:line="154" w:lineRule="exact"/>
        <w:rPr>
          <w:sz w:val="20"/>
          <w:szCs w:val="20"/>
          <w:color w:val="auto"/>
        </w:rPr>
      </w:pPr>
    </w:p>
    <w:p>
      <w:pPr>
        <w:jc w:val="both"/>
        <w:ind w:right="20" w:firstLine="656"/>
        <w:spacing w:after="0" w:line="253" w:lineRule="auto"/>
        <w:tabs>
          <w:tab w:leader="none" w:pos="1296"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Awards</w:t>
      </w:r>
      <w:r>
        <w:rPr>
          <w:rFonts w:ascii="Times New Roman" w:cs="Times New Roman" w:eastAsia="Times New Roman" w:hAnsi="Times New Roman"/>
          <w:sz w:val="22"/>
          <w:szCs w:val="22"/>
          <w:color w:val="auto"/>
        </w:rPr>
        <w:t>. You will be eligible to receive awards of stock options or other equity awards pursuant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plans 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pacing w:after="0" w:line="175"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4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Employee Benefits</w:t>
      </w:r>
      <w:r>
        <w:rPr>
          <w:rFonts w:ascii="Times New Roman" w:cs="Times New Roman" w:eastAsia="Times New Roman" w:hAnsi="Times New Roman"/>
          <w:sz w:val="21"/>
          <w:szCs w:val="21"/>
          <w:color w:val="auto"/>
        </w:rPr>
        <w:t>. You will continue to be eligible to participate in the benefit plans and programs established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the Company for its employees from time to time, subject to their applicable terms and conditions, including without limitation any eligibility requirements. Until the Company opens an office in San Diego, California or, if earlier, you relocate your primary residence to Redwood City or the surrounding Bay Area, the Company will reimburse you for reasonable travel and lodging expenses incurred by you for your work-related travel between your primary residence and the Company’s primary location in Redwood City, California, in an aggregate amount not to exceed $50,000 per year (the “</w:t>
      </w:r>
      <w:r>
        <w:rPr>
          <w:rFonts w:ascii="Times New Roman" w:cs="Times New Roman" w:eastAsia="Times New Roman" w:hAnsi="Times New Roman"/>
          <w:sz w:val="21"/>
          <w:szCs w:val="21"/>
          <w:b w:val="1"/>
          <w:bCs w:val="1"/>
          <w:color w:val="auto"/>
        </w:rPr>
        <w:t>Travel Reimbursements</w:t>
      </w:r>
      <w:r>
        <w:rPr>
          <w:rFonts w:ascii="Times New Roman" w:cs="Times New Roman" w:eastAsia="Times New Roman" w:hAnsi="Times New Roman"/>
          <w:sz w:val="21"/>
          <w:szCs w:val="21"/>
          <w:color w:val="auto"/>
        </w:rPr>
        <w:t>”), in accordance with the Company’s expense reimbursement policy as in effect from time to time and subject to the requirements described herein. In the event the Travel Reimbursements are taxable to you, the Company also will provide you with (or provide directly to the applicable taxing authorities) additional payments in the amount, as determined by the Company, necessary to pay federal, state and local income and employment taxes with respect to (x) such Travel Reimbursements and (y) such additional payments (the “</w:t>
      </w:r>
      <w:r>
        <w:rPr>
          <w:rFonts w:ascii="Times New Roman" w:cs="Times New Roman" w:eastAsia="Times New Roman" w:hAnsi="Times New Roman"/>
          <w:sz w:val="21"/>
          <w:szCs w:val="21"/>
          <w:b w:val="1"/>
          <w:bCs w:val="1"/>
          <w:color w:val="auto"/>
        </w:rPr>
        <w:t>Tax Neutrality Payments</w:t>
      </w:r>
      <w:r>
        <w:rPr>
          <w:rFonts w:ascii="Times New Roman" w:cs="Times New Roman" w:eastAsia="Times New Roman" w:hAnsi="Times New Roman"/>
          <w:sz w:val="21"/>
          <w:szCs w:val="21"/>
          <w:color w:val="auto"/>
        </w:rPr>
        <w:t>”). Any Tax Neutrality Payment will be calculated by the Company based on based on the withholding rates the Company has in effect for you at the time the Travel Reimbursement is reimbursed or provided to you (not to exceed the maximum statutory rates), and the Company’s determination of the Tax Neutrality Payment will be final and binding. In order to receive any Travel Reimbursement or Tax Neutrality Payment, you must remain employed with the Company through the date the applicable Travel Reimbursement or Tax Neutrality Payment, as applicable, is paid or provided to you (or the applicable taxing authorities, as applicable). Further, you are expected to submit appropriate substantiation of travel and lodging expenses eligible for Travel Reimbursement within thirty (30) days following the date such expenses are incurred, and, once appropriate substantiation (in the good faith determination of the Company) has been submitted, the Travel Reimbursement and any related Tax Neutrality Payment will be paid to you (or the applicable taxing authorities, as applicable) within thirty (30) days.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91" w:lineRule="exact"/>
        <w:rPr>
          <w:rFonts w:ascii="Times New Roman" w:cs="Times New Roman" w:eastAsia="Times New Roman" w:hAnsi="Times New Roman"/>
          <w:sz w:val="21"/>
          <w:szCs w:val="21"/>
          <w:color w:val="auto"/>
        </w:rPr>
      </w:pPr>
    </w:p>
    <w:p>
      <w:pPr>
        <w:jc w:val="both"/>
        <w:ind w:firstLine="656"/>
        <w:spacing w:after="0" w:line="259" w:lineRule="auto"/>
        <w:tabs>
          <w:tab w:leader="none" w:pos="1296"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Severance</w:t>
      </w:r>
      <w:r>
        <w:rPr>
          <w:rFonts w:ascii="Times New Roman" w:cs="Times New Roman" w:eastAsia="Times New Roman" w:hAnsi="Times New Roman"/>
          <w:sz w:val="22"/>
          <w:szCs w:val="22"/>
          <w:color w:val="auto"/>
        </w:rPr>
        <w:t>. You will be eligible to participate in the Company’s severance benefit plan, program or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established or to be established for senior-level employees that is applicable to you consistent with your position within the Company.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493" w:name="page494"/>
    <w:bookmarkEnd w:id="493"/>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regarding such arrangement will be provided to you following your commencement of employment with the Company or as such arrangement is established by the Company.</w:t>
      </w:r>
    </w:p>
    <w:p>
      <w:pPr>
        <w:spacing w:after="0" w:line="154" w:lineRule="exact"/>
        <w:rPr>
          <w:sz w:val="20"/>
          <w:szCs w:val="20"/>
          <w:color w:val="auto"/>
        </w:rPr>
      </w:pPr>
    </w:p>
    <w:p>
      <w:pPr>
        <w:jc w:val="both"/>
        <w:ind w:firstLine="656"/>
        <w:spacing w:after="0" w:line="251" w:lineRule="auto"/>
        <w:tabs>
          <w:tab w:leader="none" w:pos="1296"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As an employee of the Company, you will continue to have access to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 information of the Company and, during the course of your employment, you may develop certain information or inventions that will be the property of the Company. To protect the interests of the Company, your acceptance of this Agreement confirms that the terms of the At-Will Employment, Confidential Information, Invention Assignment and Arbitration Agreement between you and the Company dated November 5, 2020 (the “</w:t>
      </w:r>
      <w:r>
        <w:rPr>
          <w:rFonts w:ascii="Times New Roman" w:cs="Times New Roman" w:eastAsia="Times New Roman" w:hAnsi="Times New Roman"/>
          <w:sz w:val="22"/>
          <w:szCs w:val="22"/>
          <w:b w:val="1"/>
          <w:bCs w:val="1"/>
          <w:color w:val="auto"/>
        </w:rPr>
        <w:t>Proprietary Agreement</w:t>
      </w:r>
      <w:r>
        <w:rPr>
          <w:rFonts w:ascii="Times New Roman" w:cs="Times New Roman" w:eastAsia="Times New Roman" w:hAnsi="Times New Roman"/>
          <w:sz w:val="22"/>
          <w:szCs w:val="22"/>
          <w:color w:val="auto"/>
        </w:rPr>
        <w:t>”) still apply.</w:t>
      </w:r>
    </w:p>
    <w:p>
      <w:pPr>
        <w:spacing w:after="0" w:line="175" w:lineRule="exact"/>
        <w:rPr>
          <w:rFonts w:ascii="Times New Roman" w:cs="Times New Roman" w:eastAsia="Times New Roman" w:hAnsi="Times New Roman"/>
          <w:sz w:val="22"/>
          <w:szCs w:val="22"/>
          <w:color w:val="auto"/>
        </w:rPr>
      </w:pPr>
    </w:p>
    <w:p>
      <w:pPr>
        <w:jc w:val="both"/>
        <w:ind w:firstLine="656"/>
        <w:spacing w:after="0" w:line="266" w:lineRule="auto"/>
        <w:tabs>
          <w:tab w:leader="none" w:pos="1296" w:val="left"/>
        </w:tabs>
        <w:numPr>
          <w:ilvl w:val="0"/>
          <w:numId w:val="4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At-Will Employment</w:t>
      </w:r>
      <w:r>
        <w:rPr>
          <w:rFonts w:ascii="Times New Roman" w:cs="Times New Roman" w:eastAsia="Times New Roman" w:hAnsi="Times New Roman"/>
          <w:sz w:val="21"/>
          <w:szCs w:val="21"/>
          <w:color w:val="auto"/>
        </w:rPr>
        <w:t>. This Agreement does not imply any right to your continued employment for any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Company or any parent, subsidiary, or other affiliate of the Company. Your employment with the Company is for no specified period and will continue to constitute at 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w:t>
      </w:r>
    </w:p>
    <w:p>
      <w:pPr>
        <w:spacing w:after="0" w:line="160" w:lineRule="exact"/>
        <w:rPr>
          <w:rFonts w:ascii="Times New Roman" w:cs="Times New Roman" w:eastAsia="Times New Roman" w:hAnsi="Times New Roman"/>
          <w:sz w:val="21"/>
          <w:szCs w:val="21"/>
          <w:color w:val="auto"/>
        </w:rPr>
      </w:pPr>
    </w:p>
    <w:p>
      <w:pPr>
        <w:jc w:val="both"/>
        <w:ind w:firstLine="656"/>
        <w:spacing w:after="0" w:line="245" w:lineRule="auto"/>
        <w:tabs>
          <w:tab w:leader="none" w:pos="1296"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The Company (or its affiliate, as applicable) will have the right and authority to deduct from any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benefits under this Agreement all applicable federal, state, and local taxes or other required withholdings and payroll deductions (“</w:t>
      </w:r>
      <w:r>
        <w:rPr>
          <w:rFonts w:ascii="Times New Roman" w:cs="Times New Roman" w:eastAsia="Times New Roman" w:hAnsi="Times New Roman"/>
          <w:sz w:val="22"/>
          <w:szCs w:val="22"/>
          <w:b w:val="1"/>
          <w:bCs w:val="1"/>
          <w:color w:val="auto"/>
        </w:rPr>
        <w:t>Withholdings</w:t>
      </w:r>
      <w:r>
        <w:rPr>
          <w:rFonts w:ascii="Times New Roman" w:cs="Times New Roman" w:eastAsia="Times New Roman" w:hAnsi="Times New Roman"/>
          <w:sz w:val="22"/>
          <w:szCs w:val="22"/>
          <w:color w:val="auto"/>
        </w:rPr>
        <w:t>”). Prior to the payment of any amounts or provision of any benefits under this Agreement, the Company (and its affiliate, as applicable) is permitted to deduct or withhold, or require you to remit to the Company, an amount sufficient to satisfy any applicable Withholdings with respect to such payments and benefits. The payments and benefits under this Agreement are intended to be exempt from, or otherwise to comply with, Section 409A of the Internal Revenue Code of 1986, as amended, and any regulations and other formal guidance promulgated thereunder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so that none of the payments and benefits under this Agreement will be subject to the additional tax imposed under Section 409A, and any ambiguities and ambiguous terms herein will be interpreted to be exempt or to so comply. You must be employed by the Company on the payment date in order to receive any Travel Reimbursements or Tax Neutrality Payments. Accordingly, such reimbursements and benefits are intended to be exempt from Section 409A pursuant to the “short-term deferral” rule set forth in Section 1.409A-1(b)(4) of the Treasury Regulations. Nonetheless, any taxable reimbursements payable to you under Section 5 above will be paid, less applicable withholdings, only with respect to expenses incurred while you are employed as President and Chief Operating Officer under this Agreement, no later than the last day of your taxable year immediately following your taxable year in which the expense was incurred by you. No such amounts reimbursable to you in one taxable year of yours will affect the amounts reimbursable to you in another taxable year. Any of the additional amounts payable to you under Section 5 for income and employment taxes will be paid no later than the last day of your taxable year immediately following your taxable year in which the taxes are remitted by you to the requisite applicable authorities. Notwithstanding any contrary Agreement provision, the Company reserves the right to amend the Agreement as it deems necessary or advisable, in its sole discretion and without your consent or the consent of other person or entity, to comply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494" w:name="page495"/>
    <w:bookmarkEnd w:id="494"/>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or any parent, subsidiary or other affiliate of the Company have any responsibility, liability or obligation to reimburse or indemnify you or hold you harmless for any taxes, penalties or interest that may be imposed, or other costs that may be incurred, as a result of Section 409A.</w:t>
      </w:r>
    </w:p>
    <w:p>
      <w:pPr>
        <w:spacing w:after="0" w:line="183" w:lineRule="exact"/>
        <w:rPr>
          <w:sz w:val="20"/>
          <w:szCs w:val="20"/>
          <w:color w:val="auto"/>
        </w:rPr>
      </w:pPr>
    </w:p>
    <w:p>
      <w:pPr>
        <w:jc w:val="both"/>
        <w:ind w:firstLine="656"/>
        <w:spacing w:after="0" w:line="245" w:lineRule="auto"/>
        <w:tabs>
          <w:tab w:leader="none" w:pos="1296"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Additional Employment Provisions</w:t>
      </w:r>
      <w:r>
        <w:rPr>
          <w:rFonts w:ascii="Times New Roman" w:cs="Times New Roman" w:eastAsia="Times New Roman" w:hAnsi="Times New Roman"/>
          <w:sz w:val="22"/>
          <w:szCs w:val="22"/>
          <w:color w:val="auto"/>
        </w:rPr>
        <w:t>. During the term of your employment with the Company, you agree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your duties faithfully and to the best of your abilities and will devote your full business efforts and time to rendering services to the Company hereunder.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Nothing in this Agreement shall prohibit you from (a) making and managing passive investments, or (b) participating in professional and charitable organizations in an unpaid capacity, in a manner, and to an extent, that will not interfere with your duties or obligations to the Company, including under the Proprietary Agreement. You agree not to bring any third party confidential information to the Company, including that of your former employer,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w:t>
      </w:r>
    </w:p>
    <w:p>
      <w:pPr>
        <w:spacing w:after="0" w:line="193" w:lineRule="exact"/>
        <w:rPr>
          <w:rFonts w:ascii="Times New Roman" w:cs="Times New Roman" w:eastAsia="Times New Roman" w:hAnsi="Times New Roman"/>
          <w:sz w:val="22"/>
          <w:szCs w:val="22"/>
          <w:color w:val="auto"/>
        </w:rPr>
      </w:pPr>
    </w:p>
    <w:p>
      <w:pPr>
        <w:jc w:val="both"/>
        <w:ind w:firstLine="656"/>
        <w:spacing w:after="0" w:line="245" w:lineRule="auto"/>
        <w:tabs>
          <w:tab w:leader="none" w:pos="1288"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Protected Activity Not Prohibited</w:t>
      </w:r>
      <w:r>
        <w:rPr>
          <w:rFonts w:ascii="Times New Roman" w:cs="Times New Roman" w:eastAsia="Times New Roman" w:hAnsi="Times New Roman"/>
          <w:sz w:val="22"/>
          <w:szCs w:val="22"/>
          <w:color w:val="auto"/>
        </w:rPr>
        <w:t>. Notwithstanding any contrary provision of the Agreement or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Retention Plan or Proprietary Agreement, nothing in this Agreement, the Retention Plan, or Proprietary Agreement will prohibit or impede you from engaging in any Protected Activity. For purposes of this Agreement, “</w:t>
      </w:r>
      <w:r>
        <w:rPr>
          <w:rFonts w:ascii="Times New Roman" w:cs="Times New Roman" w:eastAsia="Times New Roman" w:hAnsi="Times New Roman"/>
          <w:sz w:val="22"/>
          <w:szCs w:val="22"/>
          <w:b w:val="1"/>
          <w:bCs w:val="1"/>
          <w:color w:val="auto"/>
        </w:rPr>
        <w:t>Protected Activity</w:t>
      </w:r>
      <w:r>
        <w:rPr>
          <w:rFonts w:ascii="Times New Roman" w:cs="Times New Roman" w:eastAsia="Times New Roman" w:hAnsi="Times New Roman"/>
          <w:sz w:val="22"/>
          <w:szCs w:val="22"/>
          <w:color w:val="auto"/>
        </w:rPr>
        <w:t>” will mean communicating, cooperating or filing a complaint with any U.S. federal, state or local governmental or law enforcement branch, agency or entity, including, but not limited to, the Securities and Exchange Commission, the Equal Employment Opportunity Commission, the Occupational Safety and Health Administration, and the National Labor Relations Board (collectively, a “</w:t>
      </w:r>
      <w:r>
        <w:rPr>
          <w:rFonts w:ascii="Times New Roman" w:cs="Times New Roman" w:eastAsia="Times New Roman" w:hAnsi="Times New Roman"/>
          <w:sz w:val="22"/>
          <w:szCs w:val="22"/>
          <w:b w:val="1"/>
          <w:bCs w:val="1"/>
          <w:color w:val="auto"/>
        </w:rPr>
        <w:t>Governmental Entity</w:t>
      </w:r>
      <w:r>
        <w:rPr>
          <w:rFonts w:ascii="Times New Roman" w:cs="Times New Roman" w:eastAsia="Times New Roman" w:hAnsi="Times New Roman"/>
          <w:sz w:val="22"/>
          <w:szCs w:val="22"/>
          <w:color w:val="auto"/>
        </w:rPr>
        <w:t xml:space="preserve">”) with respect to possible violations of any U.S. federal, state or local law or regulation, or otherwise making disclosures to any Governmental Entity, in each case, that are protected under the whistleblower provisions of any such law or regulation;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in each case, such communications and disclosures are consistent with applicable law. Notwithstanding the foregoing, you agree to take all reasonable precautions to prevent any unauthorized use or disclosure of any information that may constitute Company confidential information (as defined in the as defined in the Proprietary Agreement or any other agreement between you and the Company or any parent, subsidiary or other affiliate of the Company relating to the protection of confidential information) in a manner not protected by applicable law (each, a “</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to any parties other than the Governmental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495" w:name="page496"/>
    <w:bookmarkEnd w:id="495"/>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You further understand that Protected Activity does not include disclosure of any Company attorney-client privileged communications or attorney work product. Any language in the Proprietary Agreement or any Confidentiality Agreement that conflicts with, or is contrary to, this paragraph is superseded by this Agreement. You understand and acknowledge that pursuant to the Defend Trade Secrets Act of 2016 (A) an individual will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84" w:lineRule="exact"/>
        <w:rPr>
          <w:sz w:val="20"/>
          <w:szCs w:val="20"/>
          <w:color w:val="auto"/>
        </w:rPr>
      </w:pPr>
    </w:p>
    <w:p>
      <w:pPr>
        <w:jc w:val="both"/>
        <w:ind w:firstLine="656"/>
        <w:spacing w:after="0" w:line="247" w:lineRule="auto"/>
        <w:tabs>
          <w:tab w:leader="none" w:pos="1296"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 This Agreement, together with the Proprietary Agreement and the equity awards granted to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Company under its 2017 Stock Incentive Plan or the Company’s 2020 RSU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You acknowledge and agree that any right or eligibility to be granted a “True-Up Option” as referenced in any prior employment agreement expires as of the Registration Date. This Agreement will be governed by the laws of the State of California but without regard to the conflict of law provision. This Agreement may be modified only by a written agreement signed by a duly authorized officer of the Company (other than yourself) and you.</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496" w:name="page497"/>
    <w:bookmarkEnd w:id="496"/>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To confirm the current terms and conditions of your employment, please sign and date in the spaces indicated and return this Agreement to me.</w:t>
      </w:r>
    </w:p>
    <w:p>
      <w:pPr>
        <w:spacing w:after="0" w:line="21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2"/>
          <w:szCs w:val="22"/>
          <w:color w:val="auto"/>
        </w:rPr>
        <w:t>Sincerely,</w:t>
      </w:r>
    </w:p>
    <w:p>
      <w:pPr>
        <w:spacing w:after="0" w:line="328"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2"/>
          <w:szCs w:val="22"/>
          <w:color w:val="auto"/>
        </w:rPr>
        <w:t>SEER, INC.</w:t>
      </w:r>
    </w:p>
    <w:p>
      <w:pPr>
        <w:spacing w:after="0" w:line="200" w:lineRule="exact"/>
        <w:rPr>
          <w:sz w:val="20"/>
          <w:szCs w:val="20"/>
          <w:color w:val="auto"/>
        </w:rPr>
      </w:pPr>
    </w:p>
    <w:p>
      <w:pPr>
        <w:spacing w:after="0" w:line="398" w:lineRule="exact"/>
        <w:rPr>
          <w:sz w:val="20"/>
          <w:szCs w:val="20"/>
          <w:color w:val="auto"/>
        </w:rPr>
      </w:pPr>
    </w:p>
    <w:p>
      <w:pPr>
        <w:ind w:left="6220"/>
        <w:spacing w:after="0"/>
        <w:tabs>
          <w:tab w:leader="none" w:pos="6780" w:val="left"/>
        </w:tabs>
        <w:rPr>
          <w:sz w:val="20"/>
          <w:szCs w:val="20"/>
          <w:color w:val="auto"/>
        </w:rPr>
      </w:pPr>
      <w:r>
        <w:rPr>
          <w:rFonts w:ascii="Times New Roman" w:cs="Times New Roman" w:eastAsia="Times New Roman" w:hAnsi="Times New Roman"/>
          <w:sz w:val="22"/>
          <w:szCs w:val="22"/>
          <w:color w:val="auto"/>
        </w:rPr>
        <w:t>By:</w:t>
        <w:tab/>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27940</wp:posOffset>
            </wp:positionV>
            <wp:extent cx="28289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2"/>
          <w:szCs w:val="22"/>
          <w:color w:val="auto"/>
        </w:rPr>
        <w:t>Omid Farokhzad</w:t>
      </w:r>
    </w:p>
    <w:p>
      <w:pPr>
        <w:spacing w:after="0" w:line="58"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Agreed to and accepted: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6258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Omid Farokhzad</w:t>
      </w:r>
    </w:p>
    <w:p>
      <w:pPr>
        <w:spacing w:after="0" w:line="200" w:lineRule="exact"/>
        <w:rPr>
          <w:sz w:val="20"/>
          <w:szCs w:val="20"/>
          <w:color w:val="auto"/>
        </w:rPr>
      </w:pPr>
    </w:p>
    <w:p>
      <w:pPr>
        <w:spacing w:after="0" w:line="222"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2"/>
          <w:szCs w:val="22"/>
          <w:color w:val="auto"/>
        </w:rPr>
        <w:t>November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27940</wp:posOffset>
            </wp:positionV>
            <wp:extent cx="30518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Confirmatory Employment Letter]</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40" w:right="359" w:bottom="1440" w:gutter="0" w:footer="0" w:header="0"/>
        </w:sectPr>
      </w:pPr>
    </w:p>
    <w:bookmarkStart w:id="497" w:name="page498"/>
    <w:bookmarkEnd w:id="497"/>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Seer, Inc. CEO Change in Control and Severance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9019"/>
          </w:cols>
          <w:pgMar w:left="1440" w:top="1404" w:right="1440" w:bottom="1440" w:gutter="0" w:footer="0" w:header="0"/>
        </w:sectPr>
      </w:pPr>
    </w:p>
    <w:bookmarkStart w:id="498" w:name="page499"/>
    <w:bookmarkEnd w:id="498"/>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30, 2020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Horn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Via email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Confirmatory Employment Letter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David:</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confirmatory employment letter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between David Horn (“</w:t>
      </w:r>
      <w:r>
        <w:rPr>
          <w:rFonts w:ascii="Times New Roman" w:cs="Times New Roman" w:eastAsia="Times New Roman" w:hAnsi="Times New Roman"/>
          <w:sz w:val="22"/>
          <w:szCs w:val="22"/>
          <w:b w:val="1"/>
          <w:bCs w:val="1"/>
          <w:color w:val="auto"/>
        </w:rPr>
        <w:t>you</w:t>
      </w:r>
      <w:r>
        <w:rPr>
          <w:rFonts w:ascii="Times New Roman" w:cs="Times New Roman" w:eastAsia="Times New Roman" w:hAnsi="Times New Roman"/>
          <w:sz w:val="22"/>
          <w:szCs w:val="22"/>
          <w:color w:val="auto"/>
        </w:rPr>
        <w:t>”) and Seer,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we</w:t>
      </w:r>
      <w:r>
        <w:rPr>
          <w:rFonts w:ascii="Times New Roman" w:cs="Times New Roman" w:eastAsia="Times New Roman" w:hAnsi="Times New Roman"/>
          <w:sz w:val="22"/>
          <w:szCs w:val="22"/>
          <w:color w:val="auto"/>
        </w:rPr>
        <w:t>”), effective as of the day immediately prior to the Registration Date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to confirm the terms and conditions of your employment with the Company as of the Effective Date. “</w:t>
      </w:r>
      <w:r>
        <w:rPr>
          <w:rFonts w:ascii="Times New Roman" w:cs="Times New Roman" w:eastAsia="Times New Roman" w:hAnsi="Times New Roman"/>
          <w:sz w:val="22"/>
          <w:szCs w:val="22"/>
          <w:b w:val="1"/>
          <w:bCs w:val="1"/>
          <w:color w:val="auto"/>
        </w:rPr>
        <w:t>Registration Date</w:t>
      </w:r>
      <w:r>
        <w:rPr>
          <w:rFonts w:ascii="Times New Roman" w:cs="Times New Roman" w:eastAsia="Times New Roman" w:hAnsi="Times New Roman"/>
          <w:sz w:val="22"/>
          <w:szCs w:val="22"/>
          <w:color w:val="auto"/>
        </w:rPr>
        <w:t>” means the effective date of the first registration statement that is filed by the Company and declared effective pursuant to Section 12(b) of the U.S. Securities Exchange Act of 1934, as amended, with respect to any class of the Company’s securities.</w:t>
      </w:r>
    </w:p>
    <w:p>
      <w:pPr>
        <w:spacing w:after="0" w:line="176" w:lineRule="exact"/>
        <w:rPr>
          <w:sz w:val="20"/>
          <w:szCs w:val="20"/>
          <w:color w:val="auto"/>
        </w:rPr>
      </w:pPr>
    </w:p>
    <w:p>
      <w:pPr>
        <w:jc w:val="both"/>
        <w:ind w:firstLine="656"/>
        <w:spacing w:after="0" w:line="248" w:lineRule="auto"/>
        <w:tabs>
          <w:tab w:leader="none" w:pos="1296" w:val="left"/>
        </w:tabs>
        <w:numPr>
          <w:ilvl w:val="0"/>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Title; Position; Location</w:t>
      </w:r>
      <w:r>
        <w:rPr>
          <w:rFonts w:ascii="Times New Roman" w:cs="Times New Roman" w:eastAsia="Times New Roman" w:hAnsi="Times New Roman"/>
          <w:sz w:val="22"/>
          <w:szCs w:val="22"/>
          <w:color w:val="auto"/>
        </w:rPr>
        <w:t>. You will continue to serve as the Company’s Executive Vice President and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Financial Officer. You also will continue to report to the Company’s Chief Executive Officer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and will perform the duties and responsibilities customary for such position and such other related duties as are reasonably assigned by the CEO. You will perform your duties from the Company’s corporate offices located in Redwood City, California (with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81"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Our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has approved that, provided you remain employed through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your annual base salary (“</w:t>
      </w: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will be increased to $395,000 as of the Effective Date. Your Salary will be payable, less any applicable withholdings, in accordance with the Company’s normal payroll practices. Your annual base salary will be subject to review and adjustment from time to time by our Board or its Compensation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applicable, in its sole discretion.</w:t>
      </w:r>
    </w:p>
    <w:p>
      <w:pPr>
        <w:spacing w:after="0" w:line="175"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For the 2020 and 2021 calendar years, you will be eligible for a target annual cash bonus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equal to forty percent (40%)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our Board or the Committee, as applicable, in its sole discretion, and no amount of any annual bonus is guaranteed. In addition, the Board or the Committee, as applicable and in its sole discretion, may approve that the Company grant additional discretionary bonus amounts to you.</w:t>
      </w:r>
    </w:p>
    <w:p>
      <w:pPr>
        <w:sectPr>
          <w:pgSz w:w="11900" w:h="16838" w:orient="portrait"/>
          <w:cols w:equalWidth="0" w:num="1">
            <w:col w:w="11240"/>
          </w:cols>
          <w:pgMar w:left="320" w:top="117" w:right="339" w:bottom="1440" w:gutter="0" w:footer="0" w:header="0"/>
        </w:sectPr>
      </w:pPr>
    </w:p>
    <w:bookmarkStart w:id="499" w:name="page500"/>
    <w:bookmarkEnd w:id="499"/>
    <w:p>
      <w:pPr>
        <w:spacing w:after="0" w:line="194" w:lineRule="exact"/>
        <w:rPr>
          <w:sz w:val="20"/>
          <w:szCs w:val="20"/>
          <w:color w:val="auto"/>
        </w:rPr>
      </w:pPr>
    </w:p>
    <w:p>
      <w:pPr>
        <w:jc w:val="both"/>
        <w:ind w:firstLine="656"/>
        <w:spacing w:after="0" w:line="253" w:lineRule="auto"/>
        <w:tabs>
          <w:tab w:leader="none" w:pos="1296"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Awards</w:t>
      </w:r>
      <w:r>
        <w:rPr>
          <w:rFonts w:ascii="Times New Roman" w:cs="Times New Roman" w:eastAsia="Times New Roman" w:hAnsi="Times New Roman"/>
          <w:sz w:val="22"/>
          <w:szCs w:val="22"/>
          <w:color w:val="auto"/>
        </w:rPr>
        <w:t>. You will be eligible to receive awards of stock options or other equity awards pursuant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plans 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pacing w:after="0" w:line="175"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Employee Benefits</w:t>
      </w:r>
      <w:r>
        <w:rPr>
          <w:rFonts w:ascii="Times New Roman" w:cs="Times New Roman" w:eastAsia="Times New Roman" w:hAnsi="Times New Roman"/>
          <w:sz w:val="22"/>
          <w:szCs w:val="22"/>
          <w:color w:val="auto"/>
        </w:rPr>
        <w:t>. You will continue to be eligible to participate in the benefit plans and programs established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spacing w:after="0" w:line="180"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Severance</w:t>
      </w:r>
      <w:r>
        <w:rPr>
          <w:rFonts w:ascii="Times New Roman" w:cs="Times New Roman" w:eastAsia="Times New Roman" w:hAnsi="Times New Roman"/>
          <w:sz w:val="22"/>
          <w:szCs w:val="22"/>
          <w:color w:val="auto"/>
        </w:rPr>
        <w:t>. You will be eligible to participate in the Company’s severance benefit plan, program or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established or to be established for senior-level employees that is applicable to you consistent with your position within the Company. Additional information regarding such arrangement will be provided to you following your commencement of employment with the Company or as such arrangement is established by the Company.</w:t>
      </w:r>
    </w:p>
    <w:p>
      <w:pPr>
        <w:spacing w:after="0" w:line="175"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As an employee of the Company, you will continue to have access to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 information of the Company and, during the course of your employment, you may develop certain information or inventions that will be the property of the Company. To protect the interests of the Company, your acceptance of this Agreement confirms that the terms of the At-Will Employment, Confidential Information, Invention Assignment and Arbitration Agreement between you and the Company dated October 29, 2020 (the “</w:t>
      </w:r>
      <w:r>
        <w:rPr>
          <w:rFonts w:ascii="Times New Roman" w:cs="Times New Roman" w:eastAsia="Times New Roman" w:hAnsi="Times New Roman"/>
          <w:sz w:val="22"/>
          <w:szCs w:val="22"/>
          <w:b w:val="1"/>
          <w:bCs w:val="1"/>
          <w:color w:val="auto"/>
        </w:rPr>
        <w:t>Proprietary Agreement</w:t>
      </w:r>
      <w:r>
        <w:rPr>
          <w:rFonts w:ascii="Times New Roman" w:cs="Times New Roman" w:eastAsia="Times New Roman" w:hAnsi="Times New Roman"/>
          <w:sz w:val="22"/>
          <w:szCs w:val="22"/>
          <w:color w:val="auto"/>
        </w:rPr>
        <w:t>”) still apply.</w:t>
      </w:r>
    </w:p>
    <w:p>
      <w:pPr>
        <w:spacing w:after="0" w:line="175" w:lineRule="exact"/>
        <w:rPr>
          <w:rFonts w:ascii="Times New Roman" w:cs="Times New Roman" w:eastAsia="Times New Roman" w:hAnsi="Times New Roman"/>
          <w:sz w:val="22"/>
          <w:szCs w:val="22"/>
          <w:color w:val="auto"/>
        </w:rPr>
      </w:pPr>
    </w:p>
    <w:p>
      <w:pPr>
        <w:jc w:val="both"/>
        <w:ind w:firstLine="656"/>
        <w:spacing w:after="0" w:line="266" w:lineRule="auto"/>
        <w:tabs>
          <w:tab w:leader="none" w:pos="1296" w:val="left"/>
        </w:tabs>
        <w:numPr>
          <w:ilvl w:val="0"/>
          <w:numId w:val="4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At-Will Employment</w:t>
      </w:r>
      <w:r>
        <w:rPr>
          <w:rFonts w:ascii="Times New Roman" w:cs="Times New Roman" w:eastAsia="Times New Roman" w:hAnsi="Times New Roman"/>
          <w:sz w:val="21"/>
          <w:szCs w:val="21"/>
          <w:color w:val="auto"/>
        </w:rPr>
        <w:t>. This Agreement does not imply any right to your continued employment for any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Company or any parent, subsidiary, or other affiliate of the Company. Your employment with the Company is for no specified period and will continue to constitute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w:t>
      </w:r>
    </w:p>
    <w:p>
      <w:pPr>
        <w:spacing w:after="0" w:line="160" w:lineRule="exact"/>
        <w:rPr>
          <w:rFonts w:ascii="Times New Roman" w:cs="Times New Roman" w:eastAsia="Times New Roman" w:hAnsi="Times New Roman"/>
          <w:sz w:val="21"/>
          <w:szCs w:val="21"/>
          <w:color w:val="auto"/>
        </w:rPr>
      </w:pPr>
    </w:p>
    <w:p>
      <w:pPr>
        <w:jc w:val="both"/>
        <w:ind w:firstLine="656"/>
        <w:spacing w:after="0" w:line="248" w:lineRule="auto"/>
        <w:tabs>
          <w:tab w:leader="none" w:pos="1296"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The Company (or its affiliate, as applicable) will have the right and authority to deduct from any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benefits under this Agreement all applicable federal, state, and local taxes or other required withholdings and payroll deductions (“</w:t>
      </w:r>
      <w:r>
        <w:rPr>
          <w:rFonts w:ascii="Times New Roman" w:cs="Times New Roman" w:eastAsia="Times New Roman" w:hAnsi="Times New Roman"/>
          <w:sz w:val="22"/>
          <w:szCs w:val="22"/>
          <w:b w:val="1"/>
          <w:bCs w:val="1"/>
          <w:color w:val="auto"/>
        </w:rPr>
        <w:t>Withholdings</w:t>
      </w:r>
      <w:r>
        <w:rPr>
          <w:rFonts w:ascii="Times New Roman" w:cs="Times New Roman" w:eastAsia="Times New Roman" w:hAnsi="Times New Roman"/>
          <w:sz w:val="22"/>
          <w:szCs w:val="22"/>
          <w:color w:val="auto"/>
        </w:rPr>
        <w:t>”). Prior to the payment of any amounts or provision of any benefits under this Agreement, the Company (and its affiliate, as applicable) is permitted to deduct or withhold, or require you to remit to the Company, an amount sufficient to satisfy any applicable Withholdings with respect to such payments and benefits. The payments and benefits under this Agreement are intended to be exempt from, or otherwise to comply with, Section 409A of the Internal Revenue Code of 1986, as amended, and any regulations and other formal guidance promulgated thereunder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500" w:name="page501"/>
    <w:bookmarkEnd w:id="500"/>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so that none of the payments and benefits under this Agreement will be subject to the additional tax imposed under Section 409A, and any ambiguities and ambiguous terms herein will be interpreted to be exempt or to so comply. Any taxable reimbursements payable to you under Section 5 above will be paid, less applicable withholdings, only with respect to expenses incurred while you are employed as Executive Vice President and Chief Financial Officer under this Agreement, no later than the last day of your taxable year immediately following your taxable year in which the expense was incurred by you. No such amounts reimbursable to you in one taxable year of yours will affect the amounts reimbursable to you in another taxable year. Notwithstanding any contrary Agreement provision, the Company reserves the right to amend the Agreement as it deems necessary or advisable, in its sole discretion and without your consent or the consent of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or any parent, subsidiary or other affiliate of the Company have any responsibility, liability or obligation to reimburse or indemnify you or hold you harmless for any taxes, penalties or interest that may be imposed, or other costs that may be incurred, as a result of Section 409A.</w:t>
      </w:r>
    </w:p>
    <w:p>
      <w:pPr>
        <w:spacing w:after="0" w:line="192" w:lineRule="exact"/>
        <w:rPr>
          <w:sz w:val="20"/>
          <w:szCs w:val="20"/>
          <w:color w:val="auto"/>
        </w:rPr>
      </w:pPr>
    </w:p>
    <w:p>
      <w:pPr>
        <w:jc w:val="both"/>
        <w:ind w:firstLine="656"/>
        <w:spacing w:after="0" w:line="245" w:lineRule="auto"/>
        <w:tabs>
          <w:tab w:leader="none" w:pos="1296"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Additional Employment Provisions</w:t>
      </w:r>
      <w:r>
        <w:rPr>
          <w:rFonts w:ascii="Times New Roman" w:cs="Times New Roman" w:eastAsia="Times New Roman" w:hAnsi="Times New Roman"/>
          <w:sz w:val="22"/>
          <w:szCs w:val="22"/>
          <w:color w:val="auto"/>
        </w:rPr>
        <w:t>. During the term of your employment with the Company, you agree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your duties faithfully and to the best of your abilities and will devote your full business efforts and time to rendering services to the Company hereunder.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Nothing in this Agreement shall prohibit you from (a) making and managing passive investments, or (b) participating in professional and charitable organizations in an unpaid capacity, in a manner, and to an extent, that will not interfere with your duties or obligations to the Company, including under the Proprietary Agreement. You agree not to bring any third party confidential information to the Company, including that of your former employer,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w:t>
      </w:r>
    </w:p>
    <w:p>
      <w:pPr>
        <w:spacing w:after="0" w:line="193" w:lineRule="exact"/>
        <w:rPr>
          <w:rFonts w:ascii="Times New Roman" w:cs="Times New Roman" w:eastAsia="Times New Roman" w:hAnsi="Times New Roman"/>
          <w:sz w:val="22"/>
          <w:szCs w:val="22"/>
          <w:color w:val="auto"/>
        </w:rPr>
      </w:pPr>
    </w:p>
    <w:p>
      <w:pPr>
        <w:jc w:val="both"/>
        <w:ind w:firstLine="656"/>
        <w:spacing w:after="0" w:line="266" w:lineRule="auto"/>
        <w:tabs>
          <w:tab w:leader="none" w:pos="1288" w:val="left"/>
        </w:tabs>
        <w:numPr>
          <w:ilvl w:val="0"/>
          <w:numId w:val="4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Protected Activity Not Prohibited</w:t>
      </w:r>
      <w:r>
        <w:rPr>
          <w:rFonts w:ascii="Times New Roman" w:cs="Times New Roman" w:eastAsia="Times New Roman" w:hAnsi="Times New Roman"/>
          <w:sz w:val="21"/>
          <w:szCs w:val="21"/>
          <w:color w:val="auto"/>
        </w:rPr>
        <w:t>. Notwithstanding any contrary provision of the Agreement or of the Retention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or Proprietary Agreement, nothing in this Agreement, the Retention Plan, or Proprietary Agreement will prohibit or impede you from engaging in any Protected Activity. For purposes of this Agreement, “</w:t>
      </w:r>
      <w:r>
        <w:rPr>
          <w:rFonts w:ascii="Times New Roman" w:cs="Times New Roman" w:eastAsia="Times New Roman" w:hAnsi="Times New Roman"/>
          <w:sz w:val="21"/>
          <w:szCs w:val="21"/>
          <w:b w:val="1"/>
          <w:bCs w:val="1"/>
          <w:color w:val="auto"/>
        </w:rPr>
        <w:t>Protected Activity</w:t>
      </w:r>
      <w:r>
        <w:rPr>
          <w:rFonts w:ascii="Times New Roman" w:cs="Times New Roman" w:eastAsia="Times New Roman" w:hAnsi="Times New Roman"/>
          <w:sz w:val="21"/>
          <w:szCs w:val="21"/>
          <w:color w:val="auto"/>
        </w:rPr>
        <w:t>” will mean communicating, cooperating or filing a complaint with any U.S. federal, state or local governmental or law enforcement branch, agency or entity, including, but not limited to, the Securities and Exchange Commission, the Equal Employment Opportunity Commission, the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501" w:name="page502"/>
    <w:bookmarkEnd w:id="501"/>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Occupational Safety and Health Administration, and the National Labor Relations Board (collectively, a “</w:t>
      </w:r>
      <w:r>
        <w:rPr>
          <w:rFonts w:ascii="Times New Roman" w:cs="Times New Roman" w:eastAsia="Times New Roman" w:hAnsi="Times New Roman"/>
          <w:sz w:val="21"/>
          <w:szCs w:val="21"/>
          <w:b w:val="1"/>
          <w:bCs w:val="1"/>
          <w:color w:val="auto"/>
        </w:rPr>
        <w:t>Governmental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Entity</w:t>
      </w:r>
      <w:r>
        <w:rPr>
          <w:rFonts w:ascii="Times New Roman" w:cs="Times New Roman" w:eastAsia="Times New Roman" w:hAnsi="Times New Roman"/>
          <w:sz w:val="21"/>
          <w:szCs w:val="21"/>
          <w:color w:val="auto"/>
        </w:rPr>
        <w:t>”) with respect to possible violations of any U.S. federal, state or local law or regulation, or otherwise making disclosures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to any Governmental Entity, in each case, that are protected under the whistleblower provisions of any such law or regulation;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in each case, such communications and disclosures are consistent with applicable law. Notwithstanding the foregoing, you agree to take all reasonable precautions to prevent any unauthorized use or disclosure of any information that may constitute Company confidential information (as defined in the as defined in the Proprietary Agreement or any other agreement between you and the Company or any parent, subsidiary or other affiliate of the Company relating to the protection of confidential information) in a manner not protected by applicable law (each, a “</w:t>
      </w:r>
      <w:r>
        <w:rPr>
          <w:rFonts w:ascii="Times New Roman" w:cs="Times New Roman" w:eastAsia="Times New Roman" w:hAnsi="Times New Roman"/>
          <w:sz w:val="21"/>
          <w:szCs w:val="21"/>
          <w:b w:val="1"/>
          <w:bCs w:val="1"/>
          <w:color w:val="auto"/>
        </w:rPr>
        <w:t>Confidentiality Agreement</w:t>
      </w:r>
      <w:r>
        <w:rPr>
          <w:rFonts w:ascii="Times New Roman" w:cs="Times New Roman" w:eastAsia="Times New Roman" w:hAnsi="Times New Roman"/>
          <w:sz w:val="21"/>
          <w:szCs w:val="21"/>
          <w:color w:val="auto"/>
        </w:rPr>
        <w:t>”) to any parties other than the Governmental Entities. You further understand that Protected Activity does not include disclosure of any Company attorney-client privileged communications or attorney work product. Any language in the Proprietary Agreement or any Confidentiality Agreement that conflicts with, or is contrary to, this paragraph is superseded by this Agreement. You understand and acknowledge that pursuant to the Defend Trade Secrets Act of 2016 (A) an individual will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78" w:lineRule="exact"/>
        <w:rPr>
          <w:sz w:val="20"/>
          <w:szCs w:val="20"/>
          <w:color w:val="auto"/>
        </w:rPr>
      </w:pPr>
    </w:p>
    <w:p>
      <w:pPr>
        <w:jc w:val="both"/>
        <w:ind w:firstLine="656"/>
        <w:spacing w:after="0" w:line="247" w:lineRule="auto"/>
        <w:tabs>
          <w:tab w:leader="none" w:pos="1296"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 This Agreement, together with the Proprietary Agreement and the equity awards granted to you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under its 2017 Stock Incentive Plan or the Company’s 2020 RSU Equity Incentive Plan and the applicable award agreements thereunder, constitute the entire agreement between you and the Company regarding the material terms and conditions of your employment, and they supersede and replace all prior negotiations, representations or agreements between you and the Company. You acknowledge and agree that any right or eligibility to be granted a “True-Up Option” as referenced in any prior employment agreement expires as of the Registration Date. This Agreement will be governed by the laws of the State of California but without regard to the conflict of law provision. This Agreement may be modified only by a written agreement signed by a duly authorized officer of the Company (other than yourself) and you.</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502" w:name="page503"/>
    <w:bookmarkEnd w:id="502"/>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To confirm the current terms and conditions of your employment, please sign and date in the spaces indicated and return this Agreement to me.</w:t>
      </w:r>
    </w:p>
    <w:p>
      <w:pPr>
        <w:spacing w:after="0" w:line="21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2"/>
          <w:szCs w:val="22"/>
          <w:color w:val="auto"/>
        </w:rPr>
        <w:t>Sincerely,</w:t>
      </w:r>
    </w:p>
    <w:p>
      <w:pPr>
        <w:spacing w:after="0" w:line="58"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2"/>
          <w:szCs w:val="22"/>
          <w:color w:val="auto"/>
        </w:rPr>
        <w:t>SEER, INC.</w:t>
      </w:r>
    </w:p>
    <w:p>
      <w:pPr>
        <w:spacing w:after="0" w:line="328" w:lineRule="exact"/>
        <w:rPr>
          <w:sz w:val="20"/>
          <w:szCs w:val="20"/>
          <w:color w:val="auto"/>
        </w:rPr>
      </w:pPr>
    </w:p>
    <w:p>
      <w:pPr>
        <w:ind w:left="6220"/>
        <w:spacing w:after="0"/>
        <w:tabs>
          <w:tab w:leader="none" w:pos="6780" w:val="left"/>
        </w:tabs>
        <w:rPr>
          <w:sz w:val="20"/>
          <w:szCs w:val="20"/>
          <w:color w:val="auto"/>
        </w:rPr>
      </w:pPr>
      <w:r>
        <w:rPr>
          <w:rFonts w:ascii="Times New Roman" w:cs="Times New Roman" w:eastAsia="Times New Roman" w:hAnsi="Times New Roman"/>
          <w:sz w:val="22"/>
          <w:szCs w:val="22"/>
          <w:color w:val="auto"/>
        </w:rPr>
        <w:t>By:</w:t>
        <w:tab/>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27940</wp:posOffset>
            </wp:positionV>
            <wp:extent cx="28289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5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2"/>
          <w:szCs w:val="22"/>
          <w:color w:val="auto"/>
        </w:rPr>
        <w:t>Omid Farokhzad</w:t>
      </w:r>
    </w:p>
    <w:p>
      <w:pPr>
        <w:spacing w:after="0" w:line="58"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Agreed to and accepted: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6258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David Horn</w:t>
      </w:r>
    </w:p>
    <w:p>
      <w:pPr>
        <w:spacing w:after="0" w:line="328"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2"/>
          <w:szCs w:val="22"/>
          <w:color w:val="auto"/>
        </w:rPr>
        <w:t>November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27940</wp:posOffset>
            </wp:positionV>
            <wp:extent cx="30518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Confirmatory Employment Letter]</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40" w:right="359" w:bottom="1440" w:gutter="0" w:footer="0" w:header="0"/>
        </w:sectPr>
      </w:pPr>
    </w:p>
    <w:bookmarkStart w:id="503" w:name="page504"/>
    <w:bookmarkEnd w:id="503"/>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CEO CHANGE IN CONTROL AND SEVERANCE AGREEMENT</w:t>
      </w:r>
    </w:p>
    <w:p>
      <w:pPr>
        <w:spacing w:after="0" w:line="13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This CEO Change in Control and Severance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by and between Seer, Inc., a Delaware corporation, and Omid Farokhzad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effective as of the day immediately prior to the Registration Date, as defined below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Agreement provides certain protections to Executive in connection with an involuntary termination of Executive’s employment with the Company (as defined below) under the circumstances described in this Agreement and/or in connection with a change in control of the Company. Certain capitalized terms used in this Agreement are defined in Section 3 below.</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and Executive agree as follows:</w:t>
      </w:r>
    </w:p>
    <w:p>
      <w:pPr>
        <w:spacing w:after="0" w:line="162" w:lineRule="exact"/>
        <w:rPr>
          <w:sz w:val="20"/>
          <w:szCs w:val="20"/>
          <w:color w:val="auto"/>
        </w:rPr>
      </w:pPr>
    </w:p>
    <w:p>
      <w:pPr>
        <w:jc w:val="both"/>
        <w:ind w:firstLine="656"/>
        <w:spacing w:after="0" w:line="259" w:lineRule="auto"/>
        <w:tabs>
          <w:tab w:leader="none" w:pos="1296"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of Agreement</w:t>
      </w:r>
      <w:r>
        <w:rPr>
          <w:rFonts w:ascii="Times New Roman" w:cs="Times New Roman" w:eastAsia="Times New Roman" w:hAnsi="Times New Roman"/>
          <w:sz w:val="22"/>
          <w:szCs w:val="22"/>
          <w:color w:val="auto"/>
        </w:rPr>
        <w:t>. This Agreement will continue indefinitely until terminated by written consent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or if earlier, upon the date that all of the obligations of the parties hereto with respect to this Agreement have been satisfied.</w:t>
      </w:r>
    </w:p>
    <w:p>
      <w:pPr>
        <w:spacing w:after="0" w:line="112"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At-will Employment</w:t>
      </w:r>
      <w:r>
        <w:rPr>
          <w:rFonts w:ascii="Times New Roman" w:cs="Times New Roman" w:eastAsia="Times New Roman" w:hAnsi="Times New Roman"/>
          <w:sz w:val="22"/>
          <w:szCs w:val="22"/>
          <w:color w:val="auto"/>
        </w:rPr>
        <w:t>. The Company and Executive acknowledge that Executive’s employment is and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21" w:lineRule="exact"/>
        <w:rPr>
          <w:rFonts w:ascii="Times New Roman" w:cs="Times New Roman" w:eastAsia="Times New Roman" w:hAnsi="Times New Roman"/>
          <w:sz w:val="22"/>
          <w:szCs w:val="22"/>
          <w:color w:val="auto"/>
        </w:rPr>
      </w:pPr>
    </w:p>
    <w:p>
      <w:pPr>
        <w:ind w:left="1300" w:right="1400" w:hanging="644"/>
        <w:spacing w:after="0" w:line="397" w:lineRule="auto"/>
        <w:tabs>
          <w:tab w:leader="none" w:pos="1300"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Terms</w:t>
      </w:r>
      <w:r>
        <w:rPr>
          <w:rFonts w:ascii="Times New Roman" w:cs="Times New Roman" w:eastAsia="Times New Roman" w:hAnsi="Times New Roman"/>
          <w:sz w:val="22"/>
          <w:szCs w:val="22"/>
          <w:color w:val="auto"/>
        </w:rPr>
        <w:t>. The following capitalized terms will have the meanings set forth in this Section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3.1.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w:t>
      </w: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3.2.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means (a) indictment or conviction of any felony or any crime involving dishonesty by Executive; (b) Executive’s participation in any fraud against the Company; (c) any intentional damage to any material property of the Company by Executive; (d) Executive’s willful misconduct which materially and adversely reflects upon the business, operations, or reputation of the Company, which misconduct has not been cured (or cannot be cured) within ten (10) days after the Company gives written notice to Executive regarding such misconduct; (e) Executive’s breach of any material provision of this Agreement or any other agreement between Executive and the Company and failure to cure such breach (if capable of cure) within ten (10) days after the Company gives written notice to Executive regarding such breach. To the extent practicable, any decision to terminate Executive’s employment for Cause will be made by the Board after Executive has received notice from the Board including details of the grounds for termination for Cause and has had a reasonable opportunity to be heard by the Board. Further, to the extent practicable, prior to the effective date of any termination by the Company of Executive’s employment for a reason other than (x) Cause, (y) Executive’s death, or (z) Executive’s Disability, Executive will have a reasonable opportunity (as determined by the Board) to discuss the proposed termination with the Board.</w:t>
      </w:r>
    </w:p>
    <w:p>
      <w:pPr>
        <w:sectPr>
          <w:pgSz w:w="11900" w:h="16838" w:orient="portrait"/>
          <w:cols w:equalWidth="0" w:num="1">
            <w:col w:w="11240"/>
          </w:cols>
          <w:pgMar w:left="320" w:top="117" w:right="339" w:bottom="1440" w:gutter="0" w:footer="0" w:header="0"/>
        </w:sectPr>
      </w:pPr>
    </w:p>
    <w:bookmarkStart w:id="504" w:name="page505"/>
    <w:bookmarkEnd w:id="504"/>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means the first occurrence of any of the following events on or after the Effective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42" w:lineRule="exact"/>
        <w:rPr>
          <w:sz w:val="20"/>
          <w:szCs w:val="20"/>
          <w:color w:val="auto"/>
        </w:rPr>
      </w:pPr>
    </w:p>
    <w:p>
      <w:pPr>
        <w:jc w:val="both"/>
        <w:ind w:firstLine="1952"/>
        <w:spacing w:after="0" w:line="245" w:lineRule="auto"/>
        <w:tabs>
          <w:tab w:leader="none" w:pos="2589"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ownership of the Company which occurs on the date that any one person, or more than one person acting as a group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37"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7"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32" w:lineRule="exact"/>
        <w:rPr>
          <w:rFonts w:ascii="Times New Roman" w:cs="Times New Roman" w:eastAsia="Times New Roman" w:hAnsi="Times New Roman"/>
          <w:sz w:val="22"/>
          <w:szCs w:val="22"/>
          <w:color w:val="auto"/>
        </w:rPr>
      </w:pPr>
    </w:p>
    <w:p>
      <w:pPr>
        <w:jc w:val="both"/>
        <w:ind w:firstLine="1952"/>
        <w:spacing w:after="0" w:line="246" w:lineRule="auto"/>
        <w:tabs>
          <w:tab w:leader="none" w:pos="2589"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7" w:right="339" w:bottom="1440" w:gutter="0" w:footer="0" w:header="0"/>
        </w:sectPr>
      </w:pPr>
    </w:p>
    <w:bookmarkStart w:id="505" w:name="page506"/>
    <w:bookmarkEnd w:id="505"/>
    <w:p>
      <w:pPr>
        <w:jc w:val="both"/>
        <w:spacing w:after="0" w:line="257" w:lineRule="auto"/>
        <w:rPr>
          <w:sz w:val="20"/>
          <w:szCs w:val="20"/>
          <w:color w:val="auto"/>
        </w:rPr>
      </w:pPr>
      <w:r>
        <w:rPr>
          <w:rFonts w:ascii="Times New Roman" w:cs="Times New Roman" w:eastAsia="Times New Roman" w:hAnsi="Times New Roman"/>
          <w:sz w:val="22"/>
          <w:szCs w:val="22"/>
          <w:color w:val="auto"/>
        </w:rPr>
        <w:t>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Code Section 409A. 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12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3.4. “</w:t>
      </w:r>
      <w:r>
        <w:rPr>
          <w:rFonts w:ascii="Times New Roman" w:cs="Times New Roman" w:eastAsia="Times New Roman" w:hAnsi="Times New Roman"/>
          <w:sz w:val="22"/>
          <w:szCs w:val="22"/>
          <w:b w:val="1"/>
          <w:bCs w:val="1"/>
          <w:color w:val="auto"/>
        </w:rPr>
        <w:t>Change in Control Period</w:t>
      </w:r>
      <w:r>
        <w:rPr>
          <w:rFonts w:ascii="Times New Roman" w:cs="Times New Roman" w:eastAsia="Times New Roman" w:hAnsi="Times New Roman"/>
          <w:sz w:val="22"/>
          <w:szCs w:val="22"/>
          <w:color w:val="auto"/>
        </w:rPr>
        <w:t>” means the period beginning on the date three (3) months prior to the date of a Change in Control and ending on (and inclusive of) the date that is the one (1) year anniversary of such Change in Control; provided, however, that solely for purposes of Section 4.1.4 and Section 4.2.4, “</w:t>
      </w:r>
      <w:r>
        <w:rPr>
          <w:rFonts w:ascii="Times New Roman" w:cs="Times New Roman" w:eastAsia="Times New Roman" w:hAnsi="Times New Roman"/>
          <w:sz w:val="22"/>
          <w:szCs w:val="22"/>
          <w:b w:val="1"/>
          <w:bCs w:val="1"/>
          <w:color w:val="auto"/>
        </w:rPr>
        <w:t>Change in Control Period</w:t>
      </w:r>
      <w:r>
        <w:rPr>
          <w:rFonts w:ascii="Times New Roman" w:cs="Times New Roman" w:eastAsia="Times New Roman" w:hAnsi="Times New Roman"/>
          <w:sz w:val="22"/>
          <w:szCs w:val="22"/>
          <w:color w:val="auto"/>
        </w:rPr>
        <w:t>” means the period beginning on the date three (3) months prior to the date of a Change in Control and ending on (and inclusive of) the date that is the two (2) year anniversary of such Change in Control.</w:t>
      </w:r>
    </w:p>
    <w:p>
      <w:pPr>
        <w:spacing w:after="0" w:line="12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3.5.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Reference to a specific section of the Code or regulation under the Code will include such section or regulation, and any valid regulation or other formal guidance of general or direct applicability promulgated under such section, and any comparable provision of any future legislation amending, supplementing or superseding such section or regulation.</w:t>
      </w:r>
    </w:p>
    <w:p>
      <w:pPr>
        <w:spacing w:after="0" w:line="12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means Seer, Inc., a Delaware corporation, and any successor as described in Section 22.</w:t>
      </w:r>
    </w:p>
    <w:p>
      <w:pPr>
        <w:spacing w:after="0" w:line="16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3.7. “</w:t>
      </w:r>
      <w:r>
        <w:rPr>
          <w:rFonts w:ascii="Times New Roman" w:cs="Times New Roman" w:eastAsia="Times New Roman" w:hAnsi="Times New Roman"/>
          <w:sz w:val="22"/>
          <w:szCs w:val="22"/>
          <w:b w:val="1"/>
          <w:bCs w:val="1"/>
          <w:color w:val="auto"/>
        </w:rPr>
        <w:t>Deferred Payments</w:t>
      </w:r>
      <w:r>
        <w:rPr>
          <w:rFonts w:ascii="Times New Roman" w:cs="Times New Roman" w:eastAsia="Times New Roman" w:hAnsi="Times New Roman"/>
          <w:sz w:val="22"/>
          <w:szCs w:val="22"/>
          <w:color w:val="auto"/>
        </w:rPr>
        <w:t>” means any Severance Benefits or other separation-related payments or benefits to be paid or provided to Executive pursuant to this Agreement and any separation-related other payments or benefits to be paid or provided to Executive, that in each case, when considered together (if and as required by Section 409A), are considered deferred compensation under Section 409A.</w:t>
      </w:r>
    </w:p>
    <w:p>
      <w:pPr>
        <w:spacing w:after="0" w:line="12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3.8.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means total and permanent disability as defined in Code Section 22(e)(3).</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3.9.</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means the Company or the parent or subsidiary of the Company that directly employs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w:t>
      </w:r>
    </w:p>
    <w:p>
      <w:pPr>
        <w:spacing w:after="0" w:line="13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3.10. “</w:t>
      </w:r>
      <w:r>
        <w:rPr>
          <w:rFonts w:ascii="Times New Roman" w:cs="Times New Roman" w:eastAsia="Times New Roman" w:hAnsi="Times New Roman"/>
          <w:sz w:val="22"/>
          <w:szCs w:val="22"/>
          <w:b w:val="1"/>
          <w:bCs w:val="1"/>
          <w:color w:val="auto"/>
        </w:rPr>
        <w:t>Equity Awards</w:t>
      </w:r>
      <w:r>
        <w:rPr>
          <w:rFonts w:ascii="Times New Roman" w:cs="Times New Roman" w:eastAsia="Times New Roman" w:hAnsi="Times New Roman"/>
          <w:sz w:val="22"/>
          <w:szCs w:val="22"/>
          <w:color w:val="auto"/>
        </w:rPr>
        <w:t>” mean Executive’s outstanding Company stock options, stock appreciation rights, restricted stock, restricted stock units, performance shares, performance stock units, and other Company equity compensation awards,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1" w:right="339" w:bottom="1440" w:gutter="0" w:footer="0" w:header="0"/>
        </w:sectPr>
      </w:pPr>
    </w:p>
    <w:bookmarkStart w:id="506" w:name="page507"/>
    <w:bookmarkEnd w:id="506"/>
    <w:p>
      <w:pPr>
        <w:jc w:val="both"/>
        <w:ind w:firstLine="1296"/>
        <w:spacing w:after="0" w:line="256" w:lineRule="auto"/>
        <w:rPr>
          <w:sz w:val="20"/>
          <w:szCs w:val="20"/>
          <w:color w:val="auto"/>
        </w:rPr>
      </w:pPr>
      <w:r>
        <w:rPr>
          <w:rFonts w:ascii="Times New Roman" w:cs="Times New Roman" w:eastAsia="Times New Roman" w:hAnsi="Times New Roman"/>
          <w:sz w:val="21"/>
          <w:szCs w:val="21"/>
          <w:color w:val="auto"/>
        </w:rPr>
        <w:t>3.11. “</w:t>
      </w:r>
      <w:r>
        <w:rPr>
          <w:rFonts w:ascii="Times New Roman" w:cs="Times New Roman" w:eastAsia="Times New Roman" w:hAnsi="Times New Roman"/>
          <w:sz w:val="21"/>
          <w:szCs w:val="21"/>
          <w:b w:val="1"/>
          <w:bCs w:val="1"/>
          <w:color w:val="auto"/>
        </w:rPr>
        <w:t>Good Reason Termination</w:t>
      </w:r>
      <w:r>
        <w:rPr>
          <w:rFonts w:ascii="Times New Roman" w:cs="Times New Roman" w:eastAsia="Times New Roman" w:hAnsi="Times New Roman"/>
          <w:sz w:val="21"/>
          <w:szCs w:val="21"/>
          <w:color w:val="auto"/>
        </w:rPr>
        <w:t>” means Executive’s termination of Executive’s employment with the Company, within the period specified below, as a result of the occurrence of any of the following without Executive’s written consent: (a) a material reduction in Executive’s base salary as compared to Executive’s base salary in effect immediately prior to such reduction; (b) a material and adverse change in Executive’s authorities, duties or responsibilities relative to Executive’s authorities, duties or responsibilities in effect immediately prior to such reduction; provided, however, that if Executive ceases to serve as Chief Executive Officer of the Company but continues to serve as Executive Chair of the Company with a base salary and target bonus opportunity each materially the same as in effect immediately prior to such transition, such transition will not by itself be deemed to constitute a material and adverse change in Executive’s authorities, duties or responsibilities under this clause (b); provided, further, for purposes of clarity that any change that results in Executive not serving as the Chief Executive Officer of, or reporting directly to the board of directors of, the parent corporation in a group of controlled corporations including the Company or all or a substantial portion of the Company’s assets following a Change in Control (other than as a result of Executive’s voluntary resignation not at the request of the Company’s successor or its parent) will be deemed to constitute a material and adverse change in Executive’s authorities, duties or responsibilities under this clause (b); (c) a material change in the geographic location of Executive’s principal work office or facility; provided that a relocation that increases Executive’s commute by fifty (50) miles or less from Executive’s commute to Executive’s primary work office or facility at which Executive was based immediately prior to such change will not constitute such material change. To the extent Executive’s primary work office or facility is not the Company’s corporate offices or facilities due to a shelterinplace order, quarantine order, or similar workfromhome requirement that applies to Executive, Executive’s primary work location, from which a change in location under the foregoing clause (c) will be measured, will be considered the Company’s office or facility location where Executive’s employment with the Company primarily was based immediately prior to the commencement of such shelter-in-place order, quarantine order, or similar work-from-home requirement. An event or action will not give Executive grounds to terminate Executive’s employment with the Company as a Good Reason Termination unless (i) Executive gives the Company written notice within ninety (90) days after Executive knows or should know of the initial existence of such event or action, (ii) such event or action is not reversed, remedied or cured, as the case may be, by the Company as soon as possible but in no event later than thirty (30) days of receiving such written notice from Executive (the “</w:t>
      </w:r>
      <w:r>
        <w:rPr>
          <w:rFonts w:ascii="Times New Roman" w:cs="Times New Roman" w:eastAsia="Times New Roman" w:hAnsi="Times New Roman"/>
          <w:sz w:val="21"/>
          <w:szCs w:val="21"/>
          <w:b w:val="1"/>
          <w:bCs w:val="1"/>
          <w:color w:val="auto"/>
        </w:rPr>
        <w:t>Cure Period</w:t>
      </w:r>
      <w:r>
        <w:rPr>
          <w:rFonts w:ascii="Times New Roman" w:cs="Times New Roman" w:eastAsia="Times New Roman" w:hAnsi="Times New Roman"/>
          <w:sz w:val="21"/>
          <w:szCs w:val="21"/>
          <w:color w:val="auto"/>
        </w:rPr>
        <w:t>”), and (iii) Executive terminates Executive’s employment with the Company within thirty (30) days following the end of the Cure Period.</w:t>
      </w:r>
    </w:p>
    <w:p>
      <w:pPr>
        <w:spacing w:after="0" w:line="39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3.12.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Grandfathered Award</w:t>
      </w:r>
      <w:r>
        <w:rPr>
          <w:rFonts w:ascii="Times New Roman" w:cs="Times New Roman" w:eastAsia="Times New Roman" w:hAnsi="Times New Roman"/>
          <w:sz w:val="21"/>
          <w:szCs w:val="21"/>
          <w:color w:val="auto"/>
        </w:rPr>
        <w:t>” means any Equity Award granted to Executive before the Registration Date.</w:t>
      </w:r>
    </w:p>
    <w:p>
      <w:pPr>
        <w:spacing w:after="0" w:line="16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3.13. “</w:t>
      </w: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means either (a) the Company terminates Executive’s employment with the Company for a reason other than (x) Cause, (y) Executive’s death, or (z) Executive’s Disability, or (b) Executive terminates his employment with the Company due to a Good Reason Termination. For the avoidance of doubt, an Involuntary Termination will not be considered to occur upon Executive’s transition to a role as the Company’s Executive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7" w:right="339" w:bottom="1440" w:gutter="0" w:footer="0" w:header="0"/>
        </w:sectPr>
      </w:pPr>
    </w:p>
    <w:bookmarkStart w:id="507" w:name="page508"/>
    <w:bookmarkEnd w:id="507"/>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3.14. “</w:t>
      </w:r>
      <w:r>
        <w:rPr>
          <w:rFonts w:ascii="Times New Roman" w:cs="Times New Roman" w:eastAsia="Times New Roman" w:hAnsi="Times New Roman"/>
          <w:sz w:val="22"/>
          <w:szCs w:val="22"/>
          <w:b w:val="1"/>
          <w:bCs w:val="1"/>
          <w:color w:val="auto"/>
        </w:rPr>
        <w:t>Monthly Base Salary</w:t>
      </w:r>
      <w:r>
        <w:rPr>
          <w:rFonts w:ascii="Times New Roman" w:cs="Times New Roman" w:eastAsia="Times New Roman" w:hAnsi="Times New Roman"/>
          <w:sz w:val="22"/>
          <w:szCs w:val="22"/>
          <w:color w:val="auto"/>
        </w:rPr>
        <w:t>” means Executive’s monthly base salary rate in effect immediately before the date on which his Involuntary Termination occurs; provided, however, that if the Involuntary Termination is a Good Reason Termination based on clause (a) of the definition of Good Reason Termination, then Executive’s Monthly Base Salary will be not less than his monthly base salary rate in effect immediately prior to such reduction; provided, further, that in the event Executive’s Involuntary Termination occurs after a Change in Control during the Change in Control Period, then Executive’s Monthly Base Salary will be not less than his monthly base salary rate in effect immediately before the Change in Control.</w:t>
      </w:r>
    </w:p>
    <w:p>
      <w:pPr>
        <w:spacing w:after="0" w:line="12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3.15. “</w:t>
      </w:r>
      <w:r>
        <w:rPr>
          <w:rFonts w:ascii="Times New Roman" w:cs="Times New Roman" w:eastAsia="Times New Roman" w:hAnsi="Times New Roman"/>
          <w:sz w:val="22"/>
          <w:szCs w:val="22"/>
          <w:b w:val="1"/>
          <w:bCs w:val="1"/>
          <w:color w:val="auto"/>
        </w:rPr>
        <w:t>Registration Date</w:t>
      </w:r>
      <w:r>
        <w:rPr>
          <w:rFonts w:ascii="Times New Roman" w:cs="Times New Roman" w:eastAsia="Times New Roman" w:hAnsi="Times New Roman"/>
          <w:sz w:val="22"/>
          <w:szCs w:val="22"/>
          <w:color w:val="auto"/>
        </w:rPr>
        <w:t>” means the effective date of the first registration statement that is filed by the Company and declared effective pursuant to Section 12(b) of the U.S. Securities Exchange Act of 1934, as amended, with respect to any class of the Company’s securities.</w:t>
      </w:r>
    </w:p>
    <w:p>
      <w:pPr>
        <w:spacing w:after="0" w:line="11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3.16.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means Section 409A of the Code.</w:t>
      </w:r>
    </w:p>
    <w:p>
      <w:pPr>
        <w:spacing w:after="0" w:line="166"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color w:val="auto"/>
        </w:rPr>
        <w:t>3.17.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 means the separation-related compensation and other benefits that Executive will be provided in the circumstances described in Section 4.</w:t>
      </w:r>
    </w:p>
    <w:p>
      <w:pPr>
        <w:spacing w:after="0" w:line="95" w:lineRule="exact"/>
        <w:rPr>
          <w:sz w:val="20"/>
          <w:szCs w:val="20"/>
          <w:color w:val="auto"/>
        </w:rPr>
      </w:pPr>
    </w:p>
    <w:p>
      <w:pPr>
        <w:jc w:val="both"/>
        <w:ind w:right="20" w:firstLine="1296"/>
        <w:spacing w:after="0" w:line="259" w:lineRule="auto"/>
        <w:rPr>
          <w:sz w:val="20"/>
          <w:szCs w:val="20"/>
          <w:color w:val="auto"/>
        </w:rPr>
      </w:pPr>
      <w:r>
        <w:rPr>
          <w:rFonts w:ascii="Times New Roman" w:cs="Times New Roman" w:eastAsia="Times New Roman" w:hAnsi="Times New Roman"/>
          <w:sz w:val="22"/>
          <w:szCs w:val="22"/>
          <w:color w:val="auto"/>
        </w:rPr>
        <w:t>3.18. “</w:t>
      </w:r>
      <w:r>
        <w:rPr>
          <w:rFonts w:ascii="Times New Roman" w:cs="Times New Roman" w:eastAsia="Times New Roman" w:hAnsi="Times New Roman"/>
          <w:sz w:val="22"/>
          <w:szCs w:val="22"/>
          <w:b w:val="1"/>
          <w:bCs w:val="1"/>
          <w:color w:val="auto"/>
        </w:rPr>
        <w:t>Severance Period</w:t>
      </w:r>
      <w:r>
        <w:rPr>
          <w:rFonts w:ascii="Times New Roman" w:cs="Times New Roman" w:eastAsia="Times New Roman" w:hAnsi="Times New Roman"/>
          <w:sz w:val="22"/>
          <w:szCs w:val="22"/>
          <w:color w:val="auto"/>
        </w:rPr>
        <w:t>” means, with respect to the Severance Benefits payable under Section 4.1, the period of eighteen (18) months following the date of Executive’s Involuntary Termination, and with respect to the Severance Benefits payable under Section 4.2, the period of twelve (12) months following the date of Executive’s Involuntary Termination.</w:t>
      </w:r>
    </w:p>
    <w:p>
      <w:pPr>
        <w:spacing w:after="0" w:line="11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3.19. “</w:t>
      </w: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means Executive’s annualized target bonus amount under the applicable Company bonus plan, as in effect for the performance period in which Executive’s Involuntary Termination occurs; provided, however, that in the event such Involuntary Termination occurs after a Change in Control during the Change in Control Period, then Executive’s Target Bonus will be not less than such target bonus amount for Executive as in effect for the performance period in which the Change in Control occurs.</w:t>
      </w:r>
    </w:p>
    <w:p>
      <w:pPr>
        <w:spacing w:after="0" w:line="122"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3.20. “</w:t>
      </w:r>
      <w:r>
        <w:rPr>
          <w:rFonts w:ascii="Times New Roman" w:cs="Times New Roman" w:eastAsia="Times New Roman" w:hAnsi="Times New Roman"/>
          <w:sz w:val="22"/>
          <w:szCs w:val="22"/>
          <w:b w:val="1"/>
          <w:bCs w:val="1"/>
          <w:color w:val="auto"/>
        </w:rPr>
        <w:t>Time-based Equity Award</w:t>
      </w:r>
      <w:r>
        <w:rPr>
          <w:rFonts w:ascii="Times New Roman" w:cs="Times New Roman" w:eastAsia="Times New Roman" w:hAnsi="Times New Roman"/>
          <w:sz w:val="22"/>
          <w:szCs w:val="22"/>
          <w:color w:val="auto"/>
        </w:rPr>
        <w:t>” means any Equity Award granted to Executive that, as of the applicable date, is scheduled to vest based solely on Executive’s continued service with the Company, and/or any parent and/or subsidiary of the Company, as applicable, through the scheduled date(s) of vesting. For the avoidance of doubt, an outstanding Equity Award (or portion thereof) granted to Executive for which, as of the applicable date, any performance-based vesting requirements have been fully achieved or otherwise no longer apply, and which remains subject solely to vesting requirements based only on Executive’s continued service with the Company, and/or any parent and/or subsidiary of the Company, as applicable, through the scheduled date(s) of vesting, is considered a Time-based Equity Award as of the applicable date.</w:t>
      </w:r>
    </w:p>
    <w:p>
      <w:pPr>
        <w:spacing w:after="0" w:line="128" w:lineRule="exact"/>
        <w:rPr>
          <w:sz w:val="20"/>
          <w:szCs w:val="20"/>
          <w:color w:val="auto"/>
        </w:rPr>
      </w:pPr>
    </w:p>
    <w:p>
      <w:pPr>
        <w:ind w:left="1300" w:hanging="644"/>
        <w:spacing w:after="0"/>
        <w:tabs>
          <w:tab w:leader="none" w:pos="1300"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Involuntary Termination During Change in Control Period</w:t>
      </w:r>
      <w:r>
        <w:rPr>
          <w:rFonts w:ascii="Times New Roman" w:cs="Times New Roman" w:eastAsia="Times New Roman" w:hAnsi="Times New Roman"/>
          <w:sz w:val="22"/>
          <w:szCs w:val="22"/>
          <w:color w:val="auto"/>
        </w:rPr>
        <w:t>. If, during the Change in Control Period, an Involuntary Termination occurs, then Executive will receive the following Severance Benefits, subject to Section 6, Sections 8 through 11 and Section 14 and Executive’s compliance with Sections 7.1 and 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7" w:right="339" w:bottom="1440" w:gutter="0" w:footer="0" w:header="0"/>
        </w:sectPr>
      </w:pPr>
    </w:p>
    <w:bookmarkStart w:id="508" w:name="page509"/>
    <w:bookmarkEnd w:id="508"/>
    <w:p>
      <w:pPr>
        <w:jc w:val="both"/>
        <w:ind w:firstLine="1944"/>
        <w:spacing w:after="0" w:line="259"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b w:val="1"/>
          <w:bCs w:val="1"/>
          <w:color w:val="auto"/>
        </w:rPr>
        <w:t>Salary Severance Benefit.</w:t>
      </w:r>
      <w:r>
        <w:rPr>
          <w:rFonts w:ascii="Times New Roman" w:cs="Times New Roman" w:eastAsia="Times New Roman" w:hAnsi="Times New Roman"/>
          <w:sz w:val="22"/>
          <w:szCs w:val="22"/>
          <w:color w:val="auto"/>
        </w:rPr>
        <w:t xml:space="preserve"> Continued payments of Executive’s Monthly Base Salary for a period of eighteen (18) months following the date of the Involuntary Termination, in accordance with the Company’s normal payroll practices;</w:t>
      </w:r>
    </w:p>
    <w:p>
      <w:pPr>
        <w:spacing w:after="0" w:line="112" w:lineRule="exact"/>
        <w:rPr>
          <w:sz w:val="20"/>
          <w:szCs w:val="20"/>
          <w:color w:val="auto"/>
        </w:rPr>
      </w:pPr>
    </w:p>
    <w:p>
      <w:pPr>
        <w:jc w:val="both"/>
        <w:ind w:firstLine="1944"/>
        <w:spacing w:after="0" w:line="275"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b w:val="1"/>
          <w:bCs w:val="1"/>
          <w:color w:val="auto"/>
        </w:rPr>
        <w:t>Bonus Severance Benefit</w:t>
      </w:r>
      <w:r>
        <w:rPr>
          <w:rFonts w:ascii="Times New Roman" w:cs="Times New Roman" w:eastAsia="Times New Roman" w:hAnsi="Times New Roman"/>
          <w:sz w:val="22"/>
          <w:szCs w:val="22"/>
          <w:color w:val="auto"/>
        </w:rPr>
        <w:t>. A lump sum cash payment in an aggregate amount equal to one hundred fifty percent (150%) of Executive’s Target Bonus.</w:t>
      </w:r>
    </w:p>
    <w:p>
      <w:pPr>
        <w:spacing w:after="0" w:line="95" w:lineRule="exact"/>
        <w:rPr>
          <w:sz w:val="20"/>
          <w:szCs w:val="20"/>
          <w:color w:val="auto"/>
        </w:rPr>
      </w:pPr>
    </w:p>
    <w:p>
      <w:pPr>
        <w:jc w:val="both"/>
        <w:ind w:firstLine="1944"/>
        <w:spacing w:after="0" w:line="245"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b w:val="1"/>
          <w:bCs w:val="1"/>
          <w:color w:val="auto"/>
        </w:rPr>
        <w:t>COBRA Benefit</w:t>
      </w:r>
      <w:r>
        <w:rPr>
          <w:rFonts w:ascii="Times New Roman" w:cs="Times New Roman" w:eastAsia="Times New Roman" w:hAnsi="Times New Roman"/>
          <w:sz w:val="22"/>
          <w:szCs w:val="22"/>
          <w:color w:val="auto"/>
        </w:rPr>
        <w:t>. If Executive and any spouse and/or other dependents of Executive (“</w:t>
      </w:r>
      <w:r>
        <w:rPr>
          <w:rFonts w:ascii="Times New Roman" w:cs="Times New Roman" w:eastAsia="Times New Roman" w:hAnsi="Times New Roman"/>
          <w:sz w:val="22"/>
          <w:szCs w:val="22"/>
          <w:b w:val="1"/>
          <w:bCs w:val="1"/>
          <w:color w:val="auto"/>
        </w:rPr>
        <w:t>Family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Members</w:t>
      </w:r>
      <w:r>
        <w:rPr>
          <w:rFonts w:ascii="Times New Roman" w:cs="Times New Roman" w:eastAsia="Times New Roman" w:hAnsi="Times New Roman"/>
          <w:sz w:val="22"/>
          <w:szCs w:val="22"/>
          <w:color w:val="auto"/>
        </w:rPr>
        <w:t>”) have coverage under the group health plan(s) sponsored by the Company on the date of Executive’s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(such coverage, “</w:t>
      </w:r>
      <w:r>
        <w:rPr>
          <w:rFonts w:ascii="Times New Roman" w:cs="Times New Roman" w:eastAsia="Times New Roman" w:hAnsi="Times New Roman"/>
          <w:sz w:val="22"/>
          <w:szCs w:val="22"/>
          <w:b w:val="1"/>
          <w:bCs w:val="1"/>
          <w:color w:val="auto"/>
        </w:rPr>
        <w:t>Qualifying Health Coverage</w:t>
      </w:r>
      <w:r>
        <w:rPr>
          <w:rFonts w:ascii="Times New Roman" w:cs="Times New Roman" w:eastAsia="Times New Roman" w:hAnsi="Times New Roman"/>
          <w:sz w:val="22"/>
          <w:szCs w:val="22"/>
          <w:color w:val="auto"/>
        </w:rPr>
        <w:t>”), either reimbursement for the payments Executive makes, or direct payments by the Company or the Employer to the insurance provider, at the Company’s election, of the premiums for medical, vision and dental coverage for Executive and Executive’s eligible dependents under Title X of the Consolidated Omnibus Budget Reconciliation Act of 1985, as amended or comparable applicable state law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(such reimbursements or direct payments, the “</w:t>
      </w:r>
      <w:r>
        <w:rPr>
          <w:rFonts w:ascii="Times New Roman" w:cs="Times New Roman" w:eastAsia="Times New Roman" w:hAnsi="Times New Roman"/>
          <w:sz w:val="22"/>
          <w:szCs w:val="22"/>
          <w:b w:val="1"/>
          <w:bCs w:val="1"/>
          <w:color w:val="auto"/>
        </w:rPr>
        <w:t>COBRA Benefits</w:t>
      </w:r>
      <w:r>
        <w:rPr>
          <w:rFonts w:ascii="Times New Roman" w:cs="Times New Roman" w:eastAsia="Times New Roman" w:hAnsi="Times New Roman"/>
          <w:sz w:val="22"/>
          <w:szCs w:val="22"/>
          <w:color w:val="auto"/>
        </w:rPr>
        <w:t>”) for a period of eighteen (18) months following the Involuntary Termination or until Executive has secured other employment that provides group health insurance coverage, whichever occurs first, subject to Executive timely electing COBRA coverage, remaining eligible for COBRA continuation coverage and, with respect to reimbursements, timely paying for COBRA coverage. Any COBRA reimbursements under this Agreement will be made by the Company to Executive consistent with the Company’s normal expense reimbursement policy, provided further that Executive submits documentation to the Company substantiating his payments for COBRA coverage. Notwithstanding anything to the contrary in the Agreement, if at any time the Company determines in its sole discretion that the COBRA Benefits contemplated by this Section 4.1.3 cannot be provided to Executive without violating applicable law (including, without limitation, Section 2716 of the Public Health Service Act), such Executive will not receive such COBRA Benefits, and Executive will not receive any benefits or payments in lieu thereof; and</w:t>
      </w:r>
    </w:p>
    <w:p>
      <w:pPr>
        <w:spacing w:after="0" w:line="134" w:lineRule="exact"/>
        <w:rPr>
          <w:sz w:val="20"/>
          <w:szCs w:val="20"/>
          <w:color w:val="auto"/>
        </w:rPr>
      </w:pPr>
    </w:p>
    <w:p>
      <w:pPr>
        <w:jc w:val="both"/>
        <w:ind w:firstLine="1944"/>
        <w:spacing w:after="0" w:line="246" w:lineRule="auto"/>
        <w:rPr>
          <w:sz w:val="20"/>
          <w:szCs w:val="20"/>
          <w:color w:val="auto"/>
        </w:rPr>
      </w:pPr>
      <w:r>
        <w:rPr>
          <w:rFonts w:ascii="Times New Roman" w:cs="Times New Roman" w:eastAsia="Times New Roman" w:hAnsi="Times New Roman"/>
          <w:sz w:val="22"/>
          <w:szCs w:val="22"/>
          <w:color w:val="auto"/>
        </w:rPr>
        <w:t xml:space="preserve">4.1.4. </w:t>
      </w:r>
      <w:r>
        <w:rPr>
          <w:rFonts w:ascii="Times New Roman" w:cs="Times New Roman" w:eastAsia="Times New Roman" w:hAnsi="Times New Roman"/>
          <w:sz w:val="22"/>
          <w:szCs w:val="22"/>
          <w:b w:val="1"/>
          <w:bCs w:val="1"/>
          <w:color w:val="auto"/>
        </w:rPr>
        <w:t>Equity Award Vesting Acceleration Benefit</w:t>
      </w:r>
      <w:r>
        <w:rPr>
          <w:rFonts w:ascii="Times New Roman" w:cs="Times New Roman" w:eastAsia="Times New Roman" w:hAnsi="Times New Roman"/>
          <w:sz w:val="22"/>
          <w:szCs w:val="22"/>
          <w:color w:val="auto"/>
        </w:rPr>
        <w:t>. Executive’s Time-based Equity Awards will accelerate vesting in full. For the avoidance of doubt, in the event of Executive’s Involuntary Termination that occurs prior to a Change in Control, any then outstanding and unvested portion of Executive’s Equity Awards, to the extent not accelerated pursuant to Section 4.2.4 below, will remain outstanding and unvested until the earlier of (x) three (3) months following the Involuntary Termination, or (y) a Change in Control that occurs within three (3) months following the Involuntary Termination, solely so that any Severance Benefits due on an Involuntary Termination can be provided if the Involuntary Termination occurs during the Change in Control Period (provided that in no event will Executive’s Company stock options or similar Equity Awards remain outstanding beyond such Equity Award’s maximum term to expiration). If no Change in Control occurs within three (3) months following an Involuntary Termination, any unvested portion of Executive’s Equity Awards automatically and permanently will be forfeited on the date three (3) months following the date of the Involuntary Termination without having vested.</w:t>
      </w:r>
    </w:p>
    <w:p>
      <w:pPr>
        <w:spacing w:after="0" w:line="13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Involuntary Termination Other Than During the Change in Control Period</w:t>
      </w:r>
      <w:r>
        <w:rPr>
          <w:rFonts w:ascii="Times New Roman" w:cs="Times New Roman" w:eastAsia="Times New Roman" w:hAnsi="Times New Roman"/>
          <w:sz w:val="22"/>
          <w:szCs w:val="22"/>
          <w:color w:val="auto"/>
        </w:rPr>
        <w:t>. If, other than during the Change in Control Period, an Involuntary Termination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7" w:right="339" w:bottom="1440" w:gutter="0" w:footer="0" w:header="0"/>
        </w:sectPr>
      </w:pPr>
    </w:p>
    <w:bookmarkStart w:id="509" w:name="page510"/>
    <w:bookmarkEnd w:id="509"/>
    <w:p>
      <w:pPr>
        <w:spacing w:after="0"/>
        <w:rPr>
          <w:sz w:val="20"/>
          <w:szCs w:val="20"/>
          <w:color w:val="auto"/>
        </w:rPr>
      </w:pPr>
      <w:r>
        <w:rPr>
          <w:rFonts w:ascii="Times New Roman" w:cs="Times New Roman" w:eastAsia="Times New Roman" w:hAnsi="Times New Roman"/>
          <w:sz w:val="22"/>
          <w:szCs w:val="22"/>
          <w:color w:val="auto"/>
        </w:rPr>
        <w:t>then Executive will receive the following Severance Benefits, subject to Section 6, Sections 8 through 11 and Section 14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Executive’s compliance with Sections 7.1 and 7.3:</w:t>
      </w:r>
    </w:p>
    <w:p>
      <w:pPr>
        <w:spacing w:after="0" w:line="138"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22"/>
          <w:szCs w:val="22"/>
          <w:color w:val="auto"/>
        </w:rPr>
        <w:t xml:space="preserve">4.2.1. </w:t>
      </w:r>
      <w:r>
        <w:rPr>
          <w:rFonts w:ascii="Times New Roman" w:cs="Times New Roman" w:eastAsia="Times New Roman" w:hAnsi="Times New Roman"/>
          <w:sz w:val="22"/>
          <w:szCs w:val="22"/>
          <w:b w:val="1"/>
          <w:bCs w:val="1"/>
          <w:color w:val="auto"/>
        </w:rPr>
        <w:t>Salary Severance Benefit</w:t>
      </w:r>
      <w:r>
        <w:rPr>
          <w:rFonts w:ascii="Times New Roman" w:cs="Times New Roman" w:eastAsia="Times New Roman" w:hAnsi="Times New Roman"/>
          <w:sz w:val="22"/>
          <w:szCs w:val="22"/>
          <w:color w:val="auto"/>
        </w:rPr>
        <w:t>. Continued payments of Executive’s Monthly Base Salary for a period of twelve (12) months following the date of the Involuntary Termination, in accordance with the Company’s normal payroll practices;</w:t>
      </w:r>
    </w:p>
    <w:p>
      <w:pPr>
        <w:spacing w:after="0" w:line="112"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b w:val="1"/>
          <w:bCs w:val="1"/>
          <w:color w:val="auto"/>
        </w:rPr>
        <w:t>Prorated Bonus Benefit</w:t>
      </w:r>
      <w:r>
        <w:rPr>
          <w:rFonts w:ascii="Times New Roman" w:cs="Times New Roman" w:eastAsia="Times New Roman" w:hAnsi="Times New Roman"/>
          <w:sz w:val="22"/>
          <w:szCs w:val="22"/>
          <w:color w:val="auto"/>
        </w:rPr>
        <w:t>. A lump sum cash payment equal to Executive’s Target Bonus prorated by multiplying such amount by a fraction, which fraction is determined as (x) the number of days during which Executive was employed with the Employer in the calendar year that the Involuntary Termination occurs, divided by (y) the total number of days in such calendar year.</w:t>
      </w:r>
    </w:p>
    <w:p>
      <w:pPr>
        <w:spacing w:after="0" w:line="121" w:lineRule="exact"/>
        <w:rPr>
          <w:sz w:val="20"/>
          <w:szCs w:val="20"/>
          <w:color w:val="auto"/>
        </w:rPr>
      </w:pPr>
    </w:p>
    <w:p>
      <w:pPr>
        <w:jc w:val="both"/>
        <w:ind w:firstLine="1944"/>
        <w:spacing w:after="0" w:line="246" w:lineRule="auto"/>
        <w:rPr>
          <w:sz w:val="20"/>
          <w:szCs w:val="20"/>
          <w:color w:val="auto"/>
        </w:rPr>
      </w:pPr>
      <w:r>
        <w:rPr>
          <w:rFonts w:ascii="Times New Roman" w:cs="Times New Roman" w:eastAsia="Times New Roman" w:hAnsi="Times New Roman"/>
          <w:sz w:val="22"/>
          <w:szCs w:val="22"/>
          <w:color w:val="auto"/>
        </w:rPr>
        <w:t xml:space="preserve">4.2.3. </w:t>
      </w:r>
      <w:r>
        <w:rPr>
          <w:rFonts w:ascii="Times New Roman" w:cs="Times New Roman" w:eastAsia="Times New Roman" w:hAnsi="Times New Roman"/>
          <w:sz w:val="22"/>
          <w:szCs w:val="22"/>
          <w:b w:val="1"/>
          <w:bCs w:val="1"/>
          <w:color w:val="auto"/>
        </w:rPr>
        <w:t>COBRA Benefit</w:t>
      </w:r>
      <w:r>
        <w:rPr>
          <w:rFonts w:ascii="Times New Roman" w:cs="Times New Roman" w:eastAsia="Times New Roman" w:hAnsi="Times New Roman"/>
          <w:sz w:val="22"/>
          <w:szCs w:val="22"/>
          <w:color w:val="auto"/>
        </w:rPr>
        <w:t>. If Executive and any Family Members have Qualifying Health Coverage, COBRA Benefits for twelve (12) months following the date of the Executive’s Involuntary Termination or until Executive has secured other employment that provides group health insurance coverage, whichever occurs first, and subject to Executive timely electing COBRA coverage, remaining eligible for COBRA continuation coverage and, with respect to reimbursements, timely paying for COBRA coverage. Any COBRA reimbursements under this Agreement will be made by the Company to Executive consistent with the Company’s normal expense reimbursement policy, provided further that Executive submits documentation to the Company substantiating his payments for COBRA coverage. Notwithstanding anything to the contrary in the Agreement, if at any time the Company determines in its sole discretion that the COBRA Benefits contemplated by this Section 4.2.3 cannot be provided to Executive without violating applicable law (including, without limitation, Section 2716 of the Public Health Service Act), Executive will not receive such COBRA Benefits, and Executive will not receive any benefits or payments in lieu thereof; and</w:t>
      </w:r>
    </w:p>
    <w:p>
      <w:pPr>
        <w:spacing w:after="0" w:line="131" w:lineRule="exact"/>
        <w:rPr>
          <w:sz w:val="20"/>
          <w:szCs w:val="20"/>
          <w:color w:val="auto"/>
        </w:rPr>
      </w:pPr>
    </w:p>
    <w:p>
      <w:pPr>
        <w:jc w:val="both"/>
        <w:ind w:firstLine="1944"/>
        <w:spacing w:after="0" w:line="248" w:lineRule="auto"/>
        <w:rPr>
          <w:sz w:val="20"/>
          <w:szCs w:val="20"/>
          <w:color w:val="auto"/>
        </w:rPr>
      </w:pPr>
      <w:r>
        <w:rPr>
          <w:rFonts w:ascii="Times New Roman" w:cs="Times New Roman" w:eastAsia="Times New Roman" w:hAnsi="Times New Roman"/>
          <w:sz w:val="22"/>
          <w:szCs w:val="22"/>
          <w:color w:val="auto"/>
        </w:rPr>
        <w:t xml:space="preserve">4.2.4. </w:t>
      </w:r>
      <w:r>
        <w:rPr>
          <w:rFonts w:ascii="Times New Roman" w:cs="Times New Roman" w:eastAsia="Times New Roman" w:hAnsi="Times New Roman"/>
          <w:sz w:val="22"/>
          <w:szCs w:val="22"/>
          <w:b w:val="1"/>
          <w:bCs w:val="1"/>
          <w:color w:val="auto"/>
        </w:rPr>
        <w:t>Equity Award Vesting Acceleration Benefit</w:t>
      </w:r>
      <w:r>
        <w:rPr>
          <w:rFonts w:ascii="Times New Roman" w:cs="Times New Roman" w:eastAsia="Times New Roman" w:hAnsi="Times New Roman"/>
          <w:sz w:val="22"/>
          <w:szCs w:val="22"/>
          <w:color w:val="auto"/>
        </w:rPr>
        <w:t>. Executive’s Time-based Equity Awards will accelerate vesting as to fifty percent (50%) of the portion of each Time-based Equity Award that is outstanding and unvested as of the Involuntary Termination or, with respect to the RS Awards (as defined below) only, if greater, the number of shares subject to each of the RS Awards that otherwise was scheduled to vest through the one (1) year anniversary of the Involuntary Termination had Executive remained employed through such one (1) year anniversary date. The “</w:t>
      </w:r>
      <w:r>
        <w:rPr>
          <w:rFonts w:ascii="Times New Roman" w:cs="Times New Roman" w:eastAsia="Times New Roman" w:hAnsi="Times New Roman"/>
          <w:sz w:val="22"/>
          <w:szCs w:val="22"/>
          <w:b w:val="1"/>
          <w:bCs w:val="1"/>
          <w:color w:val="auto"/>
        </w:rPr>
        <w:t>RS Awards</w:t>
      </w:r>
      <w:r>
        <w:rPr>
          <w:rFonts w:ascii="Times New Roman" w:cs="Times New Roman" w:eastAsia="Times New Roman" w:hAnsi="Times New Roman"/>
          <w:sz w:val="22"/>
          <w:szCs w:val="22"/>
          <w:color w:val="auto"/>
        </w:rPr>
        <w:t>” shall mean the awards of restricted stock received by Executive under (a) the Restricted Stock Purchase Agreement dated September 20, 2017, as amended December 20, 2017, and (b) the Restricted Stock Purchase Agreement dated February 19, 2018.</w:t>
      </w:r>
    </w:p>
    <w:p>
      <w:pPr>
        <w:spacing w:after="0" w:line="128" w:lineRule="exact"/>
        <w:rPr>
          <w:sz w:val="20"/>
          <w:szCs w:val="20"/>
          <w:color w:val="auto"/>
        </w:rPr>
      </w:pPr>
    </w:p>
    <w:p>
      <w:pPr>
        <w:jc w:val="both"/>
        <w:ind w:firstLine="656"/>
        <w:spacing w:after="0" w:line="251" w:lineRule="auto"/>
        <w:tabs>
          <w:tab w:leader="none" w:pos="1296"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Grandfathered Award Vesting Acceleration Benefit Following a Change in Control</w:t>
      </w:r>
      <w:r>
        <w:rPr>
          <w:rFonts w:ascii="Times New Roman" w:cs="Times New Roman" w:eastAsia="Times New Roman" w:hAnsi="Times New Roman"/>
          <w:sz w:val="22"/>
          <w:szCs w:val="22"/>
          <w:color w:val="auto"/>
        </w:rPr>
        <w:t>. If Executive remains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employed with the Employer through the date that is the two (2) year anniversary of such Change in Control (the “</w:t>
      </w:r>
      <w:r>
        <w:rPr>
          <w:rFonts w:ascii="Times New Roman" w:cs="Times New Roman" w:eastAsia="Times New Roman" w:hAnsi="Times New Roman"/>
          <w:sz w:val="22"/>
          <w:szCs w:val="22"/>
          <w:b w:val="1"/>
          <w:bCs w:val="1"/>
          <w:color w:val="auto"/>
        </w:rPr>
        <w:t>Retention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then subject to Section 6, Sections 8 through 10 and Section 14, and subject to Executive’s compliance with Section 7.2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one hundred percent (100%) of Executive’s then unvested and outstanding Grandfathered Awards will vest in full and (if applicable) become exercisable (the “</w:t>
      </w:r>
      <w:r>
        <w:rPr>
          <w:rFonts w:ascii="Times New Roman" w:cs="Times New Roman" w:eastAsia="Times New Roman" w:hAnsi="Times New Roman"/>
          <w:sz w:val="22"/>
          <w:szCs w:val="22"/>
          <w:b w:val="1"/>
          <w:bCs w:val="1"/>
          <w:color w:val="auto"/>
        </w:rPr>
        <w:t>Retention Acceleration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1" w:right="339" w:bottom="1440" w:gutter="0" w:footer="0" w:header="0"/>
        </w:sectPr>
      </w:pPr>
    </w:p>
    <w:bookmarkStart w:id="510" w:name="page511"/>
    <w:bookmarkEnd w:id="510"/>
    <w:p>
      <w:pPr>
        <w:ind w:left="1300" w:hanging="644"/>
        <w:spacing w:after="0"/>
        <w:tabs>
          <w:tab w:leader="none" w:pos="1300"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 on Payments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b w:val="1"/>
          <w:bCs w:val="1"/>
          <w:color w:val="auto"/>
        </w:rPr>
        <w:t>Reduction of Severance Benefits</w:t>
      </w:r>
      <w:r>
        <w:rPr>
          <w:rFonts w:ascii="Times New Roman" w:cs="Times New Roman" w:eastAsia="Times New Roman" w:hAnsi="Times New Roman"/>
          <w:sz w:val="21"/>
          <w:szCs w:val="21"/>
          <w:color w:val="auto"/>
        </w:rPr>
        <w:t>. If any payment or benefit that Executive would receive from the Company, or any other party whether in connection with the provisions in this Agreement or otherwise (the “</w:t>
      </w: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 would</w:t>
      </w:r>
    </w:p>
    <w:p>
      <w:pPr>
        <w:spacing w:after="0" w:line="2" w:lineRule="exact"/>
        <w:rPr>
          <w:sz w:val="20"/>
          <w:szCs w:val="20"/>
          <w:color w:val="auto"/>
        </w:rPr>
      </w:pPr>
    </w:p>
    <w:p>
      <w:pPr>
        <w:jc w:val="both"/>
        <w:ind w:firstLine="8"/>
        <w:spacing w:after="0" w:line="254" w:lineRule="auto"/>
        <w:tabs>
          <w:tab w:leader="none" w:pos="300" w:val="left"/>
        </w:tabs>
        <w:numPr>
          <w:ilvl w:val="0"/>
          <w:numId w:val="4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21"/>
          <w:szCs w:val="21"/>
          <w:b w:val="1"/>
          <w:bCs w:val="1"/>
          <w:color w:val="auto"/>
        </w:rPr>
        <w:t>Excise Tax</w:t>
      </w:r>
      <w:r>
        <w:rPr>
          <w:rFonts w:ascii="Times New Roman" w:cs="Times New Roman" w:eastAsia="Times New Roman" w:hAnsi="Times New Roman"/>
          <w:sz w:val="21"/>
          <w:szCs w:val="21"/>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following the occurrence of the event triggering the Excise Tax will be the first cash payment to be reduced);</w:t>
      </w:r>
    </w:p>
    <w:p>
      <w:pPr>
        <w:spacing w:after="0" w:line="4" w:lineRule="exact"/>
        <w:rPr>
          <w:sz w:val="20"/>
          <w:szCs w:val="20"/>
          <w:color w:val="auto"/>
        </w:rPr>
      </w:pPr>
    </w:p>
    <w:p>
      <w:pPr>
        <w:jc w:val="both"/>
        <w:ind w:firstLine="8"/>
        <w:spacing w:after="0" w:line="243" w:lineRule="auto"/>
        <w:tabs>
          <w:tab w:leader="none" w:pos="346"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will have any responsibility, liability or obligation to reimburse, indemnify or hold harmless Executive for any of those payments of personal tax liability.</w:t>
      </w:r>
    </w:p>
    <w:p>
      <w:pPr>
        <w:spacing w:after="0" w:line="138"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Determination of Excise Tax Liability</w:t>
      </w:r>
      <w:r>
        <w:rPr>
          <w:rFonts w:ascii="Times New Roman" w:cs="Times New Roman" w:eastAsia="Times New Roman" w:hAnsi="Times New Roman"/>
          <w:sz w:val="22"/>
          <w:szCs w:val="22"/>
          <w:color w:val="auto"/>
        </w:rPr>
        <w:t>. Any determinations required under this Section 6 will be made in writing by a nationally recognized accounting or valuation firm (the “</w:t>
      </w:r>
      <w:r>
        <w:rPr>
          <w:rFonts w:ascii="Times New Roman" w:cs="Times New Roman" w:eastAsia="Times New Roman" w:hAnsi="Times New Roman"/>
          <w:sz w:val="22"/>
          <w:szCs w:val="22"/>
          <w:b w:val="1"/>
          <w:bCs w:val="1"/>
          <w:color w:val="auto"/>
        </w:rPr>
        <w:t>Firm</w:t>
      </w:r>
      <w:r>
        <w:rPr>
          <w:rFonts w:ascii="Times New Roman" w:cs="Times New Roman" w:eastAsia="Times New Roman" w:hAnsi="Times New Roman"/>
          <w:sz w:val="22"/>
          <w:szCs w:val="22"/>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Neither the Company nor any parent, subsidiary, or other affiliate of the Company will have any liability to Executive for the determinations of the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7" w:right="339" w:bottom="1440" w:gutter="0" w:footer="0" w:header="0"/>
        </w:sectPr>
      </w:pPr>
    </w:p>
    <w:bookmarkStart w:id="511" w:name="page512"/>
    <w:bookmarkEnd w:id="511"/>
    <w:p>
      <w:pPr>
        <w:ind w:left="1300" w:hanging="644"/>
        <w:spacing w:after="0"/>
        <w:tabs>
          <w:tab w:leader="none" w:pos="1300"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Conditions to Receipt of Benefits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Severance Benefits Release Requirement</w:t>
      </w:r>
      <w:r>
        <w:rPr>
          <w:rFonts w:ascii="Times New Roman" w:cs="Times New Roman" w:eastAsia="Times New Roman" w:hAnsi="Times New Roman"/>
          <w:sz w:val="22"/>
          <w:szCs w:val="22"/>
          <w:color w:val="auto"/>
        </w:rPr>
        <w:t>. Notwithstanding any contrary Agreement provision, as a condition to receiving any Severance Benefits, Executive will be required to sign and not revoke a separation agreement and release of claims in a form reasonably satisfactory to the Company (the “</w:t>
      </w:r>
      <w:r>
        <w:rPr>
          <w:rFonts w:ascii="Times New Roman" w:cs="Times New Roman" w:eastAsia="Times New Roman" w:hAnsi="Times New Roman"/>
          <w:sz w:val="22"/>
          <w:szCs w:val="22"/>
          <w:b w:val="1"/>
          <w:bCs w:val="1"/>
          <w:color w:val="auto"/>
        </w:rPr>
        <w:t>Severance Release</w:t>
      </w:r>
      <w:r>
        <w:rPr>
          <w:rFonts w:ascii="Times New Roman" w:cs="Times New Roman" w:eastAsia="Times New Roman" w:hAnsi="Times New Roman"/>
          <w:sz w:val="22"/>
          <w:szCs w:val="22"/>
          <w:color w:val="auto"/>
        </w:rPr>
        <w:t>”). In all cases, the Severance Release must become effective and irrevocable no later than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Executive’s Involuntary Termination (the “</w:t>
      </w:r>
      <w:r>
        <w:rPr>
          <w:rFonts w:ascii="Times New Roman" w:cs="Times New Roman" w:eastAsia="Times New Roman" w:hAnsi="Times New Roman"/>
          <w:sz w:val="22"/>
          <w:szCs w:val="22"/>
          <w:b w:val="1"/>
          <w:bCs w:val="1"/>
          <w:color w:val="auto"/>
        </w:rPr>
        <w:t>Severance Release Deadline Date</w:t>
      </w:r>
      <w:r>
        <w:rPr>
          <w:rFonts w:ascii="Times New Roman" w:cs="Times New Roman" w:eastAsia="Times New Roman" w:hAnsi="Times New Roman"/>
          <w:sz w:val="22"/>
          <w:szCs w:val="22"/>
          <w:color w:val="auto"/>
        </w:rPr>
        <w:t>”). If the Severance Release does not become effective and irrevocable by the Severance Release Deadline Date, Executive will forfeit any right to receive any and all Severance Benefits. In no event will any Severance Benefits be paid or provided until the Severance Release becomes effective and irrevocable.</w:t>
      </w:r>
    </w:p>
    <w:p>
      <w:pPr>
        <w:spacing w:after="0" w:line="13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Retention Release Requirement</w:t>
      </w:r>
      <w:r>
        <w:rPr>
          <w:rFonts w:ascii="Times New Roman" w:cs="Times New Roman" w:eastAsia="Times New Roman" w:hAnsi="Times New Roman"/>
          <w:sz w:val="22"/>
          <w:szCs w:val="22"/>
          <w:color w:val="auto"/>
        </w:rPr>
        <w:t>. Notwithstanding any contrary Agreement provision, as a condition to receiving any Retention Acceleration, Executive will be required to sign and not revoke a release of claims agreement in a form reasonably satisfactory to the Company (the “</w:t>
      </w:r>
      <w:r>
        <w:rPr>
          <w:rFonts w:ascii="Times New Roman" w:cs="Times New Roman" w:eastAsia="Times New Roman" w:hAnsi="Times New Roman"/>
          <w:sz w:val="22"/>
          <w:szCs w:val="22"/>
          <w:b w:val="1"/>
          <w:bCs w:val="1"/>
          <w:color w:val="auto"/>
        </w:rPr>
        <w:t>Retention Release</w:t>
      </w:r>
      <w:r>
        <w:rPr>
          <w:rFonts w:ascii="Times New Roman" w:cs="Times New Roman" w:eastAsia="Times New Roman" w:hAnsi="Times New Roman"/>
          <w:sz w:val="22"/>
          <w:szCs w:val="22"/>
          <w:color w:val="auto"/>
        </w:rPr>
        <w:t>”). In all cases, the Retention Release must become effective and irrevocable no later than sixty (60) days following the Retention Date (the “</w:t>
      </w:r>
      <w:r>
        <w:rPr>
          <w:rFonts w:ascii="Times New Roman" w:cs="Times New Roman" w:eastAsia="Times New Roman" w:hAnsi="Times New Roman"/>
          <w:sz w:val="22"/>
          <w:szCs w:val="22"/>
          <w:b w:val="1"/>
          <w:bCs w:val="1"/>
          <w:color w:val="auto"/>
        </w:rPr>
        <w:t>Retention Release Deadline Date</w:t>
      </w:r>
      <w:r>
        <w:rPr>
          <w:rFonts w:ascii="Times New Roman" w:cs="Times New Roman" w:eastAsia="Times New Roman" w:hAnsi="Times New Roman"/>
          <w:sz w:val="22"/>
          <w:szCs w:val="22"/>
          <w:color w:val="auto"/>
        </w:rPr>
        <w:t>”). If the Retention Release does not become effective and irrevocable by the Retention Release Deadline Date, Executive will forfeit any right to receive any and all Retention Acceleration. In no event will any Retention Acceleration be paid or provided until the Retention Release becomes effective and irrevocable.</w:t>
      </w:r>
    </w:p>
    <w:p>
      <w:pPr>
        <w:spacing w:after="0" w:line="12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color w:val="auto"/>
        </w:rPr>
        <w:t>Other Requirements</w:t>
      </w:r>
      <w:r>
        <w:rPr>
          <w:rFonts w:ascii="Times New Roman" w:cs="Times New Roman" w:eastAsia="Times New Roman" w:hAnsi="Times New Roman"/>
          <w:sz w:val="22"/>
          <w:szCs w:val="22"/>
          <w:color w:val="auto"/>
        </w:rPr>
        <w:t>. Executive’s receipt of Severance Benefits will be subject to Executive continuing to comply with the provisions of the Severance Release and the terms of any confidentiality, information and inventions agreement, and any other written agreement or agreements between Executive and the Company (or Employer, as applicable) under which Executive has a material duty or obligation to the Company (or Employer, as applicable). Any Severance Benefits will terminate immediately if Executive at any time, violates any such agreement and/or the Severance Release, and Executive will be obligated to repay all Severance Benefits paid or provided to Executive.</w:t>
      </w:r>
    </w:p>
    <w:p>
      <w:pPr>
        <w:spacing w:after="0" w:line="126" w:lineRule="exact"/>
        <w:rPr>
          <w:sz w:val="20"/>
          <w:szCs w:val="20"/>
          <w:color w:val="auto"/>
        </w:rPr>
      </w:pPr>
    </w:p>
    <w:p>
      <w:pPr>
        <w:ind w:left="1300" w:hanging="644"/>
        <w:spacing w:after="0"/>
        <w:tabs>
          <w:tab w:leader="none" w:pos="1300" w:val="left"/>
        </w:tabs>
        <w:numPr>
          <w:ilvl w:val="0"/>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 Timing</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 Provided that the Severance Release becomes effective and irrevocable by the Severance Release Deadline Date and subject to Section 10, any Severance Benefits will be paid, or in the case of installments, will commence, on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Executive’s Involuntary Termination (the “</w:t>
      </w:r>
      <w:r>
        <w:rPr>
          <w:rFonts w:ascii="Times New Roman" w:cs="Times New Roman" w:eastAsia="Times New Roman" w:hAnsi="Times New Roman"/>
          <w:sz w:val="22"/>
          <w:szCs w:val="22"/>
          <w:b w:val="1"/>
          <w:bCs w:val="1"/>
          <w:color w:val="auto"/>
        </w:rPr>
        <w:t>Payment Date</w:t>
      </w:r>
      <w:r>
        <w:rPr>
          <w:rFonts w:ascii="Times New Roman" w:cs="Times New Roman" w:eastAsia="Times New Roman" w:hAnsi="Times New Roman"/>
          <w:sz w:val="22"/>
          <w:szCs w:val="22"/>
          <w:color w:val="auto"/>
        </w:rPr>
        <w:t>”), and any Severance Benefits otherwise payable to Executive during the period immediately following Executive’s Involuntary Termination through the Payment Date will be paid in a lump sum to Executive on the Payment Date, with any remaining payments to be made as provided in the Agreement; provided, however, that any Severance Benefits consisting of the acceleration of stock options or restricted stock awards will be effective immediately upon the effectiveness and irrevocability of the Severance Release. Further, and notwithstanding the foregoing, if Executive’s Involuntary Termination occurs before a Change in Control and additional Severance Benefits become payable as a result of the Change in Control occurring within three (3) months following such Involuntary Termination, then the additional Severance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17" w:right="339" w:bottom="1440" w:gutter="0" w:footer="0" w:header="0"/>
        </w:sectPr>
      </w:pPr>
    </w:p>
    <w:bookmarkStart w:id="512" w:name="page513"/>
    <w:bookmarkEnd w:id="512"/>
    <w:p>
      <w:pPr>
        <w:jc w:val="both"/>
        <w:spacing w:after="0" w:line="258" w:lineRule="auto"/>
        <w:rPr>
          <w:sz w:val="20"/>
          <w:szCs w:val="20"/>
          <w:color w:val="auto"/>
        </w:rPr>
      </w:pPr>
      <w:r>
        <w:rPr>
          <w:rFonts w:ascii="Times New Roman" w:cs="Times New Roman" w:eastAsia="Times New Roman" w:hAnsi="Times New Roman"/>
          <w:sz w:val="21"/>
          <w:szCs w:val="21"/>
          <w:color w:val="auto"/>
        </w:rPr>
        <w:t>(other than the installment payments of Monthly Base Salary), will be paid on the later of (a) the first regularly scheduled payroll date of the Company following the Severance Release Deadline, or (b) the date of the Change in Control, in each case subject to any delay required by Section 10, with the exception that any such additional Severance Benefits consisting of the acceleration of stock options and restricted stock awards will be effective upon the later of (i) the effectiveness and irrevocability of the Severance Release and (ii) immediately prior to the Change in Control but contingent upon the completion of the Change in Control. Notwithstanding the foregoing, any Equity Awards that are restricted stock units, performance shares, performance units, and/or similar full value awards (other than restricted stock) (the “</w:t>
      </w:r>
      <w:r>
        <w:rPr>
          <w:rFonts w:ascii="Times New Roman" w:cs="Times New Roman" w:eastAsia="Times New Roman" w:hAnsi="Times New Roman"/>
          <w:sz w:val="21"/>
          <w:szCs w:val="21"/>
          <w:b w:val="1"/>
          <w:bCs w:val="1"/>
          <w:color w:val="auto"/>
        </w:rPr>
        <w:t>Full Value Awards</w:t>
      </w:r>
      <w:r>
        <w:rPr>
          <w:rFonts w:ascii="Times New Roman" w:cs="Times New Roman" w:eastAsia="Times New Roman" w:hAnsi="Times New Roman"/>
          <w:sz w:val="21"/>
          <w:szCs w:val="21"/>
          <w:color w:val="auto"/>
        </w:rPr>
        <w:t>”) that accelerate vesting under Section 4 of this Agreement will be settled, subject to any delay required by Section 10 below (or the terms of the Full Value Award agreement or other Company plan, policy, or arrangement governing the settlement timing of the Full Value Award to the extent such terms specifically require any different payment timing in order to comply with or be exempt from the requirements of Section 409A, as applicable), (x) on the Payment Date, or (y) if later, in the event of an Involuntary Termination that occurs during the period of three (3) months prior to a Change in Control, on the date of the Change in Control.</w:t>
      </w:r>
    </w:p>
    <w:p>
      <w:pPr>
        <w:spacing w:after="0" w:line="12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color w:val="auto"/>
        </w:rPr>
        <w:t>Retention Acceleration</w:t>
      </w:r>
      <w:r>
        <w:rPr>
          <w:rFonts w:ascii="Times New Roman" w:cs="Times New Roman" w:eastAsia="Times New Roman" w:hAnsi="Times New Roman"/>
          <w:sz w:val="22"/>
          <w:szCs w:val="22"/>
          <w:color w:val="auto"/>
        </w:rPr>
        <w:t>. Provided that the Retention Release becomes effective and irrevocable by the Retention Release Deadline Date, and subject to Section 10, any Retention Acceleration with respect to stock options or restricted stock awards will be effective immediately upon the effectiveness and irrevocability of the Retention Release. Any Full Value Awards vesting as a result of the Retention Acceleration will be settled on a date within sixty (60) days following the Retention Date (or in accordance with the terms of the Full Value Award agreement or other Company plan, policy, or arrangement governing the settlement timing of the Full Value Award to the extent such terms specifically require any different payment timing in order to comply with or be exempt from the requirements of Section 409A, as applicable).</w:t>
      </w:r>
    </w:p>
    <w:p>
      <w:pPr>
        <w:spacing w:after="0" w:line="128" w:lineRule="exact"/>
        <w:rPr>
          <w:sz w:val="20"/>
          <w:szCs w:val="20"/>
          <w:color w:val="auto"/>
        </w:rPr>
      </w:pPr>
    </w:p>
    <w:p>
      <w:pPr>
        <w:ind w:left="1300" w:hanging="644"/>
        <w:spacing w:after="0"/>
        <w:tabs>
          <w:tab w:leader="none" w:pos="1300" w:val="left"/>
        </w:tabs>
        <w:numPr>
          <w:ilvl w:val="0"/>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Exclusive Benefits; Non-Duplication of Benefits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color w:val="auto"/>
        </w:rPr>
        <w:t>Prior Benefits</w:t>
      </w:r>
      <w:r>
        <w:rPr>
          <w:rFonts w:ascii="Times New Roman" w:cs="Times New Roman" w:eastAsia="Times New Roman" w:hAnsi="Times New Roman"/>
          <w:sz w:val="22"/>
          <w:szCs w:val="22"/>
          <w:color w:val="auto"/>
        </w:rPr>
        <w:t>. The benefits, if any, provided under this Agreement will be the exclusive benefits for Executive related to the termination of Executive’s employment with the Company and/or a change in control of the Company and will supersede and replace any severance and/or change in control benefits set forth in any offer letter, employment or severance agreement, equity award agreement and/or other agreement between Executive and the Company (or Employer, as applicable) in effect as of the Effective Date. Further, for the avoidance of doubt, if as of the Effective Date, Executive otherwise was eligible to participate in any other Company (or Employer, as applicable) severance and/or change in control plan, program or arrangement, or under a written employment agreement or offer of employment letter between Executive and the Company (or Employer, as applicable) (whether or not subject to ERISA), then this Agreement will supersede and replace eligibility in such other plan, program, agreement, letter or arrangement.</w:t>
      </w:r>
    </w:p>
    <w:p>
      <w:pPr>
        <w:spacing w:after="0" w:line="12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color w:val="auto"/>
        </w:rPr>
        <w:t>Future Benefits</w:t>
      </w:r>
      <w:r>
        <w:rPr>
          <w:rFonts w:ascii="Times New Roman" w:cs="Times New Roman" w:eastAsia="Times New Roman" w:hAnsi="Times New Roman"/>
          <w:sz w:val="22"/>
          <w:szCs w:val="22"/>
          <w:color w:val="auto"/>
        </w:rPr>
        <w:t>. In the event that, after the Effective Date, Executive becomes entitled to receive a Severance Benefit under this Agreement and such benefit duplicates a benefit that otherwise would be provided to Executive under any other Company (or Employer, as applicable) plan, program or arrangement, or under a written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1" w:right="339" w:bottom="1440" w:gutter="0" w:footer="0" w:header="0"/>
        </w:sectPr>
      </w:pPr>
    </w:p>
    <w:bookmarkStart w:id="513" w:name="page514"/>
    <w:bookmarkEnd w:id="513"/>
    <w:p>
      <w:pPr>
        <w:jc w:val="both"/>
        <w:spacing w:after="0" w:line="252" w:lineRule="auto"/>
        <w:rPr>
          <w:sz w:val="20"/>
          <w:szCs w:val="20"/>
          <w:color w:val="auto"/>
        </w:rPr>
      </w:pPr>
      <w:r>
        <w:rPr>
          <w:rFonts w:ascii="Times New Roman" w:cs="Times New Roman" w:eastAsia="Times New Roman" w:hAnsi="Times New Roman"/>
          <w:sz w:val="22"/>
          <w:szCs w:val="22"/>
          <w:color w:val="auto"/>
        </w:rPr>
        <w:t>agreement or offer of employment letter between Executive and the Company (or Employer, as applicable) (collectively, the “</w:t>
      </w:r>
      <w:r>
        <w:rPr>
          <w:rFonts w:ascii="Times New Roman" w:cs="Times New Roman" w:eastAsia="Times New Roman" w:hAnsi="Times New Roman"/>
          <w:sz w:val="22"/>
          <w:szCs w:val="22"/>
          <w:b w:val="1"/>
          <w:bCs w:val="1"/>
          <w:color w:val="auto"/>
        </w:rPr>
        <w:t>Other Plan</w:t>
      </w:r>
      <w:r>
        <w:rPr>
          <w:rFonts w:ascii="Times New Roman" w:cs="Times New Roman" w:eastAsia="Times New Roman" w:hAnsi="Times New Roman"/>
          <w:sz w:val="22"/>
          <w:szCs w:val="22"/>
          <w:color w:val="auto"/>
        </w:rPr>
        <w:t>”), as a result of the termination of Executive’s employment with the Company, then Executive will be entitled to receive the greater of (a) the Severance Benefit available under this Agreement, and (b) the benefit available under such Other Plan.</w:t>
      </w:r>
    </w:p>
    <w:p>
      <w:pPr>
        <w:spacing w:after="0" w:line="12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b w:val="1"/>
          <w:bCs w:val="1"/>
          <w:color w:val="auto"/>
        </w:rPr>
        <w:t>Benefits Under this Agreement</w:t>
      </w:r>
      <w:r>
        <w:rPr>
          <w:rFonts w:ascii="Times New Roman" w:cs="Times New Roman" w:eastAsia="Times New Roman" w:hAnsi="Times New Roman"/>
          <w:sz w:val="22"/>
          <w:szCs w:val="22"/>
          <w:color w:val="auto"/>
        </w:rPr>
        <w:t>. For purposes of clarity, in the event of an Involuntary Termination that occurs during the three (3) month period immediately preceding a Change in Control, any Severance Benefits to be provided to Executive under Section 4.1 will be reduced by any amounts that already were provided to Executive under Section 4.2.</w:t>
      </w:r>
    </w:p>
    <w:p>
      <w:pPr>
        <w:spacing w:after="0" w:line="112" w:lineRule="exact"/>
        <w:rPr>
          <w:sz w:val="20"/>
          <w:szCs w:val="20"/>
          <w:color w:val="auto"/>
        </w:rPr>
      </w:pPr>
    </w:p>
    <w:p>
      <w:pPr>
        <w:ind w:left="1300" w:hanging="644"/>
        <w:spacing w:after="0"/>
        <w:tabs>
          <w:tab w:leader="none" w:pos="1300"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Notwithstanding anything to the contrary in this Agreement, no Deferred Payments, if any, will be paid or provided until Executive has a “separation from service” within the meaning of Section 409A (a “</w:t>
      </w:r>
      <w:r>
        <w:rPr>
          <w:rFonts w:ascii="Times New Roman" w:cs="Times New Roman" w:eastAsia="Times New Roman" w:hAnsi="Times New Roman"/>
          <w:sz w:val="22"/>
          <w:szCs w:val="22"/>
          <w:b w:val="1"/>
          <w:bCs w:val="1"/>
          <w:color w:val="auto"/>
        </w:rPr>
        <w:t>Separation from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Service</w:t>
      </w:r>
      <w:r>
        <w:rPr>
          <w:rFonts w:ascii="Times New Roman" w:cs="Times New Roman" w:eastAsia="Times New Roman" w:hAnsi="Times New Roman"/>
          <w:sz w:val="22"/>
          <w:szCs w:val="22"/>
          <w:color w:val="auto"/>
        </w:rPr>
        <w:t>”). Similarly, no Severance Benefits payable to Executive, if any, which otherwise would be exempt from Section 409A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Treasury Regulations Section 1.409A1(b)(9), will be payable until Executive has a Separation from Service.</w:t>
      </w:r>
    </w:p>
    <w:p>
      <w:pPr>
        <w:spacing w:after="0" w:line="12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color w:val="auto"/>
        </w:rPr>
        <w:t>Exemption; Compliance</w:t>
      </w:r>
      <w:r>
        <w:rPr>
          <w:rFonts w:ascii="Times New Roman" w:cs="Times New Roman" w:eastAsia="Times New Roman" w:hAnsi="Times New Roman"/>
          <w:sz w:val="22"/>
          <w:szCs w:val="22"/>
          <w:color w:val="auto"/>
        </w:rPr>
        <w:t>. It is intended that none of the Severance Benefits will constitute Deferred Payments and that the Retention Acceleration will not constitute deferred compensation within the meaning of Section 409A, but rather that all payments and benefits under this Agreement will be exempt from Section 409A as payments that would fall within the “short-term deferral period” or result from an involuntary separation from service (as defined in Section 409A), as described in Section 10.4. It also is intended that, to the extent any Severance Benefits otherwise are not excluded from coverage under Section 409A pursuant to the exceptions in the immediately preceding sentence, they are excluded from coverage under Section 409A pursuant to the “limited payment” exception under Treasury Regulations Section 1.409A-1(b)(9)(v)(D), but only to the extent permitted by such regulation. In no event will Executive have discretion to determine the taxable year of payment of any Deferred Payment or Retention Acceleration.</w:t>
      </w:r>
    </w:p>
    <w:p>
      <w:pPr>
        <w:spacing w:after="0" w:line="127"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b w:val="1"/>
          <w:bCs w:val="1"/>
          <w:color w:val="auto"/>
        </w:rPr>
        <w:t>Required Delay</w:t>
      </w:r>
      <w:r>
        <w:rPr>
          <w:rFonts w:ascii="Times New Roman" w:cs="Times New Roman" w:eastAsia="Times New Roman" w:hAnsi="Times New Roman"/>
          <w:sz w:val="22"/>
          <w:szCs w:val="22"/>
          <w:color w:val="auto"/>
        </w:rPr>
        <w:t>. Notwithstanding any contrary Agreement provision, if Executive is a “specified employee” within the meaning of Section 409A at the time of Executive’s Separation from Service (other than due to death), then any Severance Benefits that constitute Deferred Payments, if any, that are payable within the first six (6) months following such Separation from Service, will become payable on the date that is six (6) months and one (1) day following the date of such Separation from Service. Any subsequent Deferred Payment, if any, will be payable in accordance with the payment schedule applicable to such payment. Notwithstanding anything herein to the contrary, in the event of Executive’s death following Executive’s Separation from Service, but before the date six (6) months following such Separation from Service, then any payments delayed in accordance with this Section 10.3 will be payable in a lump sum as soon as administratively practicable after the date of Executive’s death and any other Deferred Payment will be payable in accordance with the payment schedule applicable to such payment. Each payment, installment and benefit payable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1" w:right="339" w:bottom="1440" w:gutter="0" w:footer="0" w:header="0"/>
        </w:sectPr>
      </w:pPr>
    </w:p>
    <w:bookmarkStart w:id="514" w:name="page515"/>
    <w:bookmarkEnd w:id="514"/>
    <w:p>
      <w:pPr>
        <w:spacing w:after="0"/>
        <w:rPr>
          <w:sz w:val="20"/>
          <w:szCs w:val="20"/>
          <w:color w:val="auto"/>
        </w:rPr>
      </w:pPr>
      <w:r>
        <w:rPr>
          <w:rFonts w:ascii="Times New Roman" w:cs="Times New Roman" w:eastAsia="Times New Roman" w:hAnsi="Times New Roman"/>
          <w:sz w:val="22"/>
          <w:szCs w:val="22"/>
          <w:color w:val="auto"/>
        </w:rPr>
        <w:t>Agreement is intended to constitute a separate payment under Treasury Regulations Section 1.409A-2(b)(2).</w:t>
      </w:r>
    </w:p>
    <w:p>
      <w:pPr>
        <w:spacing w:after="0" w:line="162"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b w:val="1"/>
          <w:bCs w:val="1"/>
          <w:color w:val="auto"/>
        </w:rPr>
        <w:t>Certain Exemptions</w:t>
      </w:r>
      <w:r>
        <w:rPr>
          <w:rFonts w:ascii="Times New Roman" w:cs="Times New Roman" w:eastAsia="Times New Roman" w:hAnsi="Times New Roman"/>
          <w:sz w:val="22"/>
          <w:szCs w:val="22"/>
          <w:color w:val="auto"/>
        </w:rPr>
        <w:t>. Any amount paid under this Agreement that (x) satisfies the requirements of the “short-term deferral” rule set forth in Treasury Regulations Section 1.409A-1(b)(4) or (y) qualifies as a payment made as a result of an involuntary separation from service pursuant to Treasury Regulations Section 1.409A-1(b)(9)(iii) that does not exceed the limit set forth in Treasury Regulations Section 1.409A-1(b)(9)(iii)(A) will not constitute a Deferred Payment for purposes of Section 10.1. All amounts paid under this Agreement will be paid to Executive as provided under the Agreement, but in no event later than the last day of the second taxable year of Executive following the taxable year of Executive in which Executive’s Separation from Service occurs.</w:t>
      </w:r>
    </w:p>
    <w:p>
      <w:pPr>
        <w:spacing w:after="0" w:line="128"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b w:val="1"/>
          <w:bCs w:val="1"/>
          <w:color w:val="auto"/>
        </w:rPr>
        <w:t>Interpretation; Other Requirements</w:t>
      </w:r>
      <w:r>
        <w:rPr>
          <w:rFonts w:ascii="Times New Roman" w:cs="Times New Roman" w:eastAsia="Times New Roman" w:hAnsi="Times New Roman"/>
          <w:sz w:val="22"/>
          <w:szCs w:val="22"/>
          <w:color w:val="auto"/>
        </w:rPr>
        <w:t>. The foregoing provisions are intended to comply with or be exempt from the requirements of Section 409A so that none of the Severance Benefits or Retention Acceleration to be provided under the Agreement will be subject to the additional tax imposed under Section 409A, and any ambiguities and ambiguous terms herein will be interpreted to so comply or be exempt. For purposes of the Agreement, to the extent required to be exempt from or comply with Section 409A, any references to Executive’s Involuntary Termination or similar phrases relating to the termination of Executive’s employment will be references to Executive’s Separation from Service (as defined in Section 10.1). Notwithstanding any contrary Agreement provision, including but not limited to Section 15, the Company reserves the right to amend the Agreement as it deems necessary or advisable, in its sole discretion and without the consent of Executive or other person or entity, to comply with Section 409A or to avoid income recognition under Section 409A or to otherwise avoid the imposition of additional tax under Section 409A prior to the actual payment or provision of any Severance Benefits or Retention Acceleration.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38" w:lineRule="exact"/>
        <w:rPr>
          <w:sz w:val="20"/>
          <w:szCs w:val="20"/>
          <w:color w:val="auto"/>
        </w:rPr>
      </w:pPr>
    </w:p>
    <w:p>
      <w:pPr>
        <w:jc w:val="both"/>
        <w:ind w:firstLine="656"/>
        <w:spacing w:after="0" w:line="246" w:lineRule="auto"/>
        <w:tabs>
          <w:tab w:leader="none" w:pos="1288" w:val="left"/>
        </w:tabs>
        <w:numPr>
          <w:ilvl w:val="0"/>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Mitigation</w:t>
      </w:r>
      <w:r>
        <w:rPr>
          <w:rFonts w:ascii="Times New Roman" w:cs="Times New Roman" w:eastAsia="Times New Roman" w:hAnsi="Times New Roman"/>
          <w:sz w:val="22"/>
          <w:szCs w:val="22"/>
          <w:color w:val="auto"/>
        </w:rPr>
        <w:t>. Further, and notwithstanding anything to the contrary in this Agreement, if Executive commences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or enters into a consulting arrangement with a person or entity other than the Company or a parent or subsidiary of the Company (a “</w:t>
      </w:r>
      <w:r>
        <w:rPr>
          <w:rFonts w:ascii="Times New Roman" w:cs="Times New Roman" w:eastAsia="Times New Roman" w:hAnsi="Times New Roman"/>
          <w:sz w:val="22"/>
          <w:szCs w:val="22"/>
          <w:b w:val="1"/>
          <w:bCs w:val="1"/>
          <w:color w:val="auto"/>
        </w:rPr>
        <w:t>New Employer</w:t>
      </w:r>
      <w:r>
        <w:rPr>
          <w:rFonts w:ascii="Times New Roman" w:cs="Times New Roman" w:eastAsia="Times New Roman" w:hAnsi="Times New Roman"/>
          <w:sz w:val="22"/>
          <w:szCs w:val="22"/>
          <w:color w:val="auto"/>
        </w:rPr>
        <w:t>”) during the Severance Period applicable to the Severance Benefits Executive becomes entitled to receive under this Agreement, then (a) any cash compensation paid to Executive by a New Employer during the applicable Severance Period, shall reduce, on a dollar-for-dollar basis, the Company’s cash Severance Benefits obligations under this Agreement, and (b) the Company will have no obligation to provide or pay for (or provide payments in lieu of, including any cash payments in lieu of COBRA) any type of medical, vision and dental coverage benefits that the New Employer provides to Executive. Any such reduction under the foregoing clause (a) will be applied to the Company’s cash Severance Benefits obligations under this Agreement in reverse chronological order of such obligations (e.g., the last scheduled Company cash Severance Benefit payment will be reduced first). If and to the extent that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1" w:right="339" w:bottom="1440" w:gutter="0" w:footer="0" w:header="0"/>
        </w:sectPr>
      </w:pPr>
    </w:p>
    <w:bookmarkStart w:id="515" w:name="page516"/>
    <w:bookmarkEnd w:id="515"/>
    <w:p>
      <w:pPr>
        <w:jc w:val="both"/>
        <w:spacing w:after="0" w:line="247" w:lineRule="auto"/>
        <w:rPr>
          <w:sz w:val="20"/>
          <w:szCs w:val="20"/>
          <w:color w:val="auto"/>
        </w:rPr>
      </w:pPr>
      <w:r>
        <w:rPr>
          <w:rFonts w:ascii="Times New Roman" w:cs="Times New Roman" w:eastAsia="Times New Roman" w:hAnsi="Times New Roman"/>
          <w:sz w:val="22"/>
          <w:szCs w:val="22"/>
          <w:color w:val="auto"/>
        </w:rPr>
        <w:t>cash compensation paid to Executive by a New Employer exceed the amount of outstanding unpaid cash Severance Benefit obligations under the Agreement, Executive promptly (within ten (10) days following notice from the Company) will refund to the Company the gross amount of such excess credit, provided that in no event will Executive be required to refund the Minimum Severance Amount (as defined below). Notwithstanding anything in this Agreement to the contrary, no reduction of the Company’s Severance Benefits obligations pursuant to this Section 11 will reduce such obligations below $1,000.00 (the “</w:t>
      </w:r>
      <w:r>
        <w:rPr>
          <w:rFonts w:ascii="Times New Roman" w:cs="Times New Roman" w:eastAsia="Times New Roman" w:hAnsi="Times New Roman"/>
          <w:sz w:val="22"/>
          <w:szCs w:val="22"/>
          <w:b w:val="1"/>
          <w:bCs w:val="1"/>
          <w:color w:val="auto"/>
        </w:rPr>
        <w:t>Minimum Severance Amount</w:t>
      </w:r>
      <w:r>
        <w:rPr>
          <w:rFonts w:ascii="Times New Roman" w:cs="Times New Roman" w:eastAsia="Times New Roman" w:hAnsi="Times New Roman"/>
          <w:sz w:val="22"/>
          <w:szCs w:val="22"/>
          <w:color w:val="auto"/>
        </w:rPr>
        <w:t>”). For the avoidance of doubt, no reductions of Executive’s Severance Benefits under this Section 11 will entitle Executive to any severance or other benefits that otherwise were superseded under Section 9. Executive’s execution of this Agreement constitutes knowing written consent to the foregoing.</w:t>
      </w:r>
    </w:p>
    <w:p>
      <w:pPr>
        <w:spacing w:after="0" w:line="127" w:lineRule="exact"/>
        <w:rPr>
          <w:sz w:val="20"/>
          <w:szCs w:val="20"/>
          <w:color w:val="auto"/>
        </w:rPr>
      </w:pPr>
    </w:p>
    <w:p>
      <w:pPr>
        <w:ind w:left="1300" w:hanging="644"/>
        <w:spacing w:after="0"/>
        <w:tabs>
          <w:tab w:leader="none" w:pos="1300"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3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Seer,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3800 Bridge Parkway, Suite 102</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Redwood City, California 94065</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3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Any termination of Executive’s employment by the Company for Cause will be communicated by a notice of termination of Executive’s employment to Executive, and any termination by Executive for a Good Reason Termination will be communicated by a notice of termination to the Company, in each case given in accordance with Section 12.1.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(a) the giving of the notice or (b) the end of any applicable cure period).</w:t>
      </w:r>
    </w:p>
    <w:p>
      <w:pPr>
        <w:spacing w:after="0" w:line="128" w:lineRule="exact"/>
        <w:rPr>
          <w:sz w:val="20"/>
          <w:szCs w:val="20"/>
          <w:color w:val="auto"/>
        </w:rPr>
      </w:pPr>
    </w:p>
    <w:p>
      <w:pPr>
        <w:jc w:val="both"/>
        <w:ind w:firstLine="656"/>
        <w:spacing w:after="0" w:line="251" w:lineRule="auto"/>
        <w:tabs>
          <w:tab w:leader="none" w:pos="1296"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Resignation</w:t>
      </w:r>
      <w:r>
        <w:rPr>
          <w:rFonts w:ascii="Times New Roman" w:cs="Times New Roman" w:eastAsia="Times New Roman" w:hAnsi="Times New Roman"/>
          <w:sz w:val="22"/>
          <w:szCs w:val="22"/>
          <w:color w:val="auto"/>
        </w:rPr>
        <w:t>. Unless otherwise requested or provided by the Board, the termination of Executive’s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any reason also will constitute, without any further required action by Executive, Executive’s voluntary resignation from all officer and/or director positions held at the Company or any of its subsidiaries or affiliates other than Executive’s position as a Board member (if Executive is then serving as a Board member), and at the Board’s request, Executive will execute any documents reasonably necessary to reflect the resignations.</w:t>
      </w:r>
    </w:p>
    <w:p>
      <w:pPr>
        <w:spacing w:after="0" w:line="121" w:lineRule="exact"/>
        <w:rPr>
          <w:rFonts w:ascii="Times New Roman" w:cs="Times New Roman" w:eastAsia="Times New Roman" w:hAnsi="Times New Roman"/>
          <w:sz w:val="22"/>
          <w:szCs w:val="22"/>
          <w:color w:val="auto"/>
        </w:rPr>
      </w:pPr>
    </w:p>
    <w:p>
      <w:pPr>
        <w:ind w:firstLine="656"/>
        <w:spacing w:after="0" w:line="275" w:lineRule="auto"/>
        <w:tabs>
          <w:tab w:leader="none" w:pos="1296"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Withholdings</w:t>
      </w:r>
      <w:r>
        <w:rPr>
          <w:rFonts w:ascii="Times New Roman" w:cs="Times New Roman" w:eastAsia="Times New Roman" w:hAnsi="Times New Roman"/>
          <w:sz w:val="22"/>
          <w:szCs w:val="22"/>
          <w:color w:val="auto"/>
        </w:rPr>
        <w:t>. The Employer and/or Company (and/or any parent, subsidiary or other affiliate of the Company,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will have the right and authority to deduct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1" w:right="339" w:bottom="1440" w:gutter="0" w:footer="0" w:header="0"/>
        </w:sectPr>
      </w:pPr>
    </w:p>
    <w:bookmarkStart w:id="516" w:name="page517"/>
    <w:bookmarkEnd w:id="516"/>
    <w:p>
      <w:pPr>
        <w:jc w:val="both"/>
        <w:spacing w:after="0" w:line="248" w:lineRule="auto"/>
        <w:rPr>
          <w:sz w:val="20"/>
          <w:szCs w:val="20"/>
          <w:color w:val="auto"/>
        </w:rPr>
      </w:pPr>
      <w:r>
        <w:rPr>
          <w:rFonts w:ascii="Times New Roman" w:cs="Times New Roman" w:eastAsia="Times New Roman" w:hAnsi="Times New Roman"/>
          <w:sz w:val="22"/>
          <w:szCs w:val="22"/>
          <w:color w:val="auto"/>
        </w:rPr>
        <w:t>any payments or benefits all applicable federal, state, local, and/or nonU.S. taxes or other required withholdings and payroll deductions (“</w:t>
      </w:r>
      <w:r>
        <w:rPr>
          <w:rFonts w:ascii="Times New Roman" w:cs="Times New Roman" w:eastAsia="Times New Roman" w:hAnsi="Times New Roman"/>
          <w:sz w:val="22"/>
          <w:szCs w:val="22"/>
          <w:b w:val="1"/>
          <w:bCs w:val="1"/>
          <w:color w:val="auto"/>
        </w:rPr>
        <w:t>Withholdings</w:t>
      </w:r>
      <w:r>
        <w:rPr>
          <w:rFonts w:ascii="Times New Roman" w:cs="Times New Roman" w:eastAsia="Times New Roman" w:hAnsi="Times New Roman"/>
          <w:sz w:val="22"/>
          <w:szCs w:val="22"/>
          <w:color w:val="auto"/>
        </w:rPr>
        <w:t>”). Prior to the payment of any amounts or provision of any benefits under this Agreement, the Employer and/or Company (and/or any other parent, subsidiary, or affiliate of the Company, as applicable) is permitted to deduct or withhold, or require Executive to remit to the Company (or Employer, as applicable), an amount sufficient to satisfy any applicable Withholdings with respect to such payments and benefits. Neither the Company, the Employer nor any parent, subsidiary, or other affiliate of the Company will have any responsibility, liability or obligation to pay Executive’s taxes arising from or relating to any payments or benefits under this Agreement.</w:t>
      </w:r>
    </w:p>
    <w:p>
      <w:pPr>
        <w:spacing w:after="0" w:line="124" w:lineRule="exact"/>
        <w:rPr>
          <w:sz w:val="20"/>
          <w:szCs w:val="20"/>
          <w:color w:val="auto"/>
        </w:rPr>
      </w:pPr>
    </w:p>
    <w:p>
      <w:pPr>
        <w:jc w:val="both"/>
        <w:ind w:firstLine="656"/>
        <w:spacing w:after="0" w:line="246" w:lineRule="auto"/>
        <w:tabs>
          <w:tab w:leader="none" w:pos="1296" w:val="left"/>
        </w:tabs>
        <w:numPr>
          <w:ilvl w:val="0"/>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 Waiver; Amendment</w:t>
      </w:r>
      <w:r>
        <w:rPr>
          <w:rFonts w:ascii="Times New Roman" w:cs="Times New Roman" w:eastAsia="Times New Roman" w:hAnsi="Times New Roman"/>
          <w:sz w:val="22"/>
          <w:szCs w:val="22"/>
          <w:color w:val="auto"/>
        </w:rPr>
        <w:t>. This Agreement, together with any Proprietary Agreement and/or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Confidentiality Agreement (each as defined in Section 25), Executive’s confirmatory employment letter with the Company dated November 30, 2020, and the Company’s equity plans and award agreements thereunder governing Executive’s outstanding Company equity awards to the extent not modified hereby, constitutes the entire agreement of the parties and supersedes in their entirety all prior representations, understandings, undertakings or agreements (whether oral or written and whether expressed or implied) of the parties with respect to the subject matter of this Agreement.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33"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Source of Payments</w:t>
      </w:r>
      <w:r>
        <w:rPr>
          <w:rFonts w:ascii="Times New Roman" w:cs="Times New Roman" w:eastAsia="Times New Roman" w:hAnsi="Times New Roman"/>
          <w:sz w:val="22"/>
          <w:szCs w:val="22"/>
          <w:color w:val="auto"/>
        </w:rPr>
        <w:t>. Any payments and benefits under this Agreement will be paid from the general funds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no separate fund will be established under the Agreement, and the Agreement will have no assets. No right of any person to receive any payment or benefit under the Agreement will be any greater than the right of any other general unsecured creditor of the Company, Employer or other parent, subsidiary or affiliate of the Company.</w:t>
      </w:r>
    </w:p>
    <w:p>
      <w:pPr>
        <w:spacing w:after="0" w:line="121"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Guarantee of Tax Consequences</w:t>
      </w:r>
      <w:r>
        <w:rPr>
          <w:rFonts w:ascii="Times New Roman" w:cs="Times New Roman" w:eastAsia="Times New Roman" w:hAnsi="Times New Roman"/>
          <w:sz w:val="22"/>
          <w:szCs w:val="22"/>
          <w:color w:val="auto"/>
        </w:rPr>
        <w:t>. Executive (or Executive’s beneficiaries) solely will be responsible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all taxes with respect to any payments or benefits provided under the Agreement. None of the Company, the Employer or any parent, subsidiary or other affiliate of the Company makes any guarantees regarding the tax treatment to any person of any payments or benefits provided under the Agreement.</w:t>
      </w:r>
    </w:p>
    <w:p>
      <w:pPr>
        <w:spacing w:after="0" w:line="121"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Inalienability</w:t>
      </w:r>
      <w:r>
        <w:rPr>
          <w:rFonts w:ascii="Times New Roman" w:cs="Times New Roman" w:eastAsia="Times New Roman" w:hAnsi="Times New Roman"/>
          <w:sz w:val="22"/>
          <w:szCs w:val="22"/>
          <w:color w:val="auto"/>
        </w:rPr>
        <w:t>. In no event may Executive sell, transfer, anticipate, assign or otherwise dispose of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rights or interests under the Agreement, except as provided herein. Any other attempted assignment, transfer, conveyance, or other disposition of Executive’s right to compensation or other benefits will be null and void. At no time will any of Executive’s rights or interests under the Agreement be subject to the claims of creditors nor liable to attachment, execution or other legal process. If any payments or benefits are payable to Executive who is unable to care for Executive’s affairs, payment may be made directly to Executive’s legal guardian or personal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1" w:right="339" w:bottom="1440" w:gutter="0" w:footer="0" w:header="0"/>
        </w:sectPr>
      </w:pPr>
    </w:p>
    <w:bookmarkStart w:id="517" w:name="page518"/>
    <w:bookmarkEnd w:id="517"/>
    <w:p>
      <w:pPr>
        <w:jc w:val="both"/>
        <w:ind w:firstLine="656"/>
        <w:spacing w:after="0" w:line="249" w:lineRule="auto"/>
        <w:tabs>
          <w:tab w:leader="none" w:pos="1296"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w:t>
      </w:r>
      <w:r>
        <w:rPr>
          <w:rFonts w:ascii="Times New Roman" w:cs="Times New Roman" w:eastAsia="Times New Roman" w:hAnsi="Times New Roman"/>
          <w:sz w:val="22"/>
          <w:szCs w:val="22"/>
          <w:color w:val="auto"/>
        </w:rPr>
        <w:t>. Notwithstanding anything to the contrary in the Agreement, if Executive dies after Executive’s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and after Executive (or the authorized representative of Executive’s estate) has timely executed and returned the Severance Release or Retention Release, as applicable, to the Company (without having timely revoked it) but before receiving all of the payments and benefits otherwise payable to Executive under this Agreement, such remaining payments and benefits instead will be paid to the executor of Executive’s estate, on behalf of the estate, at the time(s) and in the form(s) applicable to such payments and benefits, as applicable, under the Agreement.</w:t>
      </w:r>
    </w:p>
    <w:p>
      <w:pPr>
        <w:spacing w:after="0" w:line="126" w:lineRule="exact"/>
        <w:rPr>
          <w:rFonts w:ascii="Times New Roman" w:cs="Times New Roman" w:eastAsia="Times New Roman" w:hAnsi="Times New Roman"/>
          <w:sz w:val="22"/>
          <w:szCs w:val="22"/>
          <w:color w:val="auto"/>
        </w:rPr>
      </w:pPr>
    </w:p>
    <w:p>
      <w:pPr>
        <w:jc w:val="both"/>
        <w:ind w:firstLine="656"/>
        <w:spacing w:after="0" w:line="266" w:lineRule="auto"/>
        <w:tabs>
          <w:tab w:leader="none" w:pos="1296" w:val="left"/>
        </w:tabs>
        <w:numPr>
          <w:ilvl w:val="0"/>
          <w:numId w:val="4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Enlargement of Employment Rights</w:t>
      </w:r>
      <w:r>
        <w:rPr>
          <w:rFonts w:ascii="Times New Roman" w:cs="Times New Roman" w:eastAsia="Times New Roman" w:hAnsi="Times New Roman"/>
          <w:sz w:val="21"/>
          <w:szCs w:val="21"/>
          <w:color w:val="auto"/>
        </w:rPr>
        <w:t>. This Agreement will not be construed to confer upon Executive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right to continue to be an employee of the Company (or the Employer or any parent, subsidiary or other affiliate of the Company). The Company (or applicable Employer) expressly reserves the right to discharge Executive at any time and for any reason, with or without cause or notice, as permitted by applicable law. However, as described in the Agreement, Executive may be entitled to benefits under the Agreement depending upon the circumstances of the termination of Executive’s employment.</w:t>
      </w:r>
    </w:p>
    <w:p>
      <w:pPr>
        <w:spacing w:after="0" w:line="106" w:lineRule="exact"/>
        <w:rPr>
          <w:rFonts w:ascii="Times New Roman" w:cs="Times New Roman" w:eastAsia="Times New Roman" w:hAnsi="Times New Roman"/>
          <w:sz w:val="21"/>
          <w:szCs w:val="21"/>
          <w:color w:val="auto"/>
        </w:rPr>
      </w:pPr>
    </w:p>
    <w:p>
      <w:pPr>
        <w:jc w:val="both"/>
        <w:ind w:firstLine="656"/>
        <w:spacing w:after="0" w:line="249" w:lineRule="auto"/>
        <w:tabs>
          <w:tab w:leader="none" w:pos="1296"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 Any successor to the Company of all or substantially all of the Company’s business and/or assets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(whether direct or indirect and whether by purchase, merger, consolidation, liquidation or other transaction) will assume the obligations under the Agreement and agree expressly to perform the obligations under the Agreement in the same manner and to the same extent as the Company would be required to perform such obligations in the absence of a succession. For all purposes under the Agreement, the term “Company” will include any successor to the Company’s business and/or assets which become bound by the terms of the Agreement by operation of law, or otherwise.</w:t>
      </w:r>
    </w:p>
    <w:p>
      <w:pPr>
        <w:spacing w:after="0" w:line="126"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 Governing Law</w:t>
      </w:r>
      <w:r>
        <w:rPr>
          <w:rFonts w:ascii="Times New Roman" w:cs="Times New Roman" w:eastAsia="Times New Roman" w:hAnsi="Times New Roman"/>
          <w:sz w:val="22"/>
          <w:szCs w:val="22"/>
          <w:color w:val="auto"/>
        </w:rPr>
        <w:t>. If any provision of the Agreement is held invalid or unenforceable, its invalidity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unenforceability will not affect any other provision of the Agreement, and the Agreement will be construed and enforced as if such provision had not been included. This Agreement will be governed by the laws of the State of California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California for any lawsuit filed against Executive by the Company.</w:t>
      </w:r>
    </w:p>
    <w:p>
      <w:pPr>
        <w:spacing w:after="0" w:line="126" w:lineRule="exact"/>
        <w:rPr>
          <w:rFonts w:ascii="Times New Roman" w:cs="Times New Roman" w:eastAsia="Times New Roman" w:hAnsi="Times New Roman"/>
          <w:sz w:val="22"/>
          <w:szCs w:val="22"/>
          <w:color w:val="auto"/>
        </w:rPr>
      </w:pPr>
    </w:p>
    <w:p>
      <w:pPr>
        <w:ind w:firstLine="656"/>
        <w:spacing w:after="0" w:line="275" w:lineRule="auto"/>
        <w:tabs>
          <w:tab w:leader="none" w:pos="1296"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Headings</w:t>
      </w:r>
      <w:r>
        <w:rPr>
          <w:rFonts w:ascii="Times New Roman" w:cs="Times New Roman" w:eastAsia="Times New Roman" w:hAnsi="Times New Roman"/>
          <w:sz w:val="22"/>
          <w:szCs w:val="22"/>
          <w:color w:val="auto"/>
        </w:rPr>
        <w:t>. Headings in this Agreement document are for purposes of reference only and will not limit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affect the meaning, construction or interpretation of the Agreement’s provisions.</w:t>
      </w:r>
    </w:p>
    <w:p>
      <w:pPr>
        <w:spacing w:after="0" w:line="95" w:lineRule="exact"/>
        <w:rPr>
          <w:rFonts w:ascii="Times New Roman" w:cs="Times New Roman" w:eastAsia="Times New Roman" w:hAnsi="Times New Roman"/>
          <w:sz w:val="22"/>
          <w:szCs w:val="22"/>
          <w:color w:val="auto"/>
        </w:rPr>
      </w:pPr>
    </w:p>
    <w:p>
      <w:pPr>
        <w:ind w:firstLine="656"/>
        <w:spacing w:after="0" w:line="275" w:lineRule="auto"/>
        <w:tabs>
          <w:tab w:leader="none" w:pos="1296"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counterparts, each of which will be deemed an original, but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which together will constitute one and the same instrument.</w:t>
      </w:r>
    </w:p>
    <w:p>
      <w:pPr>
        <w:spacing w:after="0" w:line="95"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Protected Activity</w:t>
      </w:r>
      <w:r>
        <w:rPr>
          <w:rFonts w:ascii="Times New Roman" w:cs="Times New Roman" w:eastAsia="Times New Roman" w:hAnsi="Times New Roman"/>
          <w:sz w:val="22"/>
          <w:szCs w:val="22"/>
          <w:color w:val="auto"/>
        </w:rPr>
        <w:t>. Notwithstanding any contrary provision of the Agreement or of the Severance Release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Retention Release, nothing in this Agreement, the Severance Release, or the Retention Release will prohibit or impede Executive from engaging in any Protected Activity. For purposes of this Agreement, “Protected Activity” shall mean communicating, cooperating or filing a complaint with any U.S. federal, state or local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17" w:right="339" w:bottom="1440" w:gutter="0" w:footer="0" w:header="0"/>
        </w:sectPr>
      </w:pPr>
    </w:p>
    <w:bookmarkStart w:id="518" w:name="page519"/>
    <w:bookmarkEnd w:id="518"/>
    <w:p>
      <w:pPr>
        <w:jc w:val="both"/>
        <w:spacing w:after="0" w:line="244" w:lineRule="auto"/>
        <w:rPr>
          <w:sz w:val="20"/>
          <w:szCs w:val="20"/>
          <w:color w:val="auto"/>
        </w:rPr>
      </w:pPr>
      <w:r>
        <w:rPr>
          <w:rFonts w:ascii="Times New Roman" w:cs="Times New Roman" w:eastAsia="Times New Roman" w:hAnsi="Times New Roman"/>
          <w:sz w:val="22"/>
          <w:szCs w:val="22"/>
          <w:color w:val="auto"/>
        </w:rPr>
        <w:t>governmental or law enforcement branch, agency or entity, including, but not limited to, the Securities and Exchange Commission, the Equal Employment Opportunity Commission, the Occupational Safety and Health Administration, and the National Labor Relations Board (collectively, a “</w:t>
      </w:r>
      <w:r>
        <w:rPr>
          <w:rFonts w:ascii="Times New Roman" w:cs="Times New Roman" w:eastAsia="Times New Roman" w:hAnsi="Times New Roman"/>
          <w:sz w:val="22"/>
          <w:szCs w:val="22"/>
          <w:b w:val="1"/>
          <w:bCs w:val="1"/>
          <w:color w:val="auto"/>
        </w:rPr>
        <w:t>Governmental Entity</w:t>
      </w:r>
      <w:r>
        <w:rPr>
          <w:rFonts w:ascii="Times New Roman" w:cs="Times New Roman" w:eastAsia="Times New Roman" w:hAnsi="Times New Roman"/>
          <w:sz w:val="22"/>
          <w:szCs w:val="22"/>
          <w:color w:val="auto"/>
        </w:rPr>
        <w:t xml:space="preserve">”) with respect to possible violations of any U.S. federal, state or local law or regulation, or otherwise making disclosures to any Governmental Entity, in each case, that are protected under the whistleblower provisions of any such law or regulation;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in each case, such communications and disclosures are consistent with applicable law. Notwithstanding the foregoing, Executive agrees to take all reasonable precautions to prevent any unauthorized use or disclosure of any information that may constitute Company confidential information (as defined in the At-Will Employment, Confidential Information, Invention Assignment and Arbitration Agreement entered into between the Company and Executive dated February 4, 2020 (the “</w:t>
      </w:r>
      <w:r>
        <w:rPr>
          <w:rFonts w:ascii="Times New Roman" w:cs="Times New Roman" w:eastAsia="Times New Roman" w:hAnsi="Times New Roman"/>
          <w:sz w:val="22"/>
          <w:szCs w:val="22"/>
          <w:b w:val="1"/>
          <w:bCs w:val="1"/>
          <w:color w:val="auto"/>
        </w:rPr>
        <w:t>Proprietary Agreement</w:t>
      </w:r>
      <w:r>
        <w:rPr>
          <w:rFonts w:ascii="Times New Roman" w:cs="Times New Roman" w:eastAsia="Times New Roman" w:hAnsi="Times New Roman"/>
          <w:sz w:val="22"/>
          <w:szCs w:val="22"/>
          <w:color w:val="auto"/>
        </w:rPr>
        <w:t>”) or any other agreement between Executive and the Company, the Employer or any parent, subsidiary or other affiliate of the Company relating to the protection of confidential information) in a manner not protected by applicable law (each, a “</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to any parties other than the Governmental Entities. Executive further understands that Protected Activity does not include disclosure of any Company attorney-client privileged communications or attorney work product. Any language in the Proprietary Agreement or any Confidentiality Agreement that conflicts with, or is contrary to, this paragraph is superseded by this Agreement. Executive understands and acknowledges that pursuant to the Defend Trade Secrets Act of 2016 (A) an individual will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1" w:right="339" w:bottom="1440" w:gutter="0" w:footer="0" w:header="0"/>
        </w:sectPr>
      </w:pPr>
    </w:p>
    <w:bookmarkStart w:id="519" w:name="page520"/>
    <w:bookmarkEnd w:id="519"/>
    <w:p>
      <w:pPr>
        <w:ind w:firstLine="648"/>
        <w:spacing w:after="0" w:line="271" w:lineRule="auto"/>
        <w:rPr>
          <w:sz w:val="20"/>
          <w:szCs w:val="20"/>
          <w:color w:val="auto"/>
        </w:rPr>
      </w:pPr>
      <w:r>
        <w:rPr>
          <w:rFonts w:ascii="Times New Roman" w:cs="Times New Roman" w:eastAsia="Times New Roman" w:hAnsi="Times New Roman"/>
          <w:sz w:val="22"/>
          <w:szCs w:val="22"/>
          <w:color w:val="auto"/>
        </w:rPr>
        <w:t>By his or its signature below, each of the parties signifies his or its acceptance of the terms of this Agreement, in the case of the Company by its duly authorized officer.</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58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53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SEER, INC.</w:t>
            </w:r>
          </w:p>
        </w:tc>
      </w:tr>
      <w:tr>
        <w:trPr>
          <w:trHeight w:val="589"/>
        </w:trPr>
        <w:tc>
          <w:tcPr>
            <w:tcW w:w="5860" w:type="dxa"/>
            <w:vAlign w:val="bottom"/>
          </w:tcPr>
          <w:p>
            <w:pPr>
              <w:ind w:left="5100"/>
              <w:spacing w:after="0"/>
              <w:rPr>
                <w:sz w:val="20"/>
                <w:szCs w:val="20"/>
                <w:color w:val="auto"/>
              </w:rPr>
            </w:pPr>
            <w:r>
              <w:rPr>
                <w:rFonts w:ascii="Times New Roman" w:cs="Times New Roman" w:eastAsia="Times New Roman" w:hAnsi="Times New Roman"/>
                <w:sz w:val="22"/>
                <w:szCs w:val="22"/>
                <w:color w:val="auto"/>
              </w:rPr>
              <w:t>By:</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Omead Ostadan</w:t>
            </w:r>
          </w:p>
        </w:tc>
      </w:tr>
      <w:tr>
        <w:trPr>
          <w:trHeight w:val="831"/>
        </w:trPr>
        <w:tc>
          <w:tcPr>
            <w:tcW w:w="5860" w:type="dxa"/>
            <w:vAlign w:val="bottom"/>
          </w:tcPr>
          <w:p>
            <w:pPr>
              <w:ind w:left="5100"/>
              <w:spacing w:after="0"/>
              <w:rPr>
                <w:sz w:val="20"/>
                <w:szCs w:val="20"/>
                <w:color w:val="auto"/>
              </w:rPr>
            </w:pPr>
            <w:r>
              <w:rPr>
                <w:rFonts w:ascii="Times New Roman" w:cs="Times New Roman" w:eastAsia="Times New Roman" w:hAnsi="Times New Roman"/>
                <w:sz w:val="22"/>
                <w:szCs w:val="22"/>
                <w:color w:val="auto"/>
              </w:rPr>
              <w:t>Title:</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President and COO</w:t>
            </w:r>
          </w:p>
        </w:tc>
      </w:tr>
      <w:tr>
        <w:trPr>
          <w:trHeight w:val="560"/>
        </w:trPr>
        <w:tc>
          <w:tcPr>
            <w:tcW w:w="5860" w:type="dxa"/>
            <w:vAlign w:val="bottom"/>
          </w:tcPr>
          <w:p>
            <w:pPr>
              <w:ind w:left="5100"/>
              <w:spacing w:after="0"/>
              <w:rPr>
                <w:sz w:val="20"/>
                <w:szCs w:val="20"/>
                <w:color w:val="auto"/>
              </w:rPr>
            </w:pPr>
            <w:r>
              <w:rPr>
                <w:rFonts w:ascii="Times New Roman" w:cs="Times New Roman" w:eastAsia="Times New Roman" w:hAnsi="Times New Roman"/>
                <w:sz w:val="22"/>
                <w:szCs w:val="22"/>
                <w:color w:val="auto"/>
              </w:rPr>
              <w:t>Date:</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November 30, 2020</w:t>
            </w:r>
          </w:p>
        </w:tc>
      </w:tr>
      <w:tr>
        <w:trPr>
          <w:trHeight w:val="561"/>
        </w:trPr>
        <w:tc>
          <w:tcPr>
            <w:tcW w:w="58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Omid Farokhzad</w:t>
            </w:r>
          </w:p>
        </w:tc>
      </w:tr>
      <w:tr>
        <w:trPr>
          <w:trHeight w:val="295"/>
        </w:trPr>
        <w:tc>
          <w:tcPr>
            <w:tcW w:w="586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Omid Farokhzad</w:t>
            </w:r>
          </w:p>
        </w:tc>
      </w:tr>
      <w:tr>
        <w:trPr>
          <w:trHeight w:val="589"/>
        </w:trPr>
        <w:tc>
          <w:tcPr>
            <w:tcW w:w="5860" w:type="dxa"/>
            <w:vAlign w:val="bottom"/>
          </w:tcPr>
          <w:p>
            <w:pPr>
              <w:ind w:left="5100"/>
              <w:spacing w:after="0"/>
              <w:rPr>
                <w:sz w:val="20"/>
                <w:szCs w:val="20"/>
                <w:color w:val="auto"/>
              </w:rPr>
            </w:pPr>
            <w:r>
              <w:rPr>
                <w:rFonts w:ascii="Times New Roman" w:cs="Times New Roman" w:eastAsia="Times New Roman" w:hAnsi="Times New Roman"/>
                <w:sz w:val="22"/>
                <w:szCs w:val="22"/>
                <w:color w:val="auto"/>
              </w:rPr>
              <w:t>Date:</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November 30, 2020</w:t>
            </w: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of Seer, Inc. CEO Change in Control and Severance Agreement]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1" w:right="339" w:bottom="1440" w:gutter="0" w:footer="0" w:header="0"/>
        </w:sectPr>
      </w:pPr>
    </w:p>
    <w:bookmarkStart w:id="520" w:name="page521"/>
    <w:bookmarkEnd w:id="520"/>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INCENTIVE COMPENSATION PLAN</w:t>
      </w:r>
    </w:p>
    <w:p>
      <w:pPr>
        <w:spacing w:after="0" w:line="220" w:lineRule="exact"/>
        <w:rPr>
          <w:sz w:val="20"/>
          <w:szCs w:val="20"/>
          <w:color w:val="auto"/>
        </w:rPr>
      </w:pPr>
    </w:p>
    <w:p>
      <w:pPr>
        <w:ind w:firstLine="656"/>
        <w:spacing w:after="0" w:line="275" w:lineRule="auto"/>
        <w:tabs>
          <w:tab w:leader="none" w:pos="1296" w:val="left"/>
        </w:tabs>
        <w:numPr>
          <w:ilvl w:val="0"/>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Purposes of the Plan</w:t>
      </w:r>
      <w:r>
        <w:rPr>
          <w:rFonts w:ascii="Times New Roman" w:cs="Times New Roman" w:eastAsia="Times New Roman" w:hAnsi="Times New Roman"/>
          <w:sz w:val="22"/>
          <w:szCs w:val="22"/>
          <w:color w:val="auto"/>
        </w:rPr>
        <w:t>. The Plan is intended to increase stockholder value and the success of the Company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motivating Employees to (a) perform to the best of their abilities and (b) achieve the Company’s objectives.</w:t>
      </w:r>
    </w:p>
    <w:p>
      <w:pPr>
        <w:spacing w:after="0" w:line="14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Actual Award</w:t>
      </w:r>
      <w:r>
        <w:rPr>
          <w:rFonts w:ascii="Times New Roman" w:cs="Times New Roman" w:eastAsia="Times New Roman" w:hAnsi="Times New Roman"/>
          <w:sz w:val="21"/>
          <w:szCs w:val="21"/>
          <w:color w:val="auto"/>
        </w:rPr>
        <w:t>” means as to any Performance Period, the actual award (if any) payable to a Participant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for the Performance Period, subject to the authority of the Administrator (as defined in Section 3) under Section 4.4.</w:t>
      </w:r>
    </w:p>
    <w:p>
      <w:pPr>
        <w:spacing w:after="0" w:line="127" w:lineRule="exact"/>
        <w:rPr>
          <w:sz w:val="20"/>
          <w:szCs w:val="20"/>
          <w:color w:val="auto"/>
        </w:rPr>
      </w:pPr>
    </w:p>
    <w:p>
      <w:pPr>
        <w:jc w:val="both"/>
        <w:ind w:firstLine="1296"/>
        <w:spacing w:after="0" w:line="289"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any corporation or other entity (including, but not limited to, partnerships and joint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ventures) that, from time to time and at the time of any determination, directly or indirectly, is in control of or is controlled by the Company.</w:t>
      </w:r>
    </w:p>
    <w:p>
      <w:pPr>
        <w:spacing w:after="0" w:line="200" w:lineRule="exact"/>
        <w:rPr>
          <w:sz w:val="20"/>
          <w:szCs w:val="20"/>
          <w:color w:val="auto"/>
        </w:rPr>
      </w:pPr>
    </w:p>
    <w:p>
      <w:pPr>
        <w:spacing w:after="0" w:line="204"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of the Company.</w:t>
      </w:r>
    </w:p>
    <w:p>
      <w:pPr>
        <w:spacing w:after="0" w:line="231"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Bonus Pool</w:t>
      </w:r>
      <w:r>
        <w:rPr>
          <w:rFonts w:ascii="Times New Roman" w:cs="Times New Roman" w:eastAsia="Times New Roman" w:hAnsi="Times New Roman"/>
          <w:sz w:val="21"/>
          <w:szCs w:val="21"/>
          <w:color w:val="auto"/>
        </w:rPr>
        <w:t>” means the pool of funds available for distribution to Participants. Subject to the terms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Plan, the Administrator establishes the Bonus Pool for each Performance Period.</w:t>
      </w:r>
    </w:p>
    <w:p>
      <w:pPr>
        <w:spacing w:after="0" w:line="127"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U.S. Internal Revenue Code of 1986, as amended. Reference to a specific section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Code or regulation thereunder will include such section or regulation, any valid regulation or formal guidance of general or direct applicability promulgated under such section or regulation, and any comparable provision of any future legislation or regulation amending, supplementing or superseding such section or regulation.</w:t>
      </w:r>
    </w:p>
    <w:p>
      <w:pPr>
        <w:spacing w:after="0" w:line="15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means a committee appointed by the Board (pursuant to Section 3) to administer the Plan.</w:t>
      </w:r>
    </w:p>
    <w:p>
      <w:pPr>
        <w:spacing w:after="0" w:line="23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means Seer, Inc., a Delaware corporation, or any successor thereto.</w:t>
      </w:r>
    </w:p>
    <w:p>
      <w:pPr>
        <w:spacing w:after="0" w:line="23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Group</w:t>
      </w:r>
      <w:r>
        <w:rPr>
          <w:rFonts w:ascii="Times New Roman" w:cs="Times New Roman" w:eastAsia="Times New Roman" w:hAnsi="Times New Roman"/>
          <w:sz w:val="21"/>
          <w:szCs w:val="21"/>
          <w:color w:val="auto"/>
        </w:rPr>
        <w:t>” means the Company and any Parents, Subsidiaries, and Affiliates.</w:t>
      </w:r>
    </w:p>
    <w:p>
      <w:pPr>
        <w:spacing w:after="0" w:line="231"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20"/>
          <w:szCs w:val="20"/>
          <w:color w:val="auto"/>
        </w:rPr>
        <w:t xml:space="preserve">2.9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means a permanent and total disability determined in accordance with uniform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nondiscriminatory standards adopted by the Administrator from time to time.</w:t>
      </w:r>
    </w:p>
    <w:p>
      <w:pPr>
        <w:spacing w:after="0" w:line="127"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20"/>
          <w:szCs w:val="20"/>
          <w:color w:val="auto"/>
        </w:rPr>
        <w:t xml:space="preserve">2.10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Employee</w:t>
      </w:r>
      <w:r>
        <w:rPr>
          <w:rFonts w:ascii="Times New Roman" w:cs="Times New Roman" w:eastAsia="Times New Roman" w:hAnsi="Times New Roman"/>
          <w:sz w:val="21"/>
          <w:szCs w:val="21"/>
          <w:color w:val="auto"/>
        </w:rPr>
        <w:t>” means any executive, officer, or other employee of the Company Group, whether such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individual is so employed at the time the Plan is adopted or becomes so employed subsequent to the adoption of the Plan.</w:t>
      </w:r>
    </w:p>
    <w:p>
      <w:pPr>
        <w:sectPr>
          <w:pgSz w:w="11900" w:h="16838" w:orient="portrait"/>
          <w:cols w:equalWidth="0" w:num="1">
            <w:col w:w="11240"/>
          </w:cols>
          <w:pgMar w:left="320" w:top="117" w:right="339" w:bottom="1440" w:gutter="0" w:footer="0" w:header="0"/>
        </w:sectPr>
      </w:pPr>
    </w:p>
    <w:bookmarkStart w:id="521" w:name="page522"/>
    <w:bookmarkEnd w:id="521"/>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Fiscal Year</w:t>
      </w:r>
      <w:r>
        <w:rPr>
          <w:rFonts w:ascii="Times New Roman" w:cs="Times New Roman" w:eastAsia="Times New Roman" w:hAnsi="Times New Roman"/>
          <w:sz w:val="21"/>
          <w:szCs w:val="21"/>
          <w:color w:val="auto"/>
        </w:rPr>
        <w:t>” means the fiscal year of the Company.</w:t>
      </w:r>
    </w:p>
    <w:p>
      <w:pPr>
        <w:spacing w:after="0" w:line="231"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 xml:space="preserve">2.12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Parent</w:t>
      </w:r>
      <w:r>
        <w:rPr>
          <w:rFonts w:ascii="Times New Roman" w:cs="Times New Roman" w:eastAsia="Times New Roman" w:hAnsi="Times New Roman"/>
          <w:sz w:val="21"/>
          <w:szCs w:val="21"/>
          <w:color w:val="auto"/>
        </w:rPr>
        <w:t>” means a “parent corporation,” whether now or hereafter existing, as defined in Code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Section 424(e).</w:t>
      </w:r>
    </w:p>
    <w:p>
      <w:pPr>
        <w:spacing w:after="0" w:line="200" w:lineRule="exact"/>
        <w:rPr>
          <w:sz w:val="20"/>
          <w:szCs w:val="20"/>
          <w:color w:val="auto"/>
        </w:rPr>
      </w:pPr>
    </w:p>
    <w:p>
      <w:pPr>
        <w:spacing w:after="0" w:line="258"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means as to any Performance Period, an Employee who has been selected by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Administrator for participation in the Plan for that Performance Period.</w:t>
      </w:r>
    </w:p>
    <w:p>
      <w:pPr>
        <w:spacing w:after="0" w:line="127"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 xml:space="preserve">2.14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Performance Period</w:t>
      </w:r>
      <w:r>
        <w:rPr>
          <w:rFonts w:ascii="Times New Roman" w:cs="Times New Roman" w:eastAsia="Times New Roman" w:hAnsi="Times New Roman"/>
          <w:sz w:val="21"/>
          <w:szCs w:val="21"/>
          <w:color w:val="auto"/>
        </w:rPr>
        <w:t>” means the period of time for the measurement of the performance criteria that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must be met to receive an Actual Award, as determined by the Administrator. A Performance Period may be divided into one or more shorter periods if, for example, but not by way of limitation, the Administrator desires to measure some performance criteria over twelve (12) months and other criteria over three (3) months.</w:t>
      </w:r>
    </w:p>
    <w:p>
      <w:pPr>
        <w:spacing w:after="0" w:line="159"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20"/>
          <w:szCs w:val="20"/>
          <w:color w:val="auto"/>
        </w:rPr>
        <w:t xml:space="preserve">2.15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means this Executive Incentive Compensation Plan (including any appendix attached hereto),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may be amended from time to time.</w:t>
      </w:r>
    </w:p>
    <w:p>
      <w:pPr>
        <w:spacing w:after="0" w:line="127"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20"/>
          <w:szCs w:val="20"/>
          <w:color w:val="auto"/>
        </w:rPr>
        <w:t xml:space="preserve">2.16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means Section 409A of the Code and/or any state law equivalent as each may be amended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or promulgated from time to time.</w:t>
      </w:r>
    </w:p>
    <w:p>
      <w:pPr>
        <w:spacing w:after="0" w:line="127"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20"/>
          <w:szCs w:val="20"/>
          <w:color w:val="auto"/>
        </w:rPr>
        <w:t xml:space="preserve">2.17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means a “subsidiary corporation,” whether now or hereafter existing, as defined in Code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Section 424(f), in relation to the Company.</w:t>
      </w:r>
    </w:p>
    <w:p>
      <w:pPr>
        <w:spacing w:after="0" w:line="127"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20"/>
          <w:szCs w:val="20"/>
          <w:color w:val="auto"/>
        </w:rPr>
        <w:t xml:space="preserve">2.18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Target Award</w:t>
      </w:r>
      <w:r>
        <w:rPr>
          <w:rFonts w:ascii="Times New Roman" w:cs="Times New Roman" w:eastAsia="Times New Roman" w:hAnsi="Times New Roman"/>
          <w:sz w:val="21"/>
          <w:szCs w:val="21"/>
          <w:color w:val="auto"/>
        </w:rPr>
        <w:t>” means the target award, at one hundred percent (100%) of target level performance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achievement, payable under the Plan to a Participant for a Performance Period, as determined by the Administrator in accordance with Section 4.2.</w:t>
      </w:r>
    </w:p>
    <w:p>
      <w:pPr>
        <w:spacing w:after="0" w:line="14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 xml:space="preserve">2.19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Tax Withholdings</w:t>
      </w:r>
      <w:r>
        <w:rPr>
          <w:rFonts w:ascii="Times New Roman" w:cs="Times New Roman" w:eastAsia="Times New Roman" w:hAnsi="Times New Roman"/>
          <w:sz w:val="21"/>
          <w:szCs w:val="21"/>
          <w:color w:val="auto"/>
        </w:rPr>
        <w:t>” means tax, social insurance and social security liability or premium obligations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connection with the awards under the Plan, including without limitation: (a) all federal, state, and local income, employment and any other taxes (including the Participant’s U.S. Federal Insurance Contributions Act (FICA) obligation) that are required to be withheld by the Company Group, (b) the Participant’s and, to the extent required by the Company Group, the fringe benefit tax liability of the Company Group associated with an award under the Plan, and (c) any other taxes or social insurance or social security liabilities or premium the responsibility for which the Participant has, or has agreed to bear, with respect to such award under the Plan.</w:t>
      </w:r>
    </w:p>
    <w:p>
      <w:pPr>
        <w:spacing w:after="0" w:line="200" w:lineRule="exact"/>
        <w:rPr>
          <w:sz w:val="20"/>
          <w:szCs w:val="20"/>
          <w:color w:val="auto"/>
        </w:rPr>
      </w:pPr>
    </w:p>
    <w:p>
      <w:pPr>
        <w:spacing w:after="0" w:line="22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0"/>
          <w:szCs w:val="20"/>
          <w:color w:val="auto"/>
        </w:rPr>
        <w:t xml:space="preserve">2.20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Termination of Employment</w:t>
      </w:r>
      <w:r>
        <w:rPr>
          <w:rFonts w:ascii="Times New Roman" w:cs="Times New Roman" w:eastAsia="Times New Roman" w:hAnsi="Times New Roman"/>
          <w:sz w:val="21"/>
          <w:szCs w:val="21"/>
          <w:color w:val="auto"/>
        </w:rPr>
        <w:t>” means a cessation of the employee-employer relationship between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Employee and the Company Group, including without limitation a termination by resignation, discharge, death, Disability, retirement, or the disaffiliation of a Parent, Subsidiary or Affiliate. For purposes of the Plan, transfer of employment of a Participant between any members of the Company Group (for example, between the Company and a Subsidiary) will not be deemed a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7" w:right="339" w:bottom="1440" w:gutter="0" w:footer="0" w:header="0"/>
        </w:sectPr>
      </w:pPr>
    </w:p>
    <w:bookmarkStart w:id="522" w:name="page523"/>
    <w:bookmarkEnd w:id="522"/>
    <w:p>
      <w:pPr>
        <w:ind w:left="1300" w:hanging="644"/>
        <w:spacing w:after="0"/>
        <w:tabs>
          <w:tab w:leader="none" w:pos="1300" w:val="left"/>
        </w:tabs>
        <w:numPr>
          <w:ilvl w:val="0"/>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Administration of the Plan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1"/>
          <w:szCs w:val="21"/>
          <w:b w:val="1"/>
          <w:bCs w:val="1"/>
          <w:color w:val="auto"/>
        </w:rPr>
        <w:t>Administrator</w:t>
      </w:r>
      <w:r>
        <w:rPr>
          <w:rFonts w:ascii="Times New Roman" w:cs="Times New Roman" w:eastAsia="Times New Roman" w:hAnsi="Times New Roman"/>
          <w:sz w:val="21"/>
          <w:szCs w:val="21"/>
          <w:color w:val="auto"/>
        </w:rPr>
        <w:t>. The Plan will be administered by the Board or a Committee (the “</w:t>
      </w:r>
      <w:r>
        <w:rPr>
          <w:rFonts w:ascii="Times New Roman" w:cs="Times New Roman" w:eastAsia="Times New Roman" w:hAnsi="Times New Roman"/>
          <w:sz w:val="21"/>
          <w:szCs w:val="21"/>
          <w:b w:val="1"/>
          <w:bCs w:val="1"/>
          <w:color w:val="auto"/>
        </w:rPr>
        <w:t>Administrator</w:t>
      </w:r>
      <w:r>
        <w:rPr>
          <w:rFonts w:ascii="Times New Roman" w:cs="Times New Roman" w:eastAsia="Times New Roman" w:hAnsi="Times New Roman"/>
          <w:sz w:val="21"/>
          <w:szCs w:val="21"/>
          <w:color w:val="auto"/>
        </w:rPr>
        <w: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extent necessary or desirable to satisfy applicable laws, the Committee acting as the Administrator will consist of not less than two (2) members of the Board. The members of any Committee will be appointed from time to time by, and serve at the pleasure of, the Board. The Board may retain the authority to administer the Plan concurrently with a Committee and may revoke the delegation of some or all authority previously delegated. Different Administrators may administer the Plan with respect to different groups of Employees. Unless and until the Board otherwise determines, the Board’s Compensation Committee will administer the Plan.</w:t>
      </w:r>
    </w:p>
    <w:p>
      <w:pPr>
        <w:spacing w:after="0" w:line="200" w:lineRule="exact"/>
        <w:rPr>
          <w:sz w:val="20"/>
          <w:szCs w:val="20"/>
          <w:color w:val="auto"/>
        </w:rPr>
      </w:pPr>
    </w:p>
    <w:p>
      <w:pPr>
        <w:spacing w:after="0" w:line="224"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1"/>
          <w:szCs w:val="21"/>
          <w:b w:val="1"/>
          <w:bCs w:val="1"/>
          <w:color w:val="auto"/>
        </w:rPr>
        <w:t>Administrator Authority</w:t>
      </w:r>
      <w:r>
        <w:rPr>
          <w:rFonts w:ascii="Times New Roman" w:cs="Times New Roman" w:eastAsia="Times New Roman" w:hAnsi="Times New Roman"/>
          <w:sz w:val="21"/>
          <w:szCs w:val="21"/>
          <w:color w:val="auto"/>
        </w:rPr>
        <w:t>. It will be the duty of the Administrator to administer the Plan in accordance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with the Plan’s provisions. The Administrator will have all powers and discretion necessary or appropriate to administer the Plan and to control its operation, including, but not limited to, the power to (a) determine which Employees will be granted awards,</w:t>
      </w:r>
    </w:p>
    <w:p>
      <w:pPr>
        <w:spacing w:after="0" w:line="1" w:lineRule="exact"/>
        <w:rPr>
          <w:sz w:val="20"/>
          <w:szCs w:val="20"/>
          <w:color w:val="auto"/>
        </w:rPr>
      </w:pPr>
    </w:p>
    <w:p>
      <w:pPr>
        <w:jc w:val="both"/>
        <w:ind w:firstLine="8"/>
        <w:spacing w:after="0" w:line="244" w:lineRule="auto"/>
        <w:tabs>
          <w:tab w:leader="none" w:pos="317"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prescribe the terms and conditions of awards, (c) interpret the Plan and the awards, (d) adopt such procedures and sub-plans as are necessary or appropriate to permit participation in the Plan by Employees who are non-U.S. nationals or employed outside of the U.S. or to qualify awards for special tax treatment under the laws of jurisdictions other than the U.S., (e) adopt rules for the administration, interpretation and application of the Plan as are consistent therewith, and (f) interpret, amend or revoke any such rules. Any determinations and decisions made or to be made by the Administrator pursuant to the provisions of the Plan, unless specified otherwise by the Administrator, will be in the Administrator’s sole discretion.</w:t>
      </w:r>
    </w:p>
    <w:p>
      <w:pPr>
        <w:spacing w:after="0" w:line="184"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1"/>
          <w:szCs w:val="21"/>
          <w:b w:val="1"/>
          <w:bCs w:val="1"/>
          <w:color w:val="auto"/>
        </w:rPr>
        <w:t>Decisions Binding</w:t>
      </w:r>
      <w:r>
        <w:rPr>
          <w:rFonts w:ascii="Times New Roman" w:cs="Times New Roman" w:eastAsia="Times New Roman" w:hAnsi="Times New Roman"/>
          <w:sz w:val="21"/>
          <w:szCs w:val="21"/>
          <w:color w:val="auto"/>
        </w:rPr>
        <w:t>. All determinations and decisions made by the Administrator and/or any delegate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Administrator pursuant to the provisions of the Plan will be final, conclusive, and binding on all persons, and will be given the maximum deference permitted by law.</w:t>
      </w:r>
    </w:p>
    <w:p>
      <w:pPr>
        <w:spacing w:after="0" w:line="149"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1"/>
          <w:szCs w:val="21"/>
          <w:b w:val="1"/>
          <w:bCs w:val="1"/>
          <w:color w:val="auto"/>
        </w:rPr>
        <w:t>Delegation by Administrator</w:t>
      </w:r>
      <w:r>
        <w:rPr>
          <w:rFonts w:ascii="Times New Roman" w:cs="Times New Roman" w:eastAsia="Times New Roman" w:hAnsi="Times New Roman"/>
          <w:sz w:val="21"/>
          <w:szCs w:val="21"/>
          <w:color w:val="auto"/>
        </w:rPr>
        <w:t>. The Administrator, on such terms and conditions as it may provide, may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delegate all or part of its authority and powers under the Plan to one or more directors and/or officers of the Company. Such delegation may be revoked at any time.</w:t>
      </w:r>
    </w:p>
    <w:p>
      <w:pPr>
        <w:spacing w:after="0" w:line="149"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1"/>
          <w:szCs w:val="21"/>
          <w:b w:val="1"/>
          <w:bCs w:val="1"/>
          <w:color w:val="auto"/>
        </w:rPr>
        <w:t>Indemnification</w:t>
      </w:r>
      <w:r>
        <w:rPr>
          <w:rFonts w:ascii="Times New Roman" w:cs="Times New Roman" w:eastAsia="Times New Roman" w:hAnsi="Times New Roman"/>
          <w:sz w:val="21"/>
          <w:szCs w:val="21"/>
          <w:color w:val="auto"/>
        </w:rPr>
        <w:t>. Each person who is or will have been a member of the Administrator will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indemnified and held harmless by the 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and (b) from any and all amounts paid by him or her in settlement thereof, with the Company’s approval, or paid by him or her in satisfaction of any judgment in any such claim, action, suit, or proceeding against him or her, provided he or she will give the Company an opportunity, at its own expense, to handle and defend the same before he or she undertakes to handle and defend it on his or her own behalf. The foregoing right of indemnification will not be exclusive of any other rights of indemnification to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7" w:right="339" w:bottom="1440" w:gutter="0" w:footer="0" w:header="0"/>
        </w:sectPr>
      </w:pPr>
    </w:p>
    <w:bookmarkStart w:id="523" w:name="page524"/>
    <w:bookmarkEnd w:id="523"/>
    <w:p>
      <w:pPr>
        <w:ind w:right="20"/>
        <w:spacing w:after="0" w:line="271" w:lineRule="auto"/>
        <w:rPr>
          <w:sz w:val="20"/>
          <w:szCs w:val="20"/>
          <w:color w:val="auto"/>
        </w:rPr>
      </w:pPr>
      <w:r>
        <w:rPr>
          <w:rFonts w:ascii="Times New Roman" w:cs="Times New Roman" w:eastAsia="Times New Roman" w:hAnsi="Times New Roman"/>
          <w:sz w:val="22"/>
          <w:szCs w:val="22"/>
          <w:color w:val="auto"/>
        </w:rPr>
        <w:t>persons may be entitled under the Company’s Certificate of Incorporation or Bylaws, by contract, as a matter of law, or otherwise, or under any power that the Company may have to indemnify them or hold them harmless.</w:t>
      </w:r>
    </w:p>
    <w:p>
      <w:pPr>
        <w:spacing w:after="0" w:line="154" w:lineRule="exact"/>
        <w:rPr>
          <w:sz w:val="20"/>
          <w:szCs w:val="20"/>
          <w:color w:val="auto"/>
        </w:rPr>
      </w:pPr>
    </w:p>
    <w:p>
      <w:pPr>
        <w:ind w:left="1300" w:hanging="644"/>
        <w:spacing w:after="0"/>
        <w:tabs>
          <w:tab w:leader="none" w:pos="1300" w:val="left"/>
        </w:tabs>
        <w:numPr>
          <w:ilvl w:val="0"/>
          <w:numId w:val="4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Selection of Participants and Determination of Awards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1"/>
          <w:szCs w:val="21"/>
          <w:b w:val="1"/>
          <w:bCs w:val="1"/>
          <w:color w:val="auto"/>
        </w:rPr>
        <w:t>Selection of Participants</w:t>
      </w:r>
      <w:r>
        <w:rPr>
          <w:rFonts w:ascii="Times New Roman" w:cs="Times New Roman" w:eastAsia="Times New Roman" w:hAnsi="Times New Roman"/>
          <w:sz w:val="21"/>
          <w:szCs w:val="21"/>
          <w:color w:val="auto"/>
        </w:rPr>
        <w:t>. The Administrator will select the Employees who will be Participants for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Performance Period. Participation in the Plan will be on a Performance Period by Performance Period basis. Accordingly, an Employee who is a Participant for a given Performance Period in no way is guaranteed or assured of being selected for participation in any subsequent Performance Period or Performance Periods. No Employee will have the right to be selected to receive an award under this Plan or, if so selected, to be selected to receive a future award.</w:t>
      </w:r>
    </w:p>
    <w:p>
      <w:pPr>
        <w:spacing w:after="0" w:line="160"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1"/>
          <w:szCs w:val="21"/>
          <w:b w:val="1"/>
          <w:bCs w:val="1"/>
          <w:color w:val="auto"/>
        </w:rPr>
        <w:t>Determination of Target Awards</w:t>
      </w:r>
      <w:r>
        <w:rPr>
          <w:rFonts w:ascii="Times New Roman" w:cs="Times New Roman" w:eastAsia="Times New Roman" w:hAnsi="Times New Roman"/>
          <w:sz w:val="21"/>
          <w:szCs w:val="21"/>
          <w:color w:val="auto"/>
        </w:rPr>
        <w:t>. The Administrator may establish a Target Award for each Participant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(which may be expressed as a percentage of a Participant’s average annual base salary for the Performance Period or a fixed dollar amount or such other amount or based on such other formula or factors as the Administrator determines).</w:t>
      </w:r>
    </w:p>
    <w:p>
      <w:pPr>
        <w:spacing w:after="0" w:line="149"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1"/>
          <w:szCs w:val="21"/>
          <w:b w:val="1"/>
          <w:bCs w:val="1"/>
          <w:color w:val="auto"/>
        </w:rPr>
        <w:t>Bonus Pool</w:t>
      </w:r>
      <w:r>
        <w:rPr>
          <w:rFonts w:ascii="Times New Roman" w:cs="Times New Roman" w:eastAsia="Times New Roman" w:hAnsi="Times New Roman"/>
          <w:sz w:val="21"/>
          <w:szCs w:val="21"/>
          <w:color w:val="auto"/>
        </w:rPr>
        <w:t>. Each Performance Period, the Administrator may establish a Bonus Pool, which pool may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established before, during or after the applicable Performance Period. Actual Awards will be paid from the Bonus Pool (if a Bonus Pool has been established).</w:t>
      </w:r>
    </w:p>
    <w:p>
      <w:pPr>
        <w:spacing w:after="0" w:line="14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1"/>
          <w:szCs w:val="21"/>
          <w:b w:val="1"/>
          <w:bCs w:val="1"/>
          <w:color w:val="auto"/>
        </w:rPr>
        <w:t>Discretion to Modify Awards</w:t>
      </w:r>
      <w:r>
        <w:rPr>
          <w:rFonts w:ascii="Times New Roman" w:cs="Times New Roman" w:eastAsia="Times New Roman" w:hAnsi="Times New Roman"/>
          <w:sz w:val="21"/>
          <w:szCs w:val="21"/>
          <w:color w:val="auto"/>
        </w:rPr>
        <w:t>. Notwithstanding any contrary provision of the Plan, the Administrator, at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any time prior to payment of an Actual Award, may: (a) increase, reduce or eliminate a Participant’s Actual Award, and/or</w:t>
      </w:r>
    </w:p>
    <w:p>
      <w:pPr>
        <w:spacing w:after="0" w:line="2" w:lineRule="exact"/>
        <w:rPr>
          <w:sz w:val="20"/>
          <w:szCs w:val="20"/>
          <w:color w:val="auto"/>
        </w:rPr>
      </w:pPr>
    </w:p>
    <w:p>
      <w:pPr>
        <w:jc w:val="both"/>
        <w:ind w:firstLine="8"/>
        <w:spacing w:after="0" w:line="245" w:lineRule="auto"/>
        <w:tabs>
          <w:tab w:leader="none" w:pos="308" w:val="left"/>
        </w:tabs>
        <w:numPr>
          <w:ilvl w:val="0"/>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reduce or eliminate the amount allocated to the Bonus Pool. The Actual Award may be below, at or above the Target Award, as determined by the Administrator. The Administrator may determine the amount of any increase, reduction, or elimination based on such factors as it deems relevant, and will not be required to establish any allocation or weighting with respect to the factors it considers.</w:t>
      </w:r>
    </w:p>
    <w:p>
      <w:pPr>
        <w:spacing w:after="0" w:line="18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1"/>
          <w:szCs w:val="21"/>
          <w:b w:val="1"/>
          <w:bCs w:val="1"/>
          <w:color w:val="auto"/>
        </w:rPr>
        <w:t>Discretion to Determine Criteria</w:t>
      </w:r>
      <w:r>
        <w:rPr>
          <w:rFonts w:ascii="Times New Roman" w:cs="Times New Roman" w:eastAsia="Times New Roman" w:hAnsi="Times New Roman"/>
          <w:sz w:val="21"/>
          <w:szCs w:val="21"/>
          <w:color w:val="auto"/>
        </w:rPr>
        <w:t>. Notwithstanding any contrary provision of the Plan, the Administrator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will determine the performance goals, if any, applicable to any Target Award (or portion thereof) which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21" w:right="339" w:bottom="1440" w:gutter="0" w:footer="0" w:header="0"/>
        </w:sectPr>
      </w:pPr>
    </w:p>
    <w:bookmarkStart w:id="524" w:name="page525"/>
    <w:bookmarkEnd w:id="524"/>
    <w:p>
      <w:pPr>
        <w:jc w:val="both"/>
        <w:spacing w:after="0" w:line="256" w:lineRule="auto"/>
        <w:rPr>
          <w:sz w:val="20"/>
          <w:szCs w:val="20"/>
          <w:color w:val="auto"/>
        </w:rPr>
      </w:pPr>
      <w:r>
        <w:rPr>
          <w:rFonts w:ascii="Times New Roman" w:cs="Times New Roman" w:eastAsia="Times New Roman" w:hAnsi="Times New Roman"/>
          <w:sz w:val="21"/>
          <w:szCs w:val="21"/>
          <w:color w:val="auto"/>
        </w:rPr>
        <w:t>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As determined by the Administrator, the performance goals may be based on U.S. generally accepted accounting principles (“</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or non-GAAP results and any actual results may be adjusted by the Administrator for one-time items or unbudgeted or unexpected items and/or payments of Actual Awards under the Plan when determining whether the performance goals have been met. The performance goals may be based on any factors the Administrator determines relevant, including without limitation on an individual, divisional, portfolio, project, business unit, segment or Company-wide basis. Any criteria used may be measured on such basis as the Administrator determines, including without limitation: (a) in absolute terms, (b) in combination with another performance goal or goals (for example, but not by way of limitation, as a ratio or matrix), (c) in relative terms (including, but not limited to, results for other periods, passage of time and/or against another company or companies or an index or indices), (d) on a per-share basis,</w:t>
      </w:r>
    </w:p>
    <w:p>
      <w:pPr>
        <w:spacing w:after="0" w:line="10" w:lineRule="exact"/>
        <w:rPr>
          <w:sz w:val="20"/>
          <w:szCs w:val="20"/>
          <w:color w:val="auto"/>
        </w:rPr>
      </w:pPr>
    </w:p>
    <w:p>
      <w:pPr>
        <w:jc w:val="both"/>
        <w:ind w:firstLine="8"/>
        <w:spacing w:after="0" w:line="244" w:lineRule="auto"/>
        <w:tabs>
          <w:tab w:leader="none" w:pos="308" w:val="left"/>
        </w:tabs>
        <w:numPr>
          <w:ilvl w:val="0"/>
          <w:numId w:val="4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against the performance of the Company as a whole or a segment of the Company and/or (f) on a pre-tax or after-tax basis. The performance goals may differ from Participant to Participant and from award to award. Failure to meet the applicable performance goals will result in a failure to earn the Target Award, except as provided in Section 4.4. The Administrator also may determine that a Target Award (or portion thereof) will not have a performance goal associated with it but instead will be granted (if at all) as determined by the Administrator.</w:t>
      </w:r>
    </w:p>
    <w:p>
      <w:pPr>
        <w:spacing w:after="0" w:line="18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Payment of Awards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1"/>
          <w:szCs w:val="21"/>
          <w:b w:val="1"/>
          <w:bCs w:val="1"/>
          <w:color w:val="auto"/>
        </w:rPr>
        <w:t>Right to Receive Payment</w:t>
      </w:r>
      <w:r>
        <w:rPr>
          <w:rFonts w:ascii="Times New Roman" w:cs="Times New Roman" w:eastAsia="Times New Roman" w:hAnsi="Times New Roman"/>
          <w:sz w:val="21"/>
          <w:szCs w:val="21"/>
          <w:color w:val="auto"/>
        </w:rPr>
        <w:t>. Each Actual Award will be paid solely from the general assets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Company Group. Nothing in this Plan will be construed to create a trust or to establish or evidence any Participant’s claim of any right other than as an unsecured general creditor with respect to any payment to which the Participant may be entitled.</w:t>
      </w:r>
    </w:p>
    <w:p>
      <w:pPr>
        <w:spacing w:after="0" w:line="14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1"/>
          <w:szCs w:val="21"/>
          <w:b w:val="1"/>
          <w:bCs w:val="1"/>
          <w:color w:val="auto"/>
        </w:rPr>
        <w:t>Timing of Payment</w:t>
      </w:r>
      <w:r>
        <w:rPr>
          <w:rFonts w:ascii="Times New Roman" w:cs="Times New Roman" w:eastAsia="Times New Roman" w:hAnsi="Times New Roman"/>
          <w:sz w:val="21"/>
          <w:szCs w:val="21"/>
          <w:color w:val="auto"/>
        </w:rPr>
        <w:t>. Payment of each Actual Award will be made as soon as practicable after the end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Performance Period to which the Actual Award relates and after the Actual Award is approved by the Administrator, but in no event after the later of (a)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1"/>
          <w:szCs w:val="21"/>
          <w:color w:val="auto"/>
        </w:rPr>
        <w:t>) day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1"/>
          <w:szCs w:val="21"/>
          <w:color w:val="auto"/>
        </w:rPr>
        <w:t>) month of the Fiscal Year immediately following the Fiscal Year in which the Participant’s Actual Award first becomes no longer subject to a substantial risk of forfeiture, and (b) March 15 of the calendar year immediately following the calendar year in which the Participant’s Actual Award first becomes no longer subject to a substantial risk of forfeiture. Unless otherwise determined by the Administrator, to earn an Actual Award a Participant must be employed by the Company Group on the date the Actual Award is paid, and in all cases subject to the Administrator’s discretion pursuant to Section 4.4.</w:t>
      </w:r>
    </w:p>
    <w:p>
      <w:pPr>
        <w:spacing w:after="0" w:line="180"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1"/>
          <w:szCs w:val="21"/>
          <w:b w:val="1"/>
          <w:bCs w:val="1"/>
          <w:color w:val="auto"/>
        </w:rPr>
        <w:t>Form of Payment</w:t>
      </w:r>
      <w:r>
        <w:rPr>
          <w:rFonts w:ascii="Times New Roman" w:cs="Times New Roman" w:eastAsia="Times New Roman" w:hAnsi="Times New Roman"/>
          <w:sz w:val="21"/>
          <w:szCs w:val="21"/>
          <w:color w:val="auto"/>
        </w:rPr>
        <w:t>. Each Actual Award generally will be paid in cash (or its equivalent) in a single lump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sum. The Administrator reserves the right to settle an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1" w:right="339" w:bottom="1440" w:gutter="0" w:footer="0" w:header="0"/>
        </w:sectPr>
      </w:pPr>
    </w:p>
    <w:bookmarkStart w:id="525" w:name="page526"/>
    <w:bookmarkEnd w:id="525"/>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Award with a grant of an equity award with such terms and conditions, including any vesting requirements, as determined by the Administrator.</w:t>
      </w:r>
    </w:p>
    <w:p>
      <w:pPr>
        <w:spacing w:after="0" w:line="154"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1"/>
          <w:szCs w:val="21"/>
          <w:b w:val="1"/>
          <w:bCs w:val="1"/>
          <w:color w:val="auto"/>
        </w:rPr>
        <w:t>Payment in the Event of Death or Disability</w:t>
      </w:r>
      <w:r>
        <w:rPr>
          <w:rFonts w:ascii="Times New Roman" w:cs="Times New Roman" w:eastAsia="Times New Roman" w:hAnsi="Times New Roman"/>
          <w:sz w:val="21"/>
          <w:szCs w:val="21"/>
          <w:color w:val="auto"/>
        </w:rPr>
        <w:t>. If a Termination of Employment occurs due to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Participant’s death or Disability prior to payment of an Actual Award that the Administrator has determined will be paid for a prior Performance Period, then the Actual Award will be paid to the Participant or the Participant’s estate, as the case may be, subject to the Administrator’s discretion pursuant to Section 4.4.</w:t>
      </w:r>
    </w:p>
    <w:p>
      <w:pPr>
        <w:spacing w:after="0" w:line="159" w:lineRule="exact"/>
        <w:rPr>
          <w:sz w:val="20"/>
          <w:szCs w:val="20"/>
          <w:color w:val="auto"/>
        </w:rPr>
      </w:pPr>
    </w:p>
    <w:p>
      <w:pPr>
        <w:jc w:val="both"/>
        <w:ind w:left="1300" w:right="8120" w:hanging="644"/>
        <w:spacing w:after="0" w:line="469" w:lineRule="auto"/>
        <w:tabs>
          <w:tab w:leader="none" w:pos="1300" w:val="left"/>
        </w:tabs>
        <w:numPr>
          <w:ilvl w:val="0"/>
          <w:numId w:val="46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color w:val="auto"/>
        </w:rPr>
        <w:t>General Provisions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20"/>
          <w:szCs w:val="20"/>
          <w:b w:val="1"/>
          <w:bCs w:val="1"/>
          <w:color w:val="auto"/>
        </w:rPr>
        <w:t>Tax Matters</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ind w:firstLine="1944"/>
        <w:spacing w:after="0" w:line="263" w:lineRule="auto"/>
        <w:rPr>
          <w:sz w:val="20"/>
          <w:szCs w:val="20"/>
          <w:color w:val="auto"/>
        </w:rPr>
      </w:pPr>
      <w:r>
        <w:rPr>
          <w:rFonts w:ascii="Times New Roman" w:cs="Times New Roman" w:eastAsia="Times New Roman" w:hAnsi="Times New Roman"/>
          <w:sz w:val="20"/>
          <w:szCs w:val="20"/>
          <w:color w:val="auto"/>
        </w:rPr>
        <w:t xml:space="preserve">6.1.1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It is the intent that this Plan be exempt from or comply with the requirements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Section 409A so that none of the payments to be provided hereunder will be subject to the additional tax imposed under Section 409A, and any ambiguities or ambiguous terms will be interpreted to be so exempt or so comply. Each payment under this Plan is intended to constitute a separate payment for purposes of Treasury Regulations Section 1.409A-2(b)(2). In no event will the Company Group have any liability, obligation, or responsibility to reimburse, indemnify or hold harmless any Participant or other Employee for any taxes, penalties or interest imposed, or other costs incurred, as a result of Section 409A.</w:t>
      </w:r>
    </w:p>
    <w:p>
      <w:pPr>
        <w:spacing w:after="0" w:line="167" w:lineRule="exact"/>
        <w:rPr>
          <w:sz w:val="20"/>
          <w:szCs w:val="20"/>
          <w:color w:val="auto"/>
        </w:rPr>
      </w:pPr>
    </w:p>
    <w:p>
      <w:pPr>
        <w:jc w:val="both"/>
        <w:ind w:firstLine="1944"/>
        <w:spacing w:after="0" w:line="269"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1"/>
          <w:szCs w:val="21"/>
          <w:b w:val="1"/>
          <w:bCs w:val="1"/>
          <w:color w:val="auto"/>
        </w:rPr>
        <w:t>Tax Withholdings</w:t>
      </w:r>
      <w:r>
        <w:rPr>
          <w:rFonts w:ascii="Times New Roman" w:cs="Times New Roman" w:eastAsia="Times New Roman" w:hAnsi="Times New Roman"/>
          <w:sz w:val="21"/>
          <w:szCs w:val="21"/>
          <w:color w:val="auto"/>
        </w:rPr>
        <w:t>. The Company Group will have the right and authority to deduct from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Actual Award all applicable Tax Withholdings. Prior to the payment of an Actual Award or such earlier time as any Tax Withholdings are due, the Company Group is permitted to deduct or withhold, or require a Participant to remit to the Company Group, an amount sufficient to satisfy any Tax Withholdings with respect to such Actual Award.</w:t>
      </w:r>
    </w:p>
    <w:p>
      <w:pPr>
        <w:spacing w:after="0" w:line="15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1"/>
          <w:szCs w:val="21"/>
          <w:b w:val="1"/>
          <w:bCs w:val="1"/>
          <w:color w:val="auto"/>
        </w:rPr>
        <w:t>No Effect on Employment or Service</w:t>
      </w:r>
      <w:r>
        <w:rPr>
          <w:rFonts w:ascii="Times New Roman" w:cs="Times New Roman" w:eastAsia="Times New Roman" w:hAnsi="Times New Roman"/>
          <w:sz w:val="21"/>
          <w:szCs w:val="21"/>
          <w:color w:val="auto"/>
        </w:rPr>
        <w:t>. Neither the Plan nor any award under the Plan will confer upon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Participant any right regarding continuing the Participant’s relationship as an Employee or other service provider to the Company Group, nor will they interfere with or limit in any way the right of the Company Group or the Participant to terminate such relationship at any time, with or without cause, to the extent permitted by applicable laws.</w:t>
      </w:r>
    </w:p>
    <w:p>
      <w:pPr>
        <w:spacing w:after="0" w:line="15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1"/>
          <w:szCs w:val="21"/>
          <w:b w:val="1"/>
          <w:bCs w:val="1"/>
          <w:color w:val="auto"/>
        </w:rPr>
        <w:t>Forfeiture Events</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20"/>
          <w:szCs w:val="20"/>
          <w:color w:val="auto"/>
        </w:rPr>
        <w:t xml:space="preserve">6.3.1 </w:t>
      </w:r>
      <w:r>
        <w:rPr>
          <w:rFonts w:ascii="Times New Roman" w:cs="Times New Roman" w:eastAsia="Times New Roman" w:hAnsi="Times New Roman"/>
          <w:sz w:val="21"/>
          <w:szCs w:val="21"/>
          <w:b w:val="1"/>
          <w:bCs w:val="1"/>
          <w:color w:val="auto"/>
        </w:rPr>
        <w:t>Clawback Policy; Applicable Laws</w:t>
      </w:r>
      <w:r>
        <w:rPr>
          <w:rFonts w:ascii="Times New Roman" w:cs="Times New Roman" w:eastAsia="Times New Roman" w:hAnsi="Times New Roman"/>
          <w:sz w:val="21"/>
          <w:szCs w:val="21"/>
          <w:color w:val="auto"/>
        </w:rPr>
        <w:t>. All awards under the Plan will be subject to reduction,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cancellation, forfeiture, or recoupment in accordance with any clawback policy that the Company Group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with respect to an award under the Plan as the Administrator determines necessary or appropriate, including without limitation a reacquisition right in respect of previously acquired cash, stock, or other property provided with respect to an award. Unless this Section 6.3.1 is specifically mentioned and waived in a written agreement between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21" w:right="339" w:bottom="1440" w:gutter="0" w:footer="0" w:header="0"/>
        </w:sectPr>
      </w:pPr>
    </w:p>
    <w:bookmarkStart w:id="526" w:name="page527"/>
    <w:bookmarkEnd w:id="526"/>
    <w:p>
      <w:pPr>
        <w:jc w:val="both"/>
        <w:spacing w:after="0" w:line="257" w:lineRule="auto"/>
        <w:rPr>
          <w:sz w:val="20"/>
          <w:szCs w:val="20"/>
          <w:color w:val="auto"/>
        </w:rPr>
      </w:pPr>
      <w:r>
        <w:rPr>
          <w:rFonts w:ascii="Times New Roman" w:cs="Times New Roman" w:eastAsia="Times New Roman" w:hAnsi="Times New Roman"/>
          <w:sz w:val="22"/>
          <w:szCs w:val="22"/>
          <w:color w:val="auto"/>
        </w:rPr>
        <w:t>Participant and a member of the Company Group or other document, no recovery of compensation under a clawback policy will give the Participant the right to resign for “good reason” or “constructive termination” (or similar term) under any agreement with a member of the Company Group.</w:t>
      </w:r>
    </w:p>
    <w:p>
      <w:pPr>
        <w:spacing w:after="0" w:line="169" w:lineRule="exact"/>
        <w:rPr>
          <w:sz w:val="20"/>
          <w:szCs w:val="20"/>
          <w:color w:val="auto"/>
        </w:rPr>
      </w:pPr>
    </w:p>
    <w:p>
      <w:pPr>
        <w:jc w:val="both"/>
        <w:ind w:firstLine="1944"/>
        <w:spacing w:after="0" w:line="263" w:lineRule="auto"/>
        <w:rPr>
          <w:sz w:val="20"/>
          <w:szCs w:val="20"/>
          <w:color w:val="auto"/>
        </w:rPr>
      </w:pPr>
      <w:r>
        <w:rPr>
          <w:rFonts w:ascii="Times New Roman" w:cs="Times New Roman" w:eastAsia="Times New Roman" w:hAnsi="Times New Roman"/>
          <w:sz w:val="20"/>
          <w:szCs w:val="20"/>
          <w:color w:val="auto"/>
        </w:rPr>
        <w:t xml:space="preserve">6.3.2 </w:t>
      </w:r>
      <w:r>
        <w:rPr>
          <w:rFonts w:ascii="Times New Roman" w:cs="Times New Roman" w:eastAsia="Times New Roman" w:hAnsi="Times New Roman"/>
          <w:sz w:val="21"/>
          <w:szCs w:val="21"/>
          <w:b w:val="1"/>
          <w:bCs w:val="1"/>
          <w:color w:val="auto"/>
        </w:rPr>
        <w:t>Additional Forfeiture Terms</w:t>
      </w:r>
      <w:r>
        <w:rPr>
          <w:rFonts w:ascii="Times New Roman" w:cs="Times New Roman" w:eastAsia="Times New Roman" w:hAnsi="Times New Roman"/>
          <w:sz w:val="21"/>
          <w:szCs w:val="21"/>
          <w:color w:val="auto"/>
        </w:rPr>
        <w:t>. The Administrator may specify when providing for an award under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Plan that the Participant’s rights, payments, and benefits with respect to the award will be subject to reduction, cancellation, forfeiture, or recoupment upon the occurrence of specified events, in addition to any otherwise applicable vesting or performance conditions of the award. Such events may include, without limitation, termination of the Participant’s status as an Employee for “cause” or any act by a Participant, whether before or after the Participant’s status as an Employee terminates, that would constitute “cause.”</w:t>
      </w:r>
    </w:p>
    <w:p>
      <w:pPr>
        <w:spacing w:after="0" w:line="167"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20"/>
          <w:szCs w:val="20"/>
          <w:color w:val="auto"/>
        </w:rPr>
        <w:t xml:space="preserve">6.3.3 </w:t>
      </w:r>
      <w:r>
        <w:rPr>
          <w:rFonts w:ascii="Times New Roman" w:cs="Times New Roman" w:eastAsia="Times New Roman" w:hAnsi="Times New Roman"/>
          <w:sz w:val="21"/>
          <w:szCs w:val="21"/>
          <w:b w:val="1"/>
          <w:bCs w:val="1"/>
          <w:color w:val="auto"/>
        </w:rPr>
        <w:t>Accounting Restatements</w:t>
      </w:r>
      <w:r>
        <w:rPr>
          <w:rFonts w:ascii="Times New Roman" w:cs="Times New Roman" w:eastAsia="Times New Roman" w:hAnsi="Times New Roman"/>
          <w:sz w:val="21"/>
          <w:szCs w:val="21"/>
          <w:color w:val="auto"/>
        </w:rPr>
        <w:t>. If the Company is required to prepare an accounting restatement due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material noncompliance of the Company, as a result of misconduct, with any financial reporting requirement under the securities laws, then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will reimburse the Company Group the amount of any payment with respect to an award earned or accrued during the twelve (12) month period following the first public issuance or filing with the U.S. Securities and Exchange Commission (whichever first occurred) of the financial document embodying such financial reporting requirement.</w:t>
      </w:r>
    </w:p>
    <w:p>
      <w:pPr>
        <w:spacing w:after="0" w:line="167"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1"/>
          <w:szCs w:val="21"/>
          <w:b w:val="1"/>
          <w:bCs w:val="1"/>
          <w:color w:val="auto"/>
        </w:rPr>
        <w:t>Successors</w:t>
      </w:r>
      <w:r>
        <w:rPr>
          <w:rFonts w:ascii="Times New Roman" w:cs="Times New Roman" w:eastAsia="Times New Roman" w:hAnsi="Times New Roman"/>
          <w:sz w:val="21"/>
          <w:szCs w:val="21"/>
          <w:color w:val="auto"/>
        </w:rPr>
        <w:t>. All obligations of the Company under the Plan, with respect to awards under the Plan, will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binding on any successor to the Company, whether the existence of such successor is the result of a direct or indirect purchase, merger, consolidation, or otherwise, of all or substantially all of the business or assets of the Company.</w:t>
      </w:r>
    </w:p>
    <w:p>
      <w:pPr>
        <w:spacing w:after="0" w:line="149"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1"/>
          <w:szCs w:val="21"/>
          <w:b w:val="1"/>
          <w:bCs w:val="1"/>
          <w:color w:val="auto"/>
        </w:rPr>
        <w:t>Nontransferability of Awards</w:t>
      </w:r>
      <w:r>
        <w:rPr>
          <w:rFonts w:ascii="Times New Roman" w:cs="Times New Roman" w:eastAsia="Times New Roman" w:hAnsi="Times New Roman"/>
          <w:sz w:val="21"/>
          <w:szCs w:val="21"/>
          <w:color w:val="auto"/>
        </w:rPr>
        <w:t>. No award under the Plan may be sold, transferred, pledged, assigned,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otherwise alienated or hypothecated, other than by will or by the laws of descent and distribution, and except as provided in Section 5.3. All rights with respect to an award granted to a Participant will be available during his or her lifetime only to the Participant.</w:t>
      </w:r>
    </w:p>
    <w:p>
      <w:pPr>
        <w:spacing w:after="0" w:line="200" w:lineRule="exact"/>
        <w:rPr>
          <w:sz w:val="20"/>
          <w:szCs w:val="20"/>
          <w:color w:val="auto"/>
        </w:rPr>
      </w:pPr>
    </w:p>
    <w:p>
      <w:pPr>
        <w:spacing w:after="0" w:line="218" w:lineRule="exact"/>
        <w:rPr>
          <w:sz w:val="20"/>
          <w:szCs w:val="20"/>
          <w:color w:val="auto"/>
        </w:rPr>
      </w:pPr>
    </w:p>
    <w:p>
      <w:pPr>
        <w:ind w:left="1300" w:hanging="644"/>
        <w:spacing w:after="0"/>
        <w:tabs>
          <w:tab w:leader="none" w:pos="1300" w:val="left"/>
        </w:tabs>
        <w:numPr>
          <w:ilvl w:val="0"/>
          <w:numId w:val="46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Amendment, Termination, and Duration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1"/>
          <w:szCs w:val="21"/>
          <w:b w:val="1"/>
          <w:bCs w:val="1"/>
          <w:color w:val="auto"/>
        </w:rPr>
        <w:t>Amendment, Suspension, or Termination</w:t>
      </w:r>
      <w:r>
        <w:rPr>
          <w:rFonts w:ascii="Times New Roman" w:cs="Times New Roman" w:eastAsia="Times New Roman" w:hAnsi="Times New Roman"/>
          <w:sz w:val="21"/>
          <w:szCs w:val="21"/>
          <w:color w:val="auto"/>
        </w:rPr>
        <w:t>. The Administrator may amend or terminate the Plan, or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part thereof, at any time and for any reason. The amendment, suspension or termination of the Plan will not, without the consent of the Participant, materially alter or materially impair any rights or obligations under any Actual Award earned by such Participant. No award may be granted during any period of suspension or after termination of the Plan.</w:t>
      </w:r>
    </w:p>
    <w:p>
      <w:pPr>
        <w:spacing w:after="0" w:line="159" w:lineRule="exact"/>
        <w:rPr>
          <w:sz w:val="20"/>
          <w:szCs w:val="20"/>
          <w:color w:val="auto"/>
        </w:rPr>
      </w:pPr>
    </w:p>
    <w:p>
      <w:pPr>
        <w:jc w:val="both"/>
        <w:ind w:right="20" w:firstLine="1296"/>
        <w:spacing w:after="0" w:line="299"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1"/>
          <w:szCs w:val="21"/>
          <w:b w:val="1"/>
          <w:bCs w:val="1"/>
          <w:color w:val="auto"/>
        </w:rPr>
        <w:t>Duration of Plan</w:t>
      </w:r>
      <w:r>
        <w:rPr>
          <w:rFonts w:ascii="Times New Roman" w:cs="Times New Roman" w:eastAsia="Times New Roman" w:hAnsi="Times New Roman"/>
          <w:sz w:val="21"/>
          <w:szCs w:val="21"/>
          <w:color w:val="auto"/>
        </w:rPr>
        <w:t>. The Plan will commence on the date first adopted by the Board or the 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Committee of the Board, and subject to Section 7.1 (regarding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21" w:right="339"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22"/>
          <w:szCs w:val="22"/>
          <w:color w:val="auto"/>
        </w:rPr>
        <w:t>the Administrator’s right to amend or terminate the Plan), will remain in effect thereafter until terminated.</w:t>
      </w:r>
    </w:p>
    <w:p>
      <w:pPr>
        <w:spacing w:after="0" w:line="216" w:lineRule="exact"/>
        <w:rPr>
          <w:sz w:val="20"/>
          <w:szCs w:val="20"/>
          <w:color w:val="auto"/>
        </w:rPr>
      </w:pPr>
    </w:p>
    <w:p>
      <w:pPr>
        <w:ind w:left="1300" w:hanging="644"/>
        <w:spacing w:after="0"/>
        <w:tabs>
          <w:tab w:leader="none" w:pos="1300" w:val="left"/>
        </w:tabs>
        <w:numPr>
          <w:ilvl w:val="0"/>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Legal Construction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1"/>
          <w:szCs w:val="21"/>
          <w:b w:val="1"/>
          <w:bCs w:val="1"/>
          <w:color w:val="auto"/>
        </w:rPr>
        <w:t>Gender and Number</w:t>
      </w:r>
      <w:r>
        <w:rPr>
          <w:rFonts w:ascii="Times New Roman" w:cs="Times New Roman" w:eastAsia="Times New Roman" w:hAnsi="Times New Roman"/>
          <w:sz w:val="21"/>
          <w:szCs w:val="21"/>
          <w:color w:val="auto"/>
        </w:rPr>
        <w:t>. Unless otherwise indicated by the context, any feminine term used herein also will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include the masculine and any masculine term used herein also will include the feminine; the plural will include the singular and the singular will include the plural.</w:t>
      </w:r>
    </w:p>
    <w:p>
      <w:pPr>
        <w:spacing w:after="0" w:line="14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If any provision of the Plan is or becomes or is deemed to be invalid, illegal,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unenforceable for any reason in any jurisdiction or as to any Participant, such invalidity, illegality, or unenforceability will not affect the remaining parts of the Plan, and the Plan will be construed and enforced as if the invalid, illegal, or unenforceable provision had not been included.</w:t>
      </w:r>
    </w:p>
    <w:p>
      <w:pPr>
        <w:spacing w:after="0" w:line="15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 The Plan and all awards will be construed in accordance with and governed by the laws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State of California, but without regard to its conflict of law provisions. For purposes of litigating any dispute that arises under this Plan, a Participant’s acceptance of an award is his or her consent to the jurisdiction of the State of California, and agreement that any such litigation will be conducted in San Mateo County, California, or the federal courts for the United States for the Northern District of California, and no other courts, regardless of where a Participant’s services are performed.</w:t>
      </w:r>
    </w:p>
    <w:p>
      <w:pPr>
        <w:spacing w:after="0" w:line="160"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1"/>
          <w:szCs w:val="21"/>
          <w:b w:val="1"/>
          <w:bCs w:val="1"/>
          <w:color w:val="auto"/>
        </w:rPr>
        <w:t>Bonus Plan</w:t>
      </w:r>
      <w:r>
        <w:rPr>
          <w:rFonts w:ascii="Times New Roman" w:cs="Times New Roman" w:eastAsia="Times New Roman" w:hAnsi="Times New Roman"/>
          <w:sz w:val="21"/>
          <w:szCs w:val="21"/>
          <w:color w:val="auto"/>
        </w:rPr>
        <w:t>. The Plan is intended to be a “bonus program” as defined under U.S. Department of Labor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regulations section 2510.3-2(c) and will be construed and administered in accordance with such intention.</w:t>
      </w:r>
    </w:p>
    <w:p>
      <w:pPr>
        <w:spacing w:after="0" w:line="127"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1"/>
          <w:szCs w:val="21"/>
          <w:b w:val="1"/>
          <w:bCs w:val="1"/>
          <w:color w:val="auto"/>
        </w:rPr>
        <w:t>Headings</w:t>
      </w:r>
      <w:r>
        <w:rPr>
          <w:rFonts w:ascii="Times New Roman" w:cs="Times New Roman" w:eastAsia="Times New Roman" w:hAnsi="Times New Roman"/>
          <w:sz w:val="21"/>
          <w:szCs w:val="21"/>
          <w:color w:val="auto"/>
        </w:rPr>
        <w:t>. Headings are provided herein for convenience only, and will not serve as a basis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interpretation or construction of the Plan.</w:t>
      </w:r>
    </w:p>
    <w:p>
      <w:pPr>
        <w:spacing w:after="0" w:line="127" w:lineRule="exact"/>
        <w:rPr>
          <w:sz w:val="20"/>
          <w:szCs w:val="20"/>
          <w:color w:val="auto"/>
        </w:rPr>
      </w:pPr>
    </w:p>
    <w:p>
      <w:pPr>
        <w:jc w:val="both"/>
        <w:ind w:firstLine="656"/>
        <w:spacing w:after="0" w:line="259" w:lineRule="auto"/>
        <w:tabs>
          <w:tab w:leader="none" w:pos="1296" w:val="left"/>
        </w:tabs>
        <w:numPr>
          <w:ilvl w:val="0"/>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Compliance with Applicable Laws</w:t>
      </w:r>
      <w:r>
        <w:rPr>
          <w:rFonts w:ascii="Times New Roman" w:cs="Times New Roman" w:eastAsia="Times New Roman" w:hAnsi="Times New Roman"/>
          <w:sz w:val="22"/>
          <w:szCs w:val="22"/>
          <w:color w:val="auto"/>
        </w:rPr>
        <w:t>. Awards under the Plan (including without limitation the granting of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awards) will be subject to all applicable laws, rules and regulations, and to such approvals by any governmental agencies or national securities exchanges as may be required.</w:t>
      </w:r>
    </w:p>
    <w:p>
      <w:pPr>
        <w:spacing w:after="0" w:line="170" w:lineRule="exact"/>
        <w:rPr>
          <w:rFonts w:ascii="Times New Roman" w:cs="Times New Roman" w:eastAsia="Times New Roman" w:hAnsi="Times New Roman"/>
          <w:sz w:val="20"/>
          <w:szCs w:val="20"/>
          <w:color w:val="auto"/>
        </w:rPr>
      </w:pPr>
    </w:p>
    <w:p>
      <w:pPr>
        <w:ind w:left="49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21" w:right="339" w:bottom="1440" w:gutter="0" w:footer="0" w:header="0"/>
        </w:sectPr>
      </w:pPr>
    </w:p>
    <w:bookmarkStart w:id="528" w:name="page529"/>
    <w:bookmarkEnd w:id="528"/>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OUTSIDE DIRECTOR COMPENSATION POLICY</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Seer,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believes that the granting of equity and cash compensation to members of the Company’s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and members of the Board, “</w:t>
      </w:r>
      <w:r>
        <w:rPr>
          <w:rFonts w:ascii="Times New Roman" w:cs="Times New Roman" w:eastAsia="Times New Roman" w:hAnsi="Times New Roman"/>
          <w:sz w:val="21"/>
          <w:szCs w:val="21"/>
          <w:b w:val="1"/>
          <w:bCs w:val="1"/>
          <w:color w:val="auto"/>
        </w:rPr>
        <w:t>Directors</w:t>
      </w:r>
      <w:r>
        <w:rPr>
          <w:rFonts w:ascii="Times New Roman" w:cs="Times New Roman" w:eastAsia="Times New Roman" w:hAnsi="Times New Roman"/>
          <w:sz w:val="21"/>
          <w:szCs w:val="21"/>
          <w:color w:val="auto"/>
        </w:rPr>
        <w:t>”) represents an effective tool to attract, retain and reward Directors who are not employees of the Company (“</w:t>
      </w:r>
      <w:r>
        <w:rPr>
          <w:rFonts w:ascii="Times New Roman" w:cs="Times New Roman" w:eastAsia="Times New Roman" w:hAnsi="Times New Roman"/>
          <w:sz w:val="21"/>
          <w:szCs w:val="21"/>
          <w:b w:val="1"/>
          <w:bCs w:val="1"/>
          <w:color w:val="auto"/>
        </w:rPr>
        <w:t>Outside Directors</w:t>
      </w:r>
      <w:r>
        <w:rPr>
          <w:rFonts w:ascii="Times New Roman" w:cs="Times New Roman" w:eastAsia="Times New Roman" w:hAnsi="Times New Roman"/>
          <w:sz w:val="21"/>
          <w:szCs w:val="21"/>
          <w:color w:val="auto"/>
        </w:rPr>
        <w:t>”). This Outside Director Compensation Policy (the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is intended to formalize the Company’s policy regarding cash compensation and grants of equity awards to its Outside Directors. Unless otherwise defined herein, capitalized terms used in this Policy will have the meaning given such term in the Company’s 2020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Each Outside Director will be solely responsible for any tax obligations incurred by such Outside Director as a result of the equity awards and cash and other compensation such Outside Director receives under this Policy.</w:t>
      </w:r>
    </w:p>
    <w:p>
      <w:pPr>
        <w:spacing w:after="0" w:line="170" w:lineRule="exact"/>
        <w:rPr>
          <w:sz w:val="20"/>
          <w:szCs w:val="20"/>
          <w:color w:val="auto"/>
        </w:rPr>
      </w:pPr>
    </w:p>
    <w:p>
      <w:pPr>
        <w:jc w:val="both"/>
        <w:ind w:firstLine="656"/>
        <w:spacing w:after="0" w:line="253" w:lineRule="auto"/>
        <w:tabs>
          <w:tab w:leader="none" w:pos="1296"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This Policy will be effective as of the day immediately prior to the effective date of the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statement that is filed by the Company and declared effective pursuant to Section 12(b) of the U.S. Securities Exchange Act of 1934, as amended, with respect to any class of the Company’s securities (the effective date of such registration statement, the “</w:t>
      </w:r>
      <w:r>
        <w:rPr>
          <w:rFonts w:ascii="Times New Roman" w:cs="Times New Roman" w:eastAsia="Times New Roman" w:hAnsi="Times New Roman"/>
          <w:sz w:val="22"/>
          <w:szCs w:val="22"/>
          <w:b w:val="1"/>
          <w:bCs w:val="1"/>
          <w:color w:val="auto"/>
        </w:rPr>
        <w:t>Registration Date</w:t>
      </w:r>
      <w:r>
        <w:rPr>
          <w:rFonts w:ascii="Times New Roman" w:cs="Times New Roman" w:eastAsia="Times New Roman" w:hAnsi="Times New Roman"/>
          <w:sz w:val="22"/>
          <w:szCs w:val="22"/>
          <w:color w:val="auto"/>
        </w:rPr>
        <w:t>,” and the effective date of this Policy,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 Compensation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color w:val="auto"/>
        </w:rPr>
        <w:t>Board Member Annual Cash Retainer</w:t>
      </w:r>
      <w:r>
        <w:rPr>
          <w:rFonts w:ascii="Times New Roman" w:cs="Times New Roman" w:eastAsia="Times New Roman" w:hAnsi="Times New Roman"/>
          <w:sz w:val="22"/>
          <w:szCs w:val="22"/>
          <w:color w:val="auto"/>
        </w:rPr>
        <w:t>. Following the Effective Date, each Outside Director will be paid an annual cash retainer of $40,000. There are no per-meeting attendance fees for attending Board meetings or meetings of any committee of the Board.</w:t>
      </w:r>
    </w:p>
    <w:p>
      <w:pPr>
        <w:spacing w:after="0" w:line="16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color w:val="auto"/>
        </w:rPr>
        <w:t>Additional Annual Cash Retainers</w:t>
      </w:r>
      <w:r>
        <w:rPr>
          <w:rFonts w:ascii="Times New Roman" w:cs="Times New Roman" w:eastAsia="Times New Roman" w:hAnsi="Times New Roman"/>
          <w:sz w:val="22"/>
          <w:szCs w:val="22"/>
          <w:color w:val="auto"/>
        </w:rPr>
        <w:t>. Following the Effective Date, each Outside Director who serves as the Lead Independent Director, or the chair or a member of a committee of the Board, will be eligible to earn additional annual fees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Lead Independent Director:</w:t>
            </w:r>
          </w:p>
        </w:tc>
        <w:tc>
          <w:tcPr>
            <w:tcW w:w="390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22"/>
                <w:szCs w:val="22"/>
                <w:color w:val="auto"/>
              </w:rPr>
              <w:t>$20,000</w:t>
            </w:r>
          </w:p>
        </w:tc>
      </w:tr>
      <w:tr>
        <w:trPr>
          <w:trHeight w:val="303"/>
        </w:trPr>
        <w:tc>
          <w:tcPr>
            <w:tcW w:w="7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Audit Committee Chair:</w:t>
            </w:r>
          </w:p>
        </w:tc>
        <w:tc>
          <w:tcPr>
            <w:tcW w:w="390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$20,000</w:t>
            </w:r>
          </w:p>
        </w:tc>
      </w:tr>
      <w:tr>
        <w:trPr>
          <w:trHeight w:val="31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Audit Committee Member:</w:t>
            </w:r>
          </w:p>
        </w:tc>
        <w:tc>
          <w:tcPr>
            <w:tcW w:w="390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22"/>
                <w:szCs w:val="22"/>
                <w:color w:val="auto"/>
              </w:rPr>
              <w:t>$10,000</w:t>
            </w:r>
          </w:p>
        </w:tc>
      </w:tr>
      <w:tr>
        <w:trPr>
          <w:trHeight w:val="303"/>
        </w:trPr>
        <w:tc>
          <w:tcPr>
            <w:tcW w:w="7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 Committee Chair:</w:t>
            </w:r>
          </w:p>
        </w:tc>
        <w:tc>
          <w:tcPr>
            <w:tcW w:w="390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$12,000</w:t>
            </w:r>
          </w:p>
        </w:tc>
      </w:tr>
      <w:tr>
        <w:trPr>
          <w:trHeight w:val="31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Compensation Committee Member:</w:t>
            </w:r>
          </w:p>
        </w:tc>
        <w:tc>
          <w:tcPr>
            <w:tcW w:w="390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22"/>
                <w:szCs w:val="22"/>
                <w:color w:val="auto"/>
              </w:rPr>
              <w:t>$6,000</w:t>
            </w:r>
          </w:p>
        </w:tc>
      </w:tr>
      <w:tr>
        <w:trPr>
          <w:trHeight w:val="303"/>
        </w:trPr>
        <w:tc>
          <w:tcPr>
            <w:tcW w:w="7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Corporate Governance and Nominating Committee Chair:</w:t>
            </w:r>
          </w:p>
        </w:tc>
        <w:tc>
          <w:tcPr>
            <w:tcW w:w="390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$10,000</w:t>
            </w:r>
          </w:p>
        </w:tc>
      </w:tr>
      <w:tr>
        <w:trPr>
          <w:trHeight w:val="31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Corporate Governance and Nominating Committee Member:</w:t>
            </w:r>
          </w:p>
        </w:tc>
        <w:tc>
          <w:tcPr>
            <w:tcW w:w="390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22"/>
                <w:szCs w:val="22"/>
                <w:color w:val="auto"/>
              </w:rPr>
              <w:t>$5,000</w:t>
            </w:r>
          </w:p>
        </w:tc>
      </w:tr>
    </w:tbl>
    <w:p>
      <w:pPr>
        <w:spacing w:after="0" w:line="20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For clarity, each Outside Director who serves as the chair of a committee will receive only the additional annual fee as the chair of the committee and not the additional annual fee as a member of such committee while serving as such chair, provided, that the Outside</w:t>
      </w:r>
    </w:p>
    <w:p>
      <w:pPr>
        <w:sectPr>
          <w:pgSz w:w="11900" w:h="16838" w:orient="portrait"/>
          <w:cols w:equalWidth="0" w:num="1">
            <w:col w:w="11240"/>
          </w:cols>
          <w:pgMar w:left="320" w:top="117" w:right="339" w:bottom="1440" w:gutter="0" w:footer="0" w:header="0"/>
        </w:sectPr>
      </w:pPr>
    </w:p>
    <w:bookmarkStart w:id="529" w:name="page530"/>
    <w:bookmarkEnd w:id="529"/>
    <w:p>
      <w:pPr>
        <w:jc w:val="both"/>
        <w:spacing w:after="0" w:line="271" w:lineRule="auto"/>
        <w:rPr>
          <w:sz w:val="20"/>
          <w:szCs w:val="20"/>
          <w:color w:val="auto"/>
        </w:rPr>
      </w:pPr>
      <w:r>
        <w:rPr>
          <w:rFonts w:ascii="Times New Roman" w:cs="Times New Roman" w:eastAsia="Times New Roman" w:hAnsi="Times New Roman"/>
          <w:sz w:val="22"/>
          <w:szCs w:val="22"/>
          <w:color w:val="auto"/>
        </w:rPr>
        <w:t>Director who serves as the Lead Independent Director will receive the annual fee for services provided in such role as well as the annual fee as an Outside Director.</w:t>
      </w:r>
    </w:p>
    <w:p>
      <w:pPr>
        <w:spacing w:after="0" w:line="154"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b w:val="1"/>
          <w:bCs w:val="1"/>
          <w:color w:val="auto"/>
        </w:rPr>
        <w:t>Payment Timing and Proration</w:t>
      </w:r>
      <w:r>
        <w:rPr>
          <w:rFonts w:ascii="Times New Roman" w:cs="Times New Roman" w:eastAsia="Times New Roman" w:hAnsi="Times New Roman"/>
          <w:sz w:val="22"/>
          <w:szCs w:val="22"/>
          <w:color w:val="auto"/>
        </w:rPr>
        <w:t>. Each annual cash retainer under this Policy will be paid quarterly in arrears on a prorated basis to each Outside Director who has served in the relevant capacity at any time during the immediately preceding fiscal quarter of the Company (“</w:t>
      </w:r>
      <w:r>
        <w:rPr>
          <w:rFonts w:ascii="Times New Roman" w:cs="Times New Roman" w:eastAsia="Times New Roman" w:hAnsi="Times New Roman"/>
          <w:sz w:val="22"/>
          <w:szCs w:val="22"/>
          <w:b w:val="1"/>
          <w:bCs w:val="1"/>
          <w:color w:val="auto"/>
        </w:rPr>
        <w:t>Fiscal Quarter</w:t>
      </w:r>
      <w:r>
        <w:rPr>
          <w:rFonts w:ascii="Times New Roman" w:cs="Times New Roman" w:eastAsia="Times New Roman" w:hAnsi="Times New Roman"/>
          <w:sz w:val="22"/>
          <w:szCs w:val="22"/>
          <w:color w:val="auto"/>
        </w:rPr>
        <w:t>”), and such payment will be made no later than thirty (30) days following the end of such immediately preceding Fiscal Quarter. For clarity, an Outside Director who has served as an Outside Director, as a member of an applicable committee (or chair thereof), or as Lead Independent Director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For clarity, an Outside Director who has served as an Outside Director, as a member of an applicable committee (or chair thereof), or as Lead Independent Director from the Effective Date through the end of the Fiscal Quarter containing the Effective Date (the “</w:t>
      </w:r>
      <w:r>
        <w:rPr>
          <w:rFonts w:ascii="Times New Roman" w:cs="Times New Roman" w:eastAsia="Times New Roman" w:hAnsi="Times New Roman"/>
          <w:sz w:val="22"/>
          <w:szCs w:val="22"/>
          <w:b w:val="1"/>
          <w:bCs w:val="1"/>
          <w:color w:val="auto"/>
        </w:rPr>
        <w:t>Initial Period</w:t>
      </w:r>
      <w:r>
        <w:rPr>
          <w:rFonts w:ascii="Times New Roman" w:cs="Times New Roman" w:eastAsia="Times New Roman" w:hAnsi="Times New Roman"/>
          <w:sz w:val="22"/>
          <w:szCs w:val="22"/>
          <w:color w:val="auto"/>
        </w:rPr>
        <w:t>”), as applicable, will receive a prorated payment of the quarterly installment of the applicable annual cash retainer(s), calculated based on the number of days during the Initial Period that such Outside Director has served in the relevant capacities.</w:t>
      </w:r>
    </w:p>
    <w:p>
      <w:pPr>
        <w:spacing w:after="0" w:line="182" w:lineRule="exact"/>
        <w:rPr>
          <w:sz w:val="20"/>
          <w:szCs w:val="20"/>
          <w:color w:val="auto"/>
        </w:rPr>
      </w:pPr>
    </w:p>
    <w:p>
      <w:pPr>
        <w:jc w:val="both"/>
        <w:ind w:firstLine="656"/>
        <w:spacing w:after="0" w:line="253" w:lineRule="auto"/>
        <w:tabs>
          <w:tab w:leader="none" w:pos="1296"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Compensation</w:t>
      </w:r>
      <w:r>
        <w:rPr>
          <w:rFonts w:ascii="Times New Roman" w:cs="Times New Roman" w:eastAsia="Times New Roman" w:hAnsi="Times New Roman"/>
          <w:sz w:val="22"/>
          <w:szCs w:val="22"/>
          <w:color w:val="auto"/>
        </w:rPr>
        <w:t>. Outside Directors will be eligible to receive all types of Awards (except Incentive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 under the Plan, including discretionary Awards not covered under this Policy. All grants of Awards to Outside Directors pursuant to Sections 3.2, 3.3, and 3.4 of this Policy will be automatic and nondiscretionary, except as otherwise provided herein, and will be made in accordance with the following provisions:</w:t>
      </w:r>
    </w:p>
    <w:p>
      <w:pPr>
        <w:spacing w:after="0" w:line="17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No Discretion</w:t>
      </w:r>
      <w:r>
        <w:rPr>
          <w:rFonts w:ascii="Times New Roman" w:cs="Times New Roman" w:eastAsia="Times New Roman" w:hAnsi="Times New Roman"/>
          <w:sz w:val="22"/>
          <w:szCs w:val="22"/>
          <w:color w:val="auto"/>
        </w:rPr>
        <w:t>. No person will have any discretion to select which Outside Directors will be granted Awards under this Policy or to determine the number of Shares to be covered by such Awards (except as provided in Sections 3.5.4 and 10 below).</w:t>
      </w:r>
    </w:p>
    <w:p>
      <w:pPr>
        <w:spacing w:after="0" w:line="16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Initial Awards</w:t>
      </w:r>
      <w:r>
        <w:rPr>
          <w:rFonts w:ascii="Times New Roman" w:cs="Times New Roman" w:eastAsia="Times New Roman" w:hAnsi="Times New Roman"/>
          <w:sz w:val="22"/>
          <w:szCs w:val="22"/>
          <w:color w:val="auto"/>
        </w:rPr>
        <w:t>. Each individual who first becomes an Outside Director following the Effective Date automatically will be granted an award of Options (an “</w:t>
      </w:r>
      <w:r>
        <w:rPr>
          <w:rFonts w:ascii="Times New Roman" w:cs="Times New Roman" w:eastAsia="Times New Roman" w:hAnsi="Times New Roman"/>
          <w:sz w:val="22"/>
          <w:szCs w:val="22"/>
          <w:b w:val="1"/>
          <w:bCs w:val="1"/>
          <w:color w:val="auto"/>
        </w:rPr>
        <w:t>Initial Award</w:t>
      </w:r>
      <w:r>
        <w:rPr>
          <w:rFonts w:ascii="Times New Roman" w:cs="Times New Roman" w:eastAsia="Times New Roman" w:hAnsi="Times New Roman"/>
          <w:sz w:val="22"/>
          <w:szCs w:val="22"/>
          <w:color w:val="auto"/>
        </w:rPr>
        <w:t>”) to purchase 37,383 Shares. The grant date of the Initial Award will be the first Trading Day on or after the date on which such individual first becomes an Outside Director (such first date as an Outside Director, the “</w:t>
      </w:r>
      <w:r>
        <w:rPr>
          <w:rFonts w:ascii="Times New Roman" w:cs="Times New Roman" w:eastAsia="Times New Roman" w:hAnsi="Times New Roman"/>
          <w:sz w:val="22"/>
          <w:szCs w:val="22"/>
          <w:b w:val="1"/>
          <w:bCs w:val="1"/>
          <w:color w:val="auto"/>
        </w:rPr>
        <w:t>Initial Start Date</w:t>
      </w:r>
      <w:r>
        <w:rPr>
          <w:rFonts w:ascii="Times New Roman" w:cs="Times New Roman" w:eastAsia="Times New Roman" w:hAnsi="Times New Roman"/>
          <w:sz w:val="22"/>
          <w:szCs w:val="22"/>
          <w:color w:val="auto"/>
        </w:rPr>
        <w:t>”), whether through election by the stockholders of the Company or appointment by the Board to fill a vacancy. If an individual was an Inside Director, becoming an Outside Director due to termination of the individual’s status as an Employee will not entitle the Outside Director to an Initial Award. Each Initial Award will be scheduled to vest as to one thirty-sixth (1/36th) of the Shares subject to the Initial Award on a monthly basis following the Initial Award’s grant date on the same day of the month as such grant date (or on the last day of the month, if there is no corresponding day in such month), subject to the Outside Director remaining a Service Provider through the applicable vesting date.</w:t>
      </w:r>
    </w:p>
    <w:p>
      <w:pPr>
        <w:spacing w:after="0" w:line="18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color w:val="auto"/>
        </w:rPr>
        <w:t>Annual Award</w:t>
      </w:r>
      <w:r>
        <w:rPr>
          <w:rFonts w:ascii="Times New Roman" w:cs="Times New Roman" w:eastAsia="Times New Roman" w:hAnsi="Times New Roman"/>
          <w:sz w:val="22"/>
          <w:szCs w:val="22"/>
          <w:color w:val="auto"/>
        </w:rPr>
        <w:t>. On the first Trading Day immediately following each Annual Meeting of the Company’s stockholders (an “</w:t>
      </w:r>
      <w:r>
        <w:rPr>
          <w:rFonts w:ascii="Times New Roman" w:cs="Times New Roman" w:eastAsia="Times New Roman" w:hAnsi="Times New Roman"/>
          <w:sz w:val="22"/>
          <w:szCs w:val="22"/>
          <w:b w:val="1"/>
          <w:bCs w:val="1"/>
          <w:color w:val="auto"/>
        </w:rPr>
        <w:t>Annual Meeting</w:t>
      </w:r>
      <w:r>
        <w:rPr>
          <w:rFonts w:ascii="Times New Roman" w:cs="Times New Roman" w:eastAsia="Times New Roman" w:hAnsi="Times New Roman"/>
          <w:sz w:val="22"/>
          <w:szCs w:val="22"/>
          <w:color w:val="auto"/>
        </w:rPr>
        <w:t>”) that occurs after the Effective Date, each Outside Director automatically will be granted an award of Options to purchase 18,691 Shares (the “</w:t>
      </w:r>
      <w:r>
        <w:rPr>
          <w:rFonts w:ascii="Times New Roman" w:cs="Times New Roman" w:eastAsia="Times New Roman" w:hAnsi="Times New Roman"/>
          <w:sz w:val="22"/>
          <w:szCs w:val="22"/>
          <w:b w:val="1"/>
          <w:bCs w:val="1"/>
          <w:color w:val="auto"/>
        </w:rPr>
        <w:t>Annual Award</w:t>
      </w:r>
      <w:r>
        <w:rPr>
          <w:rFonts w:ascii="Times New Roman" w:cs="Times New Roman" w:eastAsia="Times New Roman" w:hAnsi="Times New Roman"/>
          <w:sz w:val="22"/>
          <w:szCs w:val="22"/>
          <w:color w:val="auto"/>
        </w:rPr>
        <w:t>”); provided, however, that if an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240"/>
          </w:cols>
          <w:pgMar w:left="320" w:top="1421" w:right="339" w:bottom="1440" w:gutter="0" w:footer="0" w:header="0"/>
        </w:sectPr>
      </w:pPr>
    </w:p>
    <w:bookmarkStart w:id="530" w:name="page531"/>
    <w:bookmarkEnd w:id="530"/>
    <w:p>
      <w:pPr>
        <w:jc w:val="both"/>
        <w:spacing w:after="0" w:line="246" w:lineRule="auto"/>
        <w:rPr>
          <w:sz w:val="20"/>
          <w:szCs w:val="20"/>
          <w:color w:val="auto"/>
        </w:rPr>
      </w:pPr>
      <w:r>
        <w:rPr>
          <w:rFonts w:ascii="Times New Roman" w:cs="Times New Roman" w:eastAsia="Times New Roman" w:hAnsi="Times New Roman"/>
          <w:sz w:val="22"/>
          <w:szCs w:val="22"/>
          <w:color w:val="auto"/>
        </w:rPr>
        <w:t>commenced service as an Outside Director after the date of the Annual Meeting that occurred immediately prior to such Annual Meeting (or if there is no such prior Annual Meeting, then after the Registration Date), then the Annual Award granted to such Outside Director will be prorated based on the number of whole months that the individual served as an Outside Director prior to the Annual Award’s grant date during the twelve (12) month period immediately preceding such Annual Meeting (or such Registration Date, as applicable) (with any resulting fractional Share rounded down to the nearest whole Share). The Annual Award will be scheduled to vest as to all of the Shares subject to the Annual Award on the earlier of (i) the one (1) year anniversary of the date the Annual Award is granted or (ii) the day immediately before the date of the next Annual Meeting that occurs after the Annual Award’s grant date, subject to the Outside Director remaining a Service Provider through the applicable vesting date.</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b w:val="1"/>
          <w:bCs w:val="1"/>
          <w:color w:val="auto"/>
        </w:rPr>
        <w:t>IPO Award</w:t>
      </w:r>
      <w:r>
        <w:rPr>
          <w:rFonts w:ascii="Times New Roman" w:cs="Times New Roman" w:eastAsia="Times New Roman" w:hAnsi="Times New Roman"/>
          <w:sz w:val="21"/>
          <w:szCs w:val="21"/>
          <w:color w:val="auto"/>
        </w:rPr>
        <w:t>. Effective as of the Registration Date, each Outside Director who previously was granted any stock options covering shares of the Company’s common stock prior to the Registration Date will be granted an award of Options to purchase 18,691 Shares (the “</w:t>
      </w:r>
      <w:r>
        <w:rPr>
          <w:rFonts w:ascii="Times New Roman" w:cs="Times New Roman" w:eastAsia="Times New Roman" w:hAnsi="Times New Roman"/>
          <w:sz w:val="21"/>
          <w:szCs w:val="21"/>
          <w:b w:val="1"/>
          <w:bCs w:val="1"/>
          <w:color w:val="auto"/>
        </w:rPr>
        <w:t>Continuing Director IPO Award</w:t>
      </w:r>
      <w:r>
        <w:rPr>
          <w:rFonts w:ascii="Times New Roman" w:cs="Times New Roman" w:eastAsia="Times New Roman" w:hAnsi="Times New Roman"/>
          <w:sz w:val="21"/>
          <w:szCs w:val="21"/>
          <w:color w:val="auto"/>
        </w:rPr>
        <w:t>”) and each Outside Director who previously was not granted any stock options covering shares of the Company’s common stock prior to the Registration Date will be granted an award of Options to purchase 37,383 Shares (the “</w:t>
      </w:r>
      <w:r>
        <w:rPr>
          <w:rFonts w:ascii="Times New Roman" w:cs="Times New Roman" w:eastAsia="Times New Roman" w:hAnsi="Times New Roman"/>
          <w:sz w:val="21"/>
          <w:szCs w:val="21"/>
          <w:b w:val="1"/>
          <w:bCs w:val="1"/>
          <w:color w:val="auto"/>
        </w:rPr>
        <w:t>New Director IPO Award</w:t>
      </w:r>
      <w:r>
        <w:rPr>
          <w:rFonts w:ascii="Times New Roman" w:cs="Times New Roman" w:eastAsia="Times New Roman" w:hAnsi="Times New Roman"/>
          <w:sz w:val="21"/>
          <w:szCs w:val="21"/>
          <w:color w:val="auto"/>
        </w:rPr>
        <w:t>,” together with the Continuing Director IPO Award, the “</w:t>
      </w:r>
      <w:r>
        <w:rPr>
          <w:rFonts w:ascii="Times New Roman" w:cs="Times New Roman" w:eastAsia="Times New Roman" w:hAnsi="Times New Roman"/>
          <w:sz w:val="21"/>
          <w:szCs w:val="21"/>
          <w:b w:val="1"/>
          <w:bCs w:val="1"/>
          <w:color w:val="auto"/>
        </w:rPr>
        <w:t>IPO Awards</w:t>
      </w:r>
      <w:r>
        <w:rPr>
          <w:rFonts w:ascii="Times New Roman" w:cs="Times New Roman" w:eastAsia="Times New Roman" w:hAnsi="Times New Roman"/>
          <w:sz w:val="21"/>
          <w:szCs w:val="21"/>
          <w:color w:val="auto"/>
        </w:rPr>
        <w:t>”). Each New Director IPO Award will be scheduled to vest as to one thirty-sixth (1/36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of the Shares subject to the IPO Award on a monthly basis following the Vesting Commencement Date on the same day of the month as the Vesting Commencement Date (or the last day of the month, if there is no corresponding day in a given month) over a period of three (3) years from the Vesting Commencement Date, so that all of the Shares subject to the IPO Award will be scheduled to be vested by three-year anniversary of the Vesting Commencement Date, subject to the Outside Director remaining a Service Provider through the applicable vesting date. The Vesting Commencement Date of any New Director IPO Award granted to an Outside Director will be the Registration Date. Each Continuing Director IPO Award will be scheduled to vest as to all of the Shares subject to the Continuing Director IPO Award on the earlier of (i) the one (1) year anniversary of the date the Continuing Director IPO Award is granted or (ii) the day immediately before the date of the next Annual Meeting that occurs after the Registration Date, subject to the Outside Director remaining a Service Provider through the applicable vesting date.</w:t>
      </w:r>
    </w:p>
    <w:p>
      <w:pPr>
        <w:spacing w:after="0" w:line="18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b w:val="1"/>
          <w:bCs w:val="1"/>
          <w:color w:val="auto"/>
        </w:rPr>
        <w:t>Additional Terms of Initial Awards, Annual Awards and IPO Awards</w:t>
      </w:r>
      <w:r>
        <w:rPr>
          <w:rFonts w:ascii="Times New Roman" w:cs="Times New Roman" w:eastAsia="Times New Roman" w:hAnsi="Times New Roman"/>
          <w:sz w:val="22"/>
          <w:szCs w:val="22"/>
          <w:color w:val="auto"/>
        </w:rPr>
        <w:t>. The terms and conditions of each Initial Award, Annual Award and IPO Award (each, a “</w:t>
      </w:r>
      <w:r>
        <w:rPr>
          <w:rFonts w:ascii="Times New Roman" w:cs="Times New Roman" w:eastAsia="Times New Roman" w:hAnsi="Times New Roman"/>
          <w:sz w:val="22"/>
          <w:szCs w:val="22"/>
          <w:b w:val="1"/>
          <w:bCs w:val="1"/>
          <w:color w:val="auto"/>
        </w:rPr>
        <w:t>Policy Award</w:t>
      </w:r>
      <w:r>
        <w:rPr>
          <w:rFonts w:ascii="Times New Roman" w:cs="Times New Roman" w:eastAsia="Times New Roman" w:hAnsi="Times New Roman"/>
          <w:sz w:val="22"/>
          <w:szCs w:val="22"/>
          <w:color w:val="auto"/>
        </w:rPr>
        <w:t>”) will be as follows.</w:t>
      </w:r>
    </w:p>
    <w:p>
      <w:pPr>
        <w:spacing w:after="0" w:line="153"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22"/>
          <w:szCs w:val="22"/>
          <w:color w:val="auto"/>
        </w:rPr>
        <w:t>3.5.1</w:t>
        <w:tab/>
        <w:t>The term of each Policy Award will be ten (10) years, subject to earlier termination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provided in the Plan.</w:t>
      </w:r>
    </w:p>
    <w:p>
      <w:pPr>
        <w:spacing w:after="0" w:line="196" w:lineRule="exact"/>
        <w:rPr>
          <w:sz w:val="20"/>
          <w:szCs w:val="20"/>
          <w:color w:val="auto"/>
        </w:rPr>
      </w:pPr>
    </w:p>
    <w:p>
      <w:pPr>
        <w:jc w:val="both"/>
        <w:ind w:firstLine="2592"/>
        <w:spacing w:after="0" w:line="275" w:lineRule="auto"/>
        <w:rPr>
          <w:sz w:val="20"/>
          <w:szCs w:val="20"/>
          <w:color w:val="auto"/>
        </w:rPr>
      </w:pPr>
      <w:r>
        <w:rPr>
          <w:rFonts w:ascii="Times New Roman" w:cs="Times New Roman" w:eastAsia="Times New Roman" w:hAnsi="Times New Roman"/>
          <w:sz w:val="21"/>
          <w:szCs w:val="21"/>
          <w:color w:val="auto"/>
        </w:rPr>
        <w:t>3.5.2 The per Share exercise price of each Policy Award will be equal to one hundred percent (100%) of the Fair Market Value per Share on such Policy Award’s grant date. For purposes of clarity, the per Share exercise price of an IPO Award will be equal to the initial Share price to the public as set forth in the final prospectus included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240"/>
          </w:cols>
          <w:pgMar w:left="320" w:top="1421" w:right="339" w:bottom="1440" w:gutter="0" w:footer="0" w:header="0"/>
        </w:sectPr>
      </w:pPr>
    </w:p>
    <w:bookmarkStart w:id="531" w:name="page532"/>
    <w:bookmarkEnd w:id="531"/>
    <w:p>
      <w:pPr>
        <w:ind w:right="20"/>
        <w:spacing w:after="0" w:line="271" w:lineRule="auto"/>
        <w:rPr>
          <w:sz w:val="20"/>
          <w:szCs w:val="20"/>
          <w:color w:val="auto"/>
        </w:rPr>
      </w:pPr>
      <w:r>
        <w:rPr>
          <w:rFonts w:ascii="Times New Roman" w:cs="Times New Roman" w:eastAsia="Times New Roman" w:hAnsi="Times New Roman"/>
          <w:sz w:val="22"/>
          <w:szCs w:val="22"/>
          <w:color w:val="auto"/>
        </w:rPr>
        <w:t>registration statement on Form S-1 filed with the Securities and Exchange Commission for the Company’s initial public offering of its Common Stock.</w:t>
      </w:r>
    </w:p>
    <w:p>
      <w:pPr>
        <w:sectPr>
          <w:pgSz w:w="11900" w:h="16838" w:orient="portrait"/>
          <w:cols w:equalWidth="0" w:num="1">
            <w:col w:w="11240"/>
          </w:cols>
          <w:pgMar w:left="320" w:top="1421" w:right="339" w:bottom="1440" w:gutter="0" w:footer="0" w:header="0"/>
        </w:sectPr>
      </w:pPr>
    </w:p>
    <w:p>
      <w:pPr>
        <w:spacing w:after="0" w:line="15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3.5.3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the applicable form of Award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applicable, for use thereunder.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hanging="2"/>
        <w:spacing w:after="0" w:line="295" w:lineRule="auto"/>
        <w:rPr>
          <w:sz w:val="20"/>
          <w:szCs w:val="20"/>
          <w:color w:val="auto"/>
        </w:rPr>
      </w:pPr>
      <w:r>
        <w:rPr>
          <w:rFonts w:ascii="Times New Roman" w:cs="Times New Roman" w:eastAsia="Times New Roman" w:hAnsi="Times New Roman"/>
          <w:sz w:val="21"/>
          <w:szCs w:val="21"/>
          <w:color w:val="auto"/>
        </w:rPr>
        <w:t>Each Policy Award will be granted under and subject to the terms and conditions of the Plan Agreement previously approved by the Board or its Committee (as defined below), as</w:t>
      </w:r>
    </w:p>
    <w:p>
      <w:pPr>
        <w:spacing w:after="0" w:line="392" w:lineRule="exact"/>
        <w:rPr>
          <w:sz w:val="20"/>
          <w:szCs w:val="20"/>
          <w:color w:val="auto"/>
        </w:rPr>
      </w:pPr>
    </w:p>
    <w:p>
      <w:pPr>
        <w:sectPr>
          <w:pgSz w:w="11900" w:h="16838" w:orient="portrait"/>
          <w:cols w:equalWidth="0" w:num="2">
            <w:col w:w="3140" w:space="120"/>
            <w:col w:w="7980"/>
          </w:cols>
          <w:pgMar w:left="320" w:top="1421" w:right="339" w:bottom="1440" w:gutter="0" w:footer="0" w:header="0"/>
          <w:type w:val="continuous"/>
        </w:sectPr>
      </w:pPr>
    </w:p>
    <w:p>
      <w:pPr>
        <w:jc w:val="both"/>
        <w:ind w:firstLine="2592"/>
        <w:spacing w:after="0" w:line="257" w:lineRule="auto"/>
        <w:rPr>
          <w:sz w:val="20"/>
          <w:szCs w:val="20"/>
          <w:color w:val="auto"/>
        </w:rPr>
      </w:pPr>
      <w:r>
        <w:rPr>
          <w:rFonts w:ascii="Times New Roman" w:cs="Times New Roman" w:eastAsia="Times New Roman" w:hAnsi="Times New Roman"/>
          <w:sz w:val="22"/>
          <w:szCs w:val="22"/>
          <w:color w:val="auto"/>
        </w:rPr>
        <w:t>3.5.4 The Board or its Committee, as applicable and in its discretion, may change and otherwise revise the terms of Policy Awards to be granted in the future pursuant to this Policy, including without limitation the number of Shares subject thereto and type of Award.</w:t>
      </w:r>
    </w:p>
    <w:p>
      <w:pPr>
        <w:spacing w:after="0" w:line="169" w:lineRule="exact"/>
        <w:rPr>
          <w:sz w:val="20"/>
          <w:szCs w:val="20"/>
          <w:color w:val="auto"/>
        </w:rPr>
      </w:pPr>
    </w:p>
    <w:p>
      <w:pPr>
        <w:jc w:val="both"/>
        <w:ind w:right="20" w:firstLine="656"/>
        <w:spacing w:after="0" w:line="253" w:lineRule="auto"/>
        <w:tabs>
          <w:tab w:leader="none" w:pos="1296" w:val="left"/>
        </w:tabs>
        <w:numPr>
          <w:ilvl w:val="0"/>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each Outside Director will fully vest in his or 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Company equity awards that were granted to him or her while an Outside Director, as of immediately prior to the Change in Control, including any Policy Award, provided that the Outside Director continues to be an Outside Director through the date of such Change in Control.</w:t>
      </w:r>
    </w:p>
    <w:p>
      <w:pPr>
        <w:spacing w:after="0" w:line="175"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Annual Compensation Limit</w:t>
      </w:r>
      <w:r>
        <w:rPr>
          <w:rFonts w:ascii="Times New Roman" w:cs="Times New Roman" w:eastAsia="Times New Roman" w:hAnsi="Times New Roman"/>
          <w:sz w:val="22"/>
          <w:szCs w:val="22"/>
          <w:color w:val="auto"/>
        </w:rPr>
        <w:t>. No Outside Director may be granted, in any Fiscal Year, Awards with values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(based on their grant date fair value determined in accordance with U.S. generally accepted accounting principles), and be provided any other compensation (including without limitation any cash retainers or fees) in amounts that, in any Fiscal Year, in the aggregate, exceed $750,000, provided that such amount is increased to $1,000,000 in the Fiscal Year of his or her initial service as an Outside Director. Any Awards or other compensation provided to an individual (a) for his or her services as an Employee, or for his or her services as a Consultant other than as an Outside Director, or (b) prior to the Registration Date, will be excluded for purposes of this Section 5.</w:t>
      </w:r>
    </w:p>
    <w:p>
      <w:pPr>
        <w:spacing w:after="0" w:line="181" w:lineRule="exact"/>
        <w:rPr>
          <w:rFonts w:ascii="Times New Roman" w:cs="Times New Roman" w:eastAsia="Times New Roman" w:hAnsi="Times New Roman"/>
          <w:sz w:val="22"/>
          <w:szCs w:val="22"/>
          <w:color w:val="auto"/>
        </w:rPr>
      </w:pPr>
    </w:p>
    <w:p>
      <w:pPr>
        <w:ind w:firstLine="656"/>
        <w:spacing w:after="0" w:line="275" w:lineRule="auto"/>
        <w:tabs>
          <w:tab w:leader="none" w:pos="1296" w:val="left"/>
        </w:tabs>
        <w:numPr>
          <w:ilvl w:val="0"/>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Travel Expenses</w:t>
      </w:r>
      <w:r>
        <w:rPr>
          <w:rFonts w:ascii="Times New Roman" w:cs="Times New Roman" w:eastAsia="Times New Roman" w:hAnsi="Times New Roman"/>
          <w:sz w:val="22"/>
          <w:szCs w:val="22"/>
          <w:color w:val="auto"/>
        </w:rPr>
        <w:t>. Each Outside Director’s reasonable, customary and properly documented travel expenses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meetings of the Board and any of its committees, as applicable, will be reimbursed by the Company.</w:t>
      </w:r>
    </w:p>
    <w:p>
      <w:pPr>
        <w:spacing w:after="0" w:line="149"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In the event that any dividend or other distribution (whether in the form of cash, Shares,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shares of stock that may be delivered pursuant to Policy Awards and/or the number, class, and price of shares of stock covered by each outstanding Policy Award.</w:t>
      </w:r>
    </w:p>
    <w:p>
      <w:pPr>
        <w:spacing w:after="0" w:line="181"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In no event will cash compensation or expense reimbursement payments under this Policy be 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the later of (a) the fifteenth (15th) day of the third (3rd) month following the end of the Company’s taxable year in which the compensation is earned 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5580" w:hanging="106"/>
        <w:spacing w:after="0"/>
        <w:tabs>
          <w:tab w:leader="none" w:pos="558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240"/>
          </w:cols>
          <w:pgMar w:left="320" w:top="1421" w:right="339" w:bottom="1440" w:gutter="0" w:footer="0" w:header="0"/>
          <w:type w:val="continuous"/>
        </w:sectPr>
      </w:pPr>
    </w:p>
    <w:bookmarkStart w:id="532" w:name="page533"/>
    <w:bookmarkEnd w:id="532"/>
    <w:p>
      <w:pPr>
        <w:jc w:val="both"/>
        <w:spacing w:after="0" w:line="247" w:lineRule="auto"/>
        <w:rPr>
          <w:sz w:val="20"/>
          <w:szCs w:val="20"/>
          <w:color w:val="auto"/>
        </w:rPr>
      </w:pPr>
      <w:r>
        <w:rPr>
          <w:rFonts w:ascii="Times New Roman" w:cs="Times New Roman" w:eastAsia="Times New Roman" w:hAnsi="Times New Roman"/>
          <w:sz w:val="22"/>
          <w:szCs w:val="22"/>
          <w:color w:val="auto"/>
        </w:rPr>
        <w:t>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spacing w:after="0" w:line="181" w:lineRule="exact"/>
        <w:rPr>
          <w:sz w:val="20"/>
          <w:szCs w:val="20"/>
          <w:color w:val="auto"/>
        </w:rPr>
      </w:pPr>
    </w:p>
    <w:p>
      <w:pPr>
        <w:jc w:val="both"/>
        <w:ind w:firstLine="656"/>
        <w:spacing w:after="0" w:line="253" w:lineRule="auto"/>
        <w:tabs>
          <w:tab w:leader="none" w:pos="1296" w:val="left"/>
        </w:tabs>
        <w:numPr>
          <w:ilvl w:val="0"/>
          <w:numId w:val="4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The initial adoption of this Policy will be subject to approval by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stockholders prior to the Effective Date. Unless otherwise required by applicable law, following such approval, this Policy will not be subject to approval by the Company’s stockholders, including, for clarity, as a result of or in connection with any action taken with respect to this Policy as contemplated in Section 10.</w:t>
      </w:r>
    </w:p>
    <w:p>
      <w:pPr>
        <w:spacing w:after="0" w:line="175"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4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Revisions</w:t>
      </w:r>
      <w:r>
        <w:rPr>
          <w:rFonts w:ascii="Times New Roman" w:cs="Times New Roman" w:eastAsia="Times New Roman" w:hAnsi="Times New Roman"/>
          <w:sz w:val="22"/>
          <w:szCs w:val="22"/>
          <w:color w:val="auto"/>
        </w:rPr>
        <w:t>. The Board or any committee of the Board that has been designated appropriate authority with respect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Outside Director compensation (or with respect to any applicable element or elements thereof, authority with respect to such element or elements)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spacing w:after="0" w:line="185" w:lineRule="exact"/>
        <w:rPr>
          <w:rFonts w:ascii="Times New Roman" w:cs="Times New Roman" w:eastAsia="Times New Roman" w:hAnsi="Times New Roman"/>
          <w:sz w:val="22"/>
          <w:szCs w:val="22"/>
          <w:color w:val="auto"/>
        </w:rPr>
      </w:pPr>
    </w:p>
    <w:p>
      <w:pPr>
        <w:ind w:left="49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5" w:lineRule="exact"/>
        <w:rPr>
          <w:rFonts w:ascii="Times New Roman" w:cs="Times New Roman" w:eastAsia="Times New Roman" w:hAnsi="Times New Roman"/>
          <w:sz w:val="22"/>
          <w:szCs w:val="22"/>
          <w:color w:val="auto"/>
        </w:rPr>
      </w:pPr>
    </w:p>
    <w:p>
      <w:pPr>
        <w:ind w:left="5580" w:hanging="106"/>
        <w:spacing w:after="0"/>
        <w:tabs>
          <w:tab w:leader="none" w:pos="5580" w:val="left"/>
        </w:tabs>
        <w:numPr>
          <w:ilvl w:val="2"/>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1240"/>
          </w:cols>
          <w:pgMar w:left="320" w:top="1421" w:right="339" w:bottom="1440" w:gutter="0" w:footer="0" w:header="0"/>
        </w:sectPr>
      </w:pPr>
    </w:p>
    <w:bookmarkStart w:id="533" w:name="page534"/>
    <w:bookmarkEnd w:id="53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70"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We consent to the use in this Registration Statement No. 333-250035 on Form S-1 of our report dated September 25, 2020 (November 30, 2020 as to the effects of the reverse stock split described in Note 2 and Note 14), relating to the financial statements of Seer, Inc. We also consent to the reference to us under the heading "Experts" in such Registration Statement.</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Francisco, California</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30, 2020</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4A6F1F"/>
    <w:multiLevelType w:val="hybridMultilevel"/>
    <w:lvl w:ilvl="0">
      <w:lvlJc w:val="left"/>
      <w:lvlText w:val="(%1)"/>
      <w:numFmt w:val="decimal"/>
      <w:start w:val="1"/>
    </w:lvl>
  </w:abstractNum>
  <w:abstractNum w:abstractNumId="1">
    <w:nsid w:val="2E5B12B8"/>
    <w:multiLevelType w:val="hybridMultilevel"/>
    <w:lvl w:ilvl="0">
      <w:lvlJc w:val="left"/>
      <w:lvlText w:val="•"/>
      <w:numFmt w:val="bullet"/>
      <w:start w:val="1"/>
    </w:lvl>
  </w:abstractNum>
  <w:abstractNum w:abstractNumId="2">
    <w:nsid w:val="5C03D76D"/>
    <w:multiLevelType w:val="hybridMultilevel"/>
    <w:lvl w:ilvl="0">
      <w:lvlJc w:val="left"/>
      <w:lvlText w:val="•"/>
      <w:numFmt w:val="bullet"/>
      <w:start w:val="1"/>
    </w:lvl>
  </w:abstractNum>
  <w:abstractNum w:abstractNumId="3">
    <w:nsid w:val="66A48D11"/>
    <w:multiLevelType w:val="hybridMultilevel"/>
    <w:lvl w:ilvl="0">
      <w:lvlJc w:val="left"/>
      <w:lvlText w:val="•"/>
      <w:numFmt w:val="bullet"/>
      <w:start w:val="1"/>
    </w:lvl>
  </w:abstractNum>
  <w:abstractNum w:abstractNumId="4">
    <w:nsid w:val="56C28E34"/>
    <w:multiLevelType w:val="hybridMultilevel"/>
    <w:lvl w:ilvl="0">
      <w:lvlJc w:val="left"/>
      <w:lvlText w:val="•"/>
      <w:numFmt w:val="bullet"/>
      <w:start w:val="1"/>
    </w:lvl>
  </w:abstractNum>
  <w:abstractNum w:abstractNumId="5">
    <w:nsid w:val="13916F2D"/>
    <w:multiLevelType w:val="hybridMultilevel"/>
    <w:lvl w:ilvl="0">
      <w:lvlJc w:val="left"/>
      <w:lvlText w:val="•"/>
      <w:numFmt w:val="bullet"/>
      <w:start w:val="1"/>
    </w:lvl>
  </w:abstractNum>
  <w:abstractNum w:abstractNumId="6">
    <w:nsid w:val="435D38D"/>
    <w:multiLevelType w:val="hybridMultilevel"/>
    <w:lvl w:ilvl="0">
      <w:lvlJc w:val="left"/>
      <w:lvlText w:val="•"/>
      <w:numFmt w:val="bullet"/>
      <w:start w:val="1"/>
    </w:lvl>
  </w:abstractNum>
  <w:abstractNum w:abstractNumId="7">
    <w:nsid w:val="822C0EF"/>
    <w:multiLevelType w:val="hybridMultilevel"/>
    <w:lvl w:ilvl="0">
      <w:lvlJc w:val="left"/>
      <w:lvlText w:val="•"/>
      <w:numFmt w:val="bullet"/>
      <w:start w:val="1"/>
    </w:lvl>
  </w:abstractNum>
  <w:abstractNum w:abstractNumId="8">
    <w:nsid w:val="57C5BB4F"/>
    <w:multiLevelType w:val="hybridMultilevel"/>
    <w:lvl w:ilvl="0">
      <w:lvlJc w:val="left"/>
      <w:lvlText w:val="•"/>
      <w:numFmt w:val="bullet"/>
      <w:start w:val="1"/>
    </w:lvl>
  </w:abstractNum>
  <w:abstractNum w:abstractNumId="9">
    <w:nsid w:val="1803D089"/>
    <w:multiLevelType w:val="hybridMultilevel"/>
    <w:lvl w:ilvl="0">
      <w:lvlJc w:val="left"/>
      <w:lvlText w:val="•"/>
      <w:numFmt w:val="bullet"/>
      <w:start w:val="1"/>
    </w:lvl>
    <w:lvl w:ilvl="1">
      <w:lvlJc w:val="left"/>
      <w:lvlText w:val="◦"/>
      <w:numFmt w:val="bullet"/>
      <w:start w:val="1"/>
    </w:lvl>
  </w:abstractNum>
  <w:abstractNum w:abstractNumId="10">
    <w:nsid w:val="4F3A06D4"/>
    <w:multiLevelType w:val="hybridMultilevel"/>
    <w:lvl w:ilvl="0">
      <w:lvlJc w:val="left"/>
      <w:lvlText w:val="•"/>
      <w:numFmt w:val="bullet"/>
      <w:start w:val="1"/>
    </w:lvl>
  </w:abstractNum>
  <w:abstractNum w:abstractNumId="11">
    <w:nsid w:val="59A377B6"/>
    <w:multiLevelType w:val="hybridMultilevel"/>
    <w:lvl w:ilvl="0">
      <w:lvlJc w:val="left"/>
      <w:lvlText w:val="(%1)"/>
      <w:numFmt w:val="decimal"/>
      <w:start w:val="1"/>
    </w:lvl>
  </w:abstractNum>
  <w:abstractNum w:abstractNumId="12">
    <w:nsid w:val="48AEB063"/>
    <w:multiLevelType w:val="hybridMultilevel"/>
    <w:lvl w:ilvl="0">
      <w:lvlJc w:val="left"/>
      <w:lvlText w:val="(%1)"/>
      <w:numFmt w:val="decimal"/>
      <w:start w:val="2"/>
    </w:lvl>
  </w:abstractNum>
  <w:abstractNum w:abstractNumId="13">
    <w:nsid w:val="24E135"/>
    <w:multiLevelType w:val="hybridMultilevel"/>
    <w:lvl w:ilvl="0">
      <w:lvlJc w:val="left"/>
      <w:lvlText w:val="(%1)"/>
      <w:numFmt w:val="decimal"/>
      <w:start w:val="1"/>
    </w:lvl>
  </w:abstractNum>
  <w:abstractNum w:abstractNumId="14">
    <w:nsid w:val="BB13C1"/>
    <w:multiLevelType w:val="hybridMultilevel"/>
    <w:lvl w:ilvl="0">
      <w:lvlJc w:val="left"/>
      <w:lvlText w:val="•"/>
      <w:numFmt w:val="bullet"/>
      <w:start w:val="1"/>
    </w:lvl>
  </w:abstractNum>
  <w:abstractNum w:abstractNumId="15">
    <w:nsid w:val="271210C7"/>
    <w:multiLevelType w:val="hybridMultilevel"/>
    <w:lvl w:ilvl="0">
      <w:lvlJc w:val="left"/>
      <w:lvlText w:val="•"/>
      <w:numFmt w:val="bullet"/>
      <w:start w:val="1"/>
    </w:lvl>
  </w:abstractNum>
  <w:abstractNum w:abstractNumId="16">
    <w:nsid w:val="217B22E4"/>
    <w:multiLevelType w:val="hybridMultilevel"/>
    <w:lvl w:ilvl="0">
      <w:lvlJc w:val="left"/>
      <w:lvlText w:val="•"/>
      <w:numFmt w:val="bullet"/>
      <w:start w:val="1"/>
    </w:lvl>
  </w:abstractNum>
  <w:abstractNum w:abstractNumId="17">
    <w:nsid w:val="53E31A24"/>
    <w:multiLevelType w:val="hybridMultilevel"/>
    <w:lvl w:ilvl="0">
      <w:lvlJc w:val="left"/>
      <w:lvlText w:val="•"/>
      <w:numFmt w:val="bullet"/>
      <w:start w:val="1"/>
    </w:lvl>
  </w:abstractNum>
  <w:abstractNum w:abstractNumId="18">
    <w:nsid w:val="6DC45E83"/>
    <w:multiLevelType w:val="hybridMultilevel"/>
    <w:lvl w:ilvl="0">
      <w:lvlJc w:val="left"/>
      <w:lvlText w:val="•"/>
      <w:numFmt w:val="bullet"/>
      <w:start w:val="1"/>
    </w:lvl>
  </w:abstractNum>
  <w:abstractNum w:abstractNumId="19">
    <w:nsid w:val="17304A67"/>
    <w:multiLevelType w:val="hybridMultilevel"/>
    <w:lvl w:ilvl="0">
      <w:lvlJc w:val="left"/>
      <w:lvlText w:val="•"/>
      <w:numFmt w:val="bullet"/>
      <w:start w:val="1"/>
    </w:lvl>
  </w:abstractNum>
  <w:abstractNum w:abstractNumId="20">
    <w:nsid w:val="2BB180D8"/>
    <w:multiLevelType w:val="hybridMultilevel"/>
    <w:lvl w:ilvl="0">
      <w:lvlJc w:val="left"/>
      <w:lvlText w:val="•"/>
      <w:numFmt w:val="bullet"/>
      <w:start w:val="1"/>
    </w:lvl>
  </w:abstractNum>
  <w:abstractNum w:abstractNumId="21">
    <w:nsid w:val="556B69ED"/>
    <w:multiLevelType w:val="hybridMultilevel"/>
    <w:lvl w:ilvl="0">
      <w:lvlJc w:val="left"/>
      <w:lvlText w:val="•"/>
      <w:numFmt w:val="bullet"/>
      <w:start w:val="1"/>
    </w:lvl>
  </w:abstractNum>
  <w:abstractNum w:abstractNumId="22">
    <w:nsid w:val="70836196"/>
    <w:multiLevelType w:val="hybridMultilevel"/>
    <w:lvl w:ilvl="0">
      <w:lvlJc w:val="left"/>
      <w:lvlText w:val="•"/>
      <w:numFmt w:val="bullet"/>
      <w:start w:val="1"/>
    </w:lvl>
  </w:abstractNum>
  <w:abstractNum w:abstractNumId="23">
    <w:nsid w:val="539F7F12"/>
    <w:multiLevelType w:val="hybridMultilevel"/>
    <w:lvl w:ilvl="0">
      <w:lvlJc w:val="left"/>
      <w:lvlText w:val="•"/>
      <w:numFmt w:val="bullet"/>
      <w:start w:val="1"/>
    </w:lvl>
  </w:abstractNum>
  <w:abstractNum w:abstractNumId="24">
    <w:nsid w:val="2817E7EC"/>
    <w:multiLevelType w:val="hybridMultilevel"/>
    <w:lvl w:ilvl="0">
      <w:lvlJc w:val="left"/>
      <w:lvlText w:val="•"/>
      <w:numFmt w:val="bullet"/>
      <w:start w:val="1"/>
    </w:lvl>
  </w:abstractNum>
  <w:abstractNum w:abstractNumId="25">
    <w:nsid w:val="71482545"/>
    <w:multiLevelType w:val="hybridMultilevel"/>
    <w:lvl w:ilvl="0">
      <w:lvlJc w:val="left"/>
      <w:lvlText w:val="•"/>
      <w:numFmt w:val="bullet"/>
      <w:start w:val="1"/>
    </w:lvl>
  </w:abstractNum>
  <w:abstractNum w:abstractNumId="26">
    <w:nsid w:val="17D78639"/>
    <w:multiLevelType w:val="hybridMultilevel"/>
    <w:lvl w:ilvl="0">
      <w:lvlJc w:val="left"/>
      <w:lvlText w:val="•"/>
      <w:numFmt w:val="bullet"/>
      <w:start w:val="1"/>
    </w:lvl>
  </w:abstractNum>
  <w:abstractNum w:abstractNumId="27">
    <w:nsid w:val="141D2302"/>
    <w:multiLevelType w:val="hybridMultilevel"/>
    <w:lvl w:ilvl="0">
      <w:lvlJc w:val="left"/>
      <w:lvlText w:val="•"/>
      <w:numFmt w:val="bullet"/>
      <w:start w:val="1"/>
    </w:lvl>
  </w:abstractNum>
  <w:abstractNum w:abstractNumId="28">
    <w:nsid w:val="407168D8"/>
    <w:multiLevelType w:val="hybridMultilevel"/>
    <w:lvl w:ilvl="0">
      <w:lvlJc w:val="left"/>
      <w:lvlText w:val="•"/>
      <w:numFmt w:val="bullet"/>
      <w:start w:val="1"/>
    </w:lvl>
  </w:abstractNum>
  <w:abstractNum w:abstractNumId="29">
    <w:nsid w:val="6A1B45E5"/>
    <w:multiLevelType w:val="hybridMultilevel"/>
    <w:lvl w:ilvl="0">
      <w:lvlJc w:val="left"/>
      <w:lvlText w:val="•"/>
      <w:numFmt w:val="bullet"/>
      <w:start w:val="1"/>
    </w:lvl>
  </w:abstractNum>
  <w:abstractNum w:abstractNumId="30">
    <w:nsid w:val="567BD50A"/>
    <w:multiLevelType w:val="hybridMultilevel"/>
    <w:lvl w:ilvl="0">
      <w:lvlJc w:val="left"/>
      <w:lvlText w:val="•"/>
      <w:numFmt w:val="bullet"/>
      <w:start w:val="1"/>
    </w:lvl>
  </w:abstractNum>
  <w:abstractNum w:abstractNumId="31">
    <w:nsid w:val="73BBD7F8"/>
    <w:multiLevelType w:val="hybridMultilevel"/>
    <w:lvl w:ilvl="0">
      <w:lvlJc w:val="left"/>
      <w:lvlText w:val="•"/>
      <w:numFmt w:val="bullet"/>
      <w:start w:val="1"/>
    </w:lvl>
  </w:abstractNum>
  <w:abstractNum w:abstractNumId="32">
    <w:nsid w:val="1876589D"/>
    <w:multiLevelType w:val="hybridMultilevel"/>
    <w:lvl w:ilvl="0">
      <w:lvlJc w:val="left"/>
      <w:lvlText w:val="•"/>
      <w:numFmt w:val="bullet"/>
      <w:start w:val="1"/>
    </w:lvl>
  </w:abstractNum>
  <w:abstractNum w:abstractNumId="33">
    <w:nsid w:val="327FAC77"/>
    <w:multiLevelType w:val="hybridMultilevel"/>
    <w:lvl w:ilvl="0">
      <w:lvlJc w:val="left"/>
      <w:lvlText w:val="•"/>
      <w:numFmt w:val="bullet"/>
      <w:start w:val="1"/>
    </w:lvl>
  </w:abstractNum>
  <w:abstractNum w:abstractNumId="34">
    <w:nsid w:val="5A606509"/>
    <w:multiLevelType w:val="hybridMultilevel"/>
    <w:lvl w:ilvl="0">
      <w:lvlJc w:val="left"/>
      <w:lvlText w:val="•"/>
      <w:numFmt w:val="bullet"/>
      <w:start w:val="1"/>
    </w:lvl>
  </w:abstractNum>
  <w:abstractNum w:abstractNumId="35">
    <w:nsid w:val="6F38E6D1"/>
    <w:multiLevelType w:val="hybridMultilevel"/>
    <w:lvl w:ilvl="0">
      <w:lvlJc w:val="left"/>
      <w:lvlText w:val="•"/>
      <w:numFmt w:val="bullet"/>
      <w:start w:val="1"/>
    </w:lvl>
  </w:abstractNum>
  <w:abstractNum w:abstractNumId="36">
    <w:nsid w:val="46111BA5"/>
    <w:multiLevelType w:val="hybridMultilevel"/>
    <w:lvl w:ilvl="0">
      <w:lvlJc w:val="left"/>
      <w:lvlText w:val="•"/>
      <w:numFmt w:val="bullet"/>
      <w:start w:val="1"/>
    </w:lvl>
  </w:abstractNum>
  <w:abstractNum w:abstractNumId="37">
    <w:nsid w:val="5E963896"/>
    <w:multiLevelType w:val="hybridMultilevel"/>
    <w:lvl w:ilvl="0">
      <w:lvlJc w:val="left"/>
      <w:lvlText w:val="%1."/>
      <w:numFmt w:val="decimal"/>
      <w:start w:val="1"/>
    </w:lvl>
  </w:abstractNum>
  <w:abstractNum w:abstractNumId="38">
    <w:nsid w:val="775BA7C1"/>
    <w:multiLevelType w:val="hybridMultilevel"/>
    <w:lvl w:ilvl="0">
      <w:lvlJc w:val="left"/>
      <w:lvlText w:val="%1."/>
      <w:numFmt w:val="decimal"/>
      <w:start w:val="1"/>
    </w:lvl>
  </w:abstractNum>
  <w:abstractNum w:abstractNumId="39">
    <w:nsid w:val="1DD6D6F4"/>
    <w:multiLevelType w:val="hybridMultilevel"/>
    <w:lvl w:ilvl="0">
      <w:lvlJc w:val="left"/>
      <w:lvlText w:val="•"/>
      <w:numFmt w:val="bullet"/>
      <w:start w:val="1"/>
    </w:lvl>
  </w:abstractNum>
  <w:abstractNum w:abstractNumId="40">
    <w:nsid w:val="769A091F"/>
    <w:multiLevelType w:val="hybridMultilevel"/>
    <w:lvl w:ilvl="0">
      <w:lvlJc w:val="left"/>
      <w:lvlText w:val="•"/>
      <w:numFmt w:val="bullet"/>
      <w:start w:val="1"/>
    </w:lvl>
    <w:lvl w:ilvl="1">
      <w:lvlJc w:val="left"/>
      <w:lvlText w:val="◦"/>
      <w:numFmt w:val="bullet"/>
      <w:start w:val="1"/>
    </w:lvl>
  </w:abstractNum>
  <w:abstractNum w:abstractNumId="41">
    <w:nsid w:val="4695AE95"/>
    <w:multiLevelType w:val="hybridMultilevel"/>
    <w:lvl w:ilvl="0">
      <w:lvlJc w:val="left"/>
      <w:lvlText w:val="(%1)"/>
      <w:numFmt w:val="decimal"/>
      <w:start w:val="1"/>
    </w:lvl>
  </w:abstractNum>
  <w:abstractNum w:abstractNumId="42">
    <w:nsid w:val="777A4EAA"/>
    <w:multiLevelType w:val="hybridMultilevel"/>
    <w:lvl w:ilvl="0">
      <w:lvlJc w:val="left"/>
      <w:lvlText w:val="•"/>
      <w:numFmt w:val="bullet"/>
      <w:start w:val="1"/>
    </w:lvl>
  </w:abstractNum>
  <w:abstractNum w:abstractNumId="43">
    <w:nsid w:val="3F48B982"/>
    <w:multiLevelType w:val="hybridMultilevel"/>
    <w:lvl w:ilvl="0">
      <w:lvlJc w:val="left"/>
      <w:lvlText w:val="•"/>
      <w:numFmt w:val="bullet"/>
      <w:start w:val="1"/>
    </w:lvl>
    <w:lvl w:ilvl="1">
      <w:lvlJc w:val="left"/>
      <w:lvlText w:val="◦"/>
      <w:numFmt w:val="bullet"/>
      <w:start w:val="1"/>
    </w:lvl>
  </w:abstractNum>
  <w:abstractNum w:abstractNumId="44">
    <w:nsid w:val="46BA8FCA"/>
    <w:multiLevelType w:val="hybridMultilevel"/>
    <w:lvl w:ilvl="0">
      <w:lvlJc w:val="left"/>
      <w:lvlText w:val="•"/>
      <w:numFmt w:val="bullet"/>
      <w:start w:val="1"/>
    </w:lvl>
    <w:lvl w:ilvl="1">
      <w:lvlJc w:val="left"/>
      <w:lvlText w:val="◦"/>
      <w:numFmt w:val="bullet"/>
      <w:start w:val="1"/>
    </w:lvl>
  </w:abstractNum>
  <w:abstractNum w:abstractNumId="45">
    <w:nsid w:val="7835626C"/>
    <w:multiLevelType w:val="hybridMultilevel"/>
    <w:lvl w:ilvl="0">
      <w:lvlJc w:val="left"/>
      <w:lvlText w:val="(%1)"/>
      <w:numFmt w:val="decimal"/>
      <w:start w:val="1"/>
    </w:lvl>
  </w:abstractNum>
  <w:abstractNum w:abstractNumId="46">
    <w:nsid w:val="665ACA49"/>
    <w:multiLevelType w:val="hybridMultilevel"/>
    <w:lvl w:ilvl="0">
      <w:lvlJc w:val="left"/>
      <w:lvlText w:val="(%1)"/>
      <w:numFmt w:val="decimal"/>
      <w:start w:val="2"/>
    </w:lvl>
  </w:abstractNum>
  <w:abstractNum w:abstractNumId="47">
    <w:nsid w:val="6835B2AE"/>
    <w:multiLevelType w:val="hybridMultilevel"/>
    <w:lvl w:ilvl="0">
      <w:lvlJc w:val="left"/>
      <w:lvlText w:val="(%1)"/>
      <w:numFmt w:val="decimal"/>
      <w:start w:val="3"/>
    </w:lvl>
  </w:abstractNum>
  <w:abstractNum w:abstractNumId="48">
    <w:nsid w:val="4C187C90"/>
    <w:multiLevelType w:val="hybridMultilevel"/>
    <w:lvl w:ilvl="0">
      <w:lvlJc w:val="left"/>
      <w:lvlText w:val="•"/>
      <w:numFmt w:val="bullet"/>
      <w:start w:val="1"/>
    </w:lvl>
  </w:abstractNum>
  <w:abstractNum w:abstractNumId="49">
    <w:nsid w:val="541F28CD"/>
    <w:multiLevelType w:val="hybridMultilevel"/>
    <w:lvl w:ilvl="0">
      <w:lvlJc w:val="left"/>
      <w:lvlText w:val="•"/>
      <w:numFmt w:val="bullet"/>
      <w:start w:val="1"/>
    </w:lvl>
  </w:abstractNum>
  <w:abstractNum w:abstractNumId="50">
    <w:nsid w:val="7F65FD16"/>
    <w:multiLevelType w:val="hybridMultilevel"/>
    <w:lvl w:ilvl="0">
      <w:lvlJc w:val="left"/>
      <w:lvlText w:val="*"/>
      <w:numFmt w:val="bullet"/>
      <w:start w:val="1"/>
    </w:lvl>
  </w:abstractNum>
  <w:abstractNum w:abstractNumId="51">
    <w:nsid w:val="77C9FD68"/>
    <w:multiLevelType w:val="hybridMultilevel"/>
    <w:lvl w:ilvl="0">
      <w:lvlJc w:val="left"/>
      <w:lvlText w:val="*"/>
      <w:numFmt w:val="bullet"/>
      <w:start w:val="1"/>
    </w:lvl>
  </w:abstractNum>
  <w:abstractNum w:abstractNumId="52">
    <w:nsid w:val="298A92BA"/>
    <w:multiLevelType w:val="hybridMultilevel"/>
    <w:lvl w:ilvl="0">
      <w:lvlJc w:val="left"/>
      <w:lvlText w:val="•"/>
      <w:numFmt w:val="bullet"/>
      <w:start w:val="1"/>
    </w:lvl>
  </w:abstractNum>
  <w:abstractNum w:abstractNumId="53">
    <w:nsid w:val="6FE95EAC"/>
    <w:multiLevelType w:val="hybridMultilevel"/>
    <w:lvl w:ilvl="0">
      <w:lvlJc w:val="left"/>
      <w:lvlText w:val="•"/>
      <w:numFmt w:val="bullet"/>
      <w:start w:val="1"/>
    </w:lvl>
  </w:abstractNum>
  <w:abstractNum w:abstractNumId="54">
    <w:nsid w:val="4B697C7A"/>
    <w:multiLevelType w:val="hybridMultilevel"/>
    <w:lvl w:ilvl="0">
      <w:lvlJc w:val="left"/>
      <w:lvlText w:val="•"/>
      <w:numFmt w:val="bullet"/>
      <w:start w:val="1"/>
    </w:lvl>
  </w:abstractNum>
  <w:abstractNum w:abstractNumId="55">
    <w:nsid w:val="51A27AA6"/>
    <w:multiLevelType w:val="hybridMultilevel"/>
    <w:lvl w:ilvl="0">
      <w:lvlJc w:val="left"/>
      <w:lvlText w:val="•"/>
      <w:numFmt w:val="bullet"/>
      <w:start w:val="1"/>
    </w:lvl>
  </w:abstractNum>
  <w:abstractNum w:abstractNumId="56">
    <w:nsid w:val="613183F2"/>
    <w:multiLevelType w:val="hybridMultilevel"/>
    <w:lvl w:ilvl="0">
      <w:lvlJc w:val="left"/>
      <w:lvlText w:val="•"/>
      <w:numFmt w:val="bullet"/>
      <w:start w:val="1"/>
    </w:lvl>
  </w:abstractNum>
  <w:abstractNum w:abstractNumId="57">
    <w:nsid w:val="634102B4"/>
    <w:multiLevelType w:val="hybridMultilevel"/>
    <w:lvl w:ilvl="0">
      <w:lvlJc w:val="left"/>
      <w:lvlText w:val="•"/>
      <w:numFmt w:val="bullet"/>
      <w:start w:val="1"/>
    </w:lvl>
  </w:abstractNum>
  <w:abstractNum w:abstractNumId="58">
    <w:nsid w:val="65BF9DA8"/>
    <w:multiLevelType w:val="hybridMultilevel"/>
    <w:lvl w:ilvl="0">
      <w:lvlJc w:val="left"/>
      <w:lvlText w:val="•"/>
      <w:numFmt w:val="bullet"/>
      <w:start w:val="1"/>
    </w:lvl>
  </w:abstractNum>
  <w:abstractNum w:abstractNumId="59">
    <w:nsid w:val="21A2ECCA"/>
    <w:multiLevelType w:val="hybridMultilevel"/>
    <w:lvl w:ilvl="0">
      <w:lvlJc w:val="left"/>
      <w:lvlText w:val="%1."/>
      <w:numFmt w:val="decimal"/>
      <w:start w:val="1"/>
    </w:lvl>
  </w:abstractNum>
  <w:abstractNum w:abstractNumId="60">
    <w:nsid w:val="4D5C4899"/>
    <w:multiLevelType w:val="hybridMultilevel"/>
    <w:lvl w:ilvl="0">
      <w:lvlJc w:val="left"/>
      <w:lvlText w:val="•"/>
      <w:numFmt w:val="bullet"/>
      <w:start w:val="1"/>
    </w:lvl>
  </w:abstractNum>
  <w:abstractNum w:abstractNumId="61">
    <w:nsid w:val="3C3B72B2"/>
    <w:multiLevelType w:val="hybridMultilevel"/>
    <w:lvl w:ilvl="0">
      <w:lvlJc w:val="left"/>
      <w:lvlText w:val="•"/>
      <w:numFmt w:val="bullet"/>
      <w:start w:val="1"/>
    </w:lvl>
  </w:abstractNum>
  <w:abstractNum w:abstractNumId="62">
    <w:nsid w:val="155EC4C2"/>
    <w:multiLevelType w:val="hybridMultilevel"/>
    <w:lvl w:ilvl="0">
      <w:lvlJc w:val="left"/>
      <w:lvlText w:val="•"/>
      <w:numFmt w:val="bullet"/>
      <w:start w:val="1"/>
    </w:lvl>
  </w:abstractNum>
  <w:abstractNum w:abstractNumId="63">
    <w:nsid w:val="65D2A137"/>
    <w:multiLevelType w:val="hybridMultilevel"/>
    <w:lvl w:ilvl="0">
      <w:lvlJc w:val="left"/>
      <w:lvlText w:val="•"/>
      <w:numFmt w:val="bullet"/>
      <w:start w:val="1"/>
    </w:lvl>
  </w:abstractNum>
  <w:abstractNum w:abstractNumId="64">
    <w:nsid w:val="6EBB1F2A"/>
    <w:multiLevelType w:val="hybridMultilevel"/>
    <w:lvl w:ilvl="0">
      <w:lvlJc w:val="left"/>
      <w:lvlText w:val="•"/>
      <w:numFmt w:val="bullet"/>
      <w:start w:val="1"/>
    </w:lvl>
  </w:abstractNum>
  <w:abstractNum w:abstractNumId="65">
    <w:nsid w:val="6FBF29CB"/>
    <w:multiLevelType w:val="hybridMultilevel"/>
    <w:lvl w:ilvl="0">
      <w:lvlJc w:val="left"/>
      <w:lvlText w:val="•"/>
      <w:numFmt w:val="bullet"/>
      <w:start w:val="1"/>
    </w:lvl>
  </w:abstractNum>
  <w:abstractNum w:abstractNumId="66">
    <w:nsid w:val="550B8808"/>
    <w:multiLevelType w:val="hybridMultilevel"/>
    <w:lvl w:ilvl="0">
      <w:lvlJc w:val="left"/>
      <w:lvlText w:val="•"/>
      <w:numFmt w:val="bullet"/>
      <w:start w:val="1"/>
    </w:lvl>
  </w:abstractNum>
  <w:abstractNum w:abstractNumId="67">
    <w:nsid w:val="34CC3ACF"/>
    <w:multiLevelType w:val="hybridMultilevel"/>
    <w:lvl w:ilvl="0">
      <w:lvlJc w:val="left"/>
      <w:lvlText w:val="•"/>
      <w:numFmt w:val="bullet"/>
      <w:start w:val="1"/>
    </w:lvl>
  </w:abstractNum>
  <w:abstractNum w:abstractNumId="68">
    <w:nsid w:val="4E556261"/>
    <w:multiLevelType w:val="hybridMultilevel"/>
    <w:lvl w:ilvl="0">
      <w:lvlJc w:val="left"/>
      <w:lvlText w:val="•"/>
      <w:numFmt w:val="bullet"/>
      <w:start w:val="1"/>
    </w:lvl>
  </w:abstractNum>
  <w:abstractNum w:abstractNumId="69">
    <w:nsid w:val="4C672FC9"/>
    <w:multiLevelType w:val="hybridMultilevel"/>
    <w:lvl w:ilvl="0">
      <w:lvlJc w:val="left"/>
      <w:lvlText w:val="•"/>
      <w:numFmt w:val="bullet"/>
      <w:start w:val="1"/>
    </w:lvl>
  </w:abstractNum>
  <w:abstractNum w:abstractNumId="70">
    <w:nsid w:val="52A311C3"/>
    <w:multiLevelType w:val="hybridMultilevel"/>
    <w:lvl w:ilvl="0">
      <w:lvlJc w:val="left"/>
      <w:lvlText w:val="•"/>
      <w:numFmt w:val="bullet"/>
      <w:start w:val="1"/>
    </w:lvl>
  </w:abstractNum>
  <w:abstractNum w:abstractNumId="71">
    <w:nsid w:val="44EF6B80"/>
    <w:multiLevelType w:val="hybridMultilevel"/>
    <w:lvl w:ilvl="0">
      <w:lvlJc w:val="left"/>
      <w:lvlText w:val="•"/>
      <w:numFmt w:val="bullet"/>
      <w:start w:val="1"/>
    </w:lvl>
  </w:abstractNum>
  <w:abstractNum w:abstractNumId="72">
    <w:nsid w:val="12FCDE5E"/>
    <w:multiLevelType w:val="hybridMultilevel"/>
    <w:lvl w:ilvl="0">
      <w:lvlJc w:val="left"/>
      <w:lvlText w:val="•"/>
      <w:numFmt w:val="bullet"/>
      <w:start w:val="1"/>
    </w:lvl>
  </w:abstractNum>
  <w:abstractNum w:abstractNumId="73">
    <w:nsid w:val="4A1D606E"/>
    <w:multiLevelType w:val="hybridMultilevel"/>
    <w:lvl w:ilvl="0">
      <w:lvlJc w:val="left"/>
      <w:lvlText w:val="(%1)"/>
      <w:numFmt w:val="decimal"/>
      <w:start w:val="1"/>
    </w:lvl>
  </w:abstractNum>
  <w:abstractNum w:abstractNumId="74">
    <w:nsid w:val="4382503"/>
    <w:multiLevelType w:val="hybridMultilevel"/>
    <w:lvl w:ilvl="0">
      <w:lvlJc w:val="left"/>
      <w:lvlText w:val="•"/>
      <w:numFmt w:val="bullet"/>
      <w:start w:val="1"/>
    </w:lvl>
  </w:abstractNum>
  <w:abstractNum w:abstractNumId="75">
    <w:nsid w:val="59B76E28"/>
    <w:multiLevelType w:val="hybridMultilevel"/>
    <w:lvl w:ilvl="0">
      <w:lvlJc w:val="left"/>
      <w:lvlText w:val="•"/>
      <w:numFmt w:val="bullet"/>
      <w:start w:val="1"/>
    </w:lvl>
  </w:abstractNum>
  <w:abstractNum w:abstractNumId="76">
    <w:nsid w:val="4252C2DA"/>
    <w:multiLevelType w:val="hybridMultilevel"/>
    <w:lvl w:ilvl="0">
      <w:lvlJc w:val="left"/>
      <w:lvlText w:val="•"/>
      <w:numFmt w:val="bullet"/>
      <w:start w:val="1"/>
    </w:lvl>
  </w:abstractNum>
  <w:abstractNum w:abstractNumId="77">
    <w:nsid w:val="6A92EF4C"/>
    <w:multiLevelType w:val="hybridMultilevel"/>
    <w:lvl w:ilvl="0">
      <w:lvlJc w:val="left"/>
      <w:lvlText w:val="•"/>
      <w:numFmt w:val="bullet"/>
      <w:start w:val="1"/>
    </w:lvl>
  </w:abstractNum>
  <w:abstractNum w:abstractNumId="78">
    <w:nsid w:val="41ED20D7"/>
    <w:multiLevelType w:val="hybridMultilevel"/>
    <w:lvl w:ilvl="0">
      <w:lvlJc w:val="left"/>
      <w:lvlText w:val="•"/>
      <w:numFmt w:val="bullet"/>
      <w:start w:val="1"/>
    </w:lvl>
  </w:abstractNum>
  <w:abstractNum w:abstractNumId="79">
    <w:nsid w:val="E6B3F6A"/>
    <w:multiLevelType w:val="hybridMultilevel"/>
    <w:lvl w:ilvl="0">
      <w:lvlJc w:val="left"/>
      <w:lvlText w:val="(%1)"/>
      <w:numFmt w:val="decimal"/>
      <w:start w:val="1"/>
    </w:lvl>
  </w:abstractNum>
  <w:abstractNum w:abstractNumId="80">
    <w:nsid w:val="3EB21819"/>
    <w:multiLevelType w:val="hybridMultilevel"/>
    <w:lvl w:ilvl="0">
      <w:lvlJc w:val="left"/>
      <w:lvlText w:val="(%1)"/>
      <w:numFmt w:val="decimal"/>
      <w:start w:val="1"/>
    </w:lvl>
  </w:abstractNum>
  <w:abstractNum w:abstractNumId="81">
    <w:nsid w:val="41531DED"/>
    <w:multiLevelType w:val="hybridMultilevel"/>
    <w:lvl w:ilvl="0">
      <w:lvlJc w:val="left"/>
      <w:lvlText w:val="(%1)"/>
      <w:numFmt w:val="decimal"/>
      <w:start w:val="10"/>
    </w:lvl>
  </w:abstractNum>
  <w:abstractNum w:abstractNumId="82">
    <w:nsid w:val="6353CD2"/>
    <w:multiLevelType w:val="hybridMultilevel"/>
    <w:lvl w:ilvl="0">
      <w:lvlJc w:val="left"/>
      <w:lvlText w:val="•"/>
      <w:numFmt w:val="bullet"/>
      <w:start w:val="1"/>
    </w:lvl>
  </w:abstractNum>
  <w:abstractNum w:abstractNumId="83">
    <w:nsid w:val="683CAAD3"/>
    <w:multiLevelType w:val="hybridMultilevel"/>
    <w:lvl w:ilvl="0">
      <w:lvlJc w:val="left"/>
      <w:lvlText w:val="•"/>
      <w:numFmt w:val="bullet"/>
      <w:start w:val="1"/>
    </w:lvl>
  </w:abstractNum>
  <w:abstractNum w:abstractNumId="84">
    <w:nsid w:val="313C7C99"/>
    <w:multiLevelType w:val="hybridMultilevel"/>
    <w:lvl w:ilvl="0">
      <w:lvlJc w:val="left"/>
      <w:lvlText w:val="(%1)"/>
      <w:numFmt w:val="decimal"/>
      <w:start w:val="1"/>
    </w:lvl>
  </w:abstractNum>
  <w:abstractNum w:abstractNumId="85">
    <w:nsid w:val="519EB94C"/>
    <w:multiLevelType w:val="hybridMultilevel"/>
    <w:lvl w:ilvl="0">
      <w:lvlJc w:val="left"/>
      <w:lvlText w:val="(%1)"/>
      <w:numFmt w:val="decimal"/>
      <w:start w:val="1"/>
    </w:lvl>
  </w:abstractNum>
  <w:abstractNum w:abstractNumId="86">
    <w:nsid w:val="39DF2579"/>
    <w:multiLevelType w:val="hybridMultilevel"/>
    <w:lvl w:ilvl="0">
      <w:lvlJc w:val="left"/>
      <w:lvlText w:val="•"/>
      <w:numFmt w:val="bullet"/>
      <w:start w:val="1"/>
    </w:lvl>
  </w:abstractNum>
  <w:abstractNum w:abstractNumId="87">
    <w:nsid w:val="126E008B"/>
    <w:multiLevelType w:val="hybridMultilevel"/>
    <w:lvl w:ilvl="0">
      <w:lvlJc w:val="left"/>
      <w:lvlText w:val="•"/>
      <w:numFmt w:val="bullet"/>
      <w:start w:val="1"/>
    </w:lvl>
  </w:abstractNum>
  <w:abstractNum w:abstractNumId="88">
    <w:nsid w:val="34DFBC00"/>
    <w:multiLevelType w:val="hybridMultilevel"/>
    <w:lvl w:ilvl="0">
      <w:lvlJc w:val="left"/>
      <w:lvlText w:val="•"/>
      <w:numFmt w:val="bullet"/>
      <w:start w:val="1"/>
    </w:lvl>
  </w:abstractNum>
  <w:abstractNum w:abstractNumId="89">
    <w:nsid w:val="1F9EC322"/>
    <w:multiLevelType w:val="hybridMultilevel"/>
    <w:lvl w:ilvl="0">
      <w:lvlJc w:val="left"/>
      <w:lvlText w:val="•"/>
      <w:numFmt w:val="bullet"/>
      <w:start w:val="1"/>
    </w:lvl>
  </w:abstractNum>
  <w:abstractNum w:abstractNumId="90">
    <w:nsid w:val="3410ED56"/>
    <w:multiLevelType w:val="hybridMultilevel"/>
    <w:lvl w:ilvl="0">
      <w:lvlJc w:val="left"/>
      <w:lvlText w:val="(%1)"/>
      <w:numFmt w:val="decimal"/>
      <w:start w:val="10"/>
    </w:lvl>
  </w:abstractNum>
  <w:abstractNum w:abstractNumId="91">
    <w:nsid w:val="23C049A"/>
    <w:multiLevelType w:val="hybridMultilevel"/>
    <w:lvl w:ilvl="0">
      <w:lvlJc w:val="left"/>
      <w:lvlText w:val="•"/>
      <w:numFmt w:val="bullet"/>
      <w:start w:val="1"/>
    </w:lvl>
  </w:abstractNum>
  <w:abstractNum w:abstractNumId="92">
    <w:nsid w:val="5BDA35D4"/>
    <w:multiLevelType w:val="hybridMultilevel"/>
    <w:lvl w:ilvl="0">
      <w:lvlJc w:val="left"/>
      <w:lvlText w:val="•"/>
      <w:numFmt w:val="bullet"/>
      <w:start w:val="1"/>
    </w:lvl>
  </w:abstractNum>
  <w:abstractNum w:abstractNumId="93">
    <w:nsid w:val="496FB218"/>
    <w:multiLevelType w:val="hybridMultilevel"/>
    <w:lvl w:ilvl="0">
      <w:lvlJc w:val="left"/>
      <w:lvlText w:val="(%1)"/>
      <w:numFmt w:val="decimal"/>
      <w:start w:val="1"/>
    </w:lvl>
  </w:abstractNum>
  <w:abstractNum w:abstractNumId="94">
    <w:nsid w:val="680EA5D1"/>
    <w:multiLevelType w:val="hybridMultilevel"/>
    <w:lvl w:ilvl="0">
      <w:lvlJc w:val="left"/>
      <w:lvlText w:val="(%1)"/>
      <w:numFmt w:val="decimal"/>
      <w:start w:val="1"/>
    </w:lvl>
  </w:abstractNum>
  <w:abstractNum w:abstractNumId="95">
    <w:nsid w:val="4A9554FE"/>
    <w:multiLevelType w:val="hybridMultilevel"/>
    <w:lvl w:ilvl="0">
      <w:lvlJc w:val="left"/>
      <w:lvlText w:val="(%1)"/>
      <w:numFmt w:val="decimal"/>
      <w:start w:val="1"/>
    </w:lvl>
  </w:abstractNum>
  <w:abstractNum w:abstractNumId="96">
    <w:nsid w:val="392EDBE4"/>
    <w:multiLevelType w:val="hybridMultilevel"/>
    <w:lvl w:ilvl="0">
      <w:lvlJc w:val="left"/>
      <w:lvlText w:val="(%1)"/>
      <w:numFmt w:val="decimal"/>
      <w:start w:val="1"/>
    </w:lvl>
  </w:abstractNum>
  <w:abstractNum w:abstractNumId="97">
    <w:nsid w:val="3D1A2DD9"/>
    <w:multiLevelType w:val="hybridMultilevel"/>
    <w:lvl w:ilvl="0">
      <w:lvlJc w:val="left"/>
      <w:lvlText w:val="(%1)"/>
      <w:numFmt w:val="decimal"/>
      <w:start w:val="1"/>
    </w:lvl>
  </w:abstractNum>
  <w:abstractNum w:abstractNumId="98">
    <w:nsid w:val="7F618FCD"/>
    <w:multiLevelType w:val="hybridMultilevel"/>
    <w:lvl w:ilvl="0">
      <w:lvlJc w:val="left"/>
      <w:lvlText w:val="(%1)"/>
      <w:numFmt w:val="decimal"/>
      <w:start w:val="2"/>
    </w:lvl>
  </w:abstractNum>
  <w:abstractNum w:abstractNumId="99">
    <w:nsid w:val="7843E45"/>
    <w:multiLevelType w:val="hybridMultilevel"/>
    <w:lvl w:ilvl="0">
      <w:lvlJc w:val="left"/>
      <w:lvlText w:val="•"/>
      <w:numFmt w:val="bullet"/>
      <w:start w:val="1"/>
    </w:lvl>
  </w:abstractNum>
  <w:abstractNum w:abstractNumId="100">
    <w:nsid w:val="9815DA3"/>
    <w:multiLevelType w:val="hybridMultilevel"/>
    <w:lvl w:ilvl="0">
      <w:lvlJc w:val="left"/>
      <w:lvlText w:val="•"/>
      <w:numFmt w:val="bullet"/>
      <w:start w:val="1"/>
    </w:lvl>
  </w:abstractNum>
  <w:abstractNum w:abstractNumId="101">
    <w:nsid w:val="5204A191"/>
    <w:multiLevelType w:val="hybridMultilevel"/>
    <w:lvl w:ilvl="0">
      <w:lvlJc w:val="left"/>
      <w:lvlText w:val="(%1)"/>
      <w:numFmt w:val="lowerRoman"/>
      <w:start w:val="1"/>
    </w:lvl>
  </w:abstractNum>
  <w:abstractNum w:abstractNumId="102">
    <w:nsid w:val="4C73A9C6"/>
    <w:multiLevelType w:val="hybridMultilevel"/>
    <w:lvl w:ilvl="0">
      <w:lvlJc w:val="left"/>
      <w:lvlText w:val="†"/>
      <w:numFmt w:val="bullet"/>
      <w:start w:val="1"/>
    </w:lvl>
  </w:abstractNum>
  <w:abstractNum w:abstractNumId="103">
    <w:nsid w:val="1C7E3C01"/>
    <w:multiLevelType w:val="hybridMultilevel"/>
    <w:lvl w:ilvl="0">
      <w:lvlJc w:val="left"/>
      <w:lvlText w:val="#"/>
      <w:numFmt w:val="bullet"/>
      <w:start w:val="1"/>
    </w:lvl>
  </w:abstractNum>
  <w:abstractNum w:abstractNumId="104">
    <w:nsid w:val="1C2201FF"/>
    <w:multiLevelType w:val="hybridMultilevel"/>
    <w:lvl w:ilvl="0">
      <w:lvlJc w:val="left"/>
      <w:lvlText w:val="*"/>
      <w:numFmt w:val="bullet"/>
      <w:start w:val="1"/>
    </w:lvl>
  </w:abstractNum>
  <w:abstractNum w:abstractNumId="105">
    <w:nsid w:val="50ABCEC9"/>
    <w:multiLevelType w:val="hybridMultilevel"/>
    <w:lvl w:ilvl="0">
      <w:lvlJc w:val="left"/>
      <w:lvlText w:val="(%1)"/>
      <w:numFmt w:val="decimal"/>
      <w:start w:val="1"/>
    </w:lvl>
  </w:abstractNum>
  <w:abstractNum w:abstractNumId="106">
    <w:nsid w:val="7635AA2A"/>
    <w:multiLevelType w:val="hybridMultilevel"/>
    <w:lvl w:ilvl="0">
      <w:lvlJc w:val="left"/>
      <w:lvlText w:val="(%1)"/>
      <w:numFmt w:val="decimal"/>
      <w:start w:val="7"/>
    </w:lvl>
  </w:abstractNum>
  <w:abstractNum w:abstractNumId="107">
    <w:nsid w:val="5E74C4D9"/>
    <w:multiLevelType w:val="hybridMultilevel"/>
    <w:lvl w:ilvl="0">
      <w:lvlJc w:val="left"/>
      <w:lvlText w:val="•"/>
      <w:numFmt w:val="bullet"/>
      <w:start w:val="1"/>
    </w:lvl>
  </w:abstractNum>
  <w:abstractNum w:abstractNumId="108">
    <w:nsid w:val="3B3EBE15"/>
    <w:multiLevelType w:val="hybridMultilevel"/>
    <w:lvl w:ilvl="0">
      <w:lvlJc w:val="left"/>
      <w:lvlText w:val="•"/>
      <w:numFmt w:val="bullet"/>
      <w:start w:val="1"/>
    </w:lvl>
  </w:abstractNum>
  <w:abstractNum w:abstractNumId="109">
    <w:nsid w:val="3822CB01"/>
    <w:multiLevelType w:val="hybridMultilevel"/>
    <w:lvl w:ilvl="0">
      <w:lvlJc w:val="left"/>
      <w:lvlText w:val="•"/>
      <w:numFmt w:val="bullet"/>
      <w:start w:val="1"/>
    </w:lvl>
  </w:abstractNum>
  <w:abstractNum w:abstractNumId="110">
    <w:nsid w:val="6CE00443"/>
    <w:multiLevelType w:val="hybridMultilevel"/>
    <w:lvl w:ilvl="0">
      <w:lvlJc w:val="left"/>
      <w:lvlText w:val="•"/>
      <w:numFmt w:val="bullet"/>
      <w:start w:val="1"/>
    </w:lvl>
  </w:abstractNum>
  <w:abstractNum w:abstractNumId="111">
    <w:nsid w:val="79F0D62F"/>
    <w:multiLevelType w:val="hybridMultilevel"/>
    <w:lvl w:ilvl="0">
      <w:lvlJc w:val="left"/>
      <w:lvlText w:val="•"/>
      <w:numFmt w:val="bullet"/>
      <w:start w:val="1"/>
    </w:lvl>
  </w:abstractNum>
  <w:abstractNum w:abstractNumId="112">
    <w:nsid w:val="7975E8EE"/>
    <w:multiLevelType w:val="hybridMultilevel"/>
    <w:lvl w:ilvl="0">
      <w:lvlJc w:val="left"/>
      <w:lvlText w:val="•"/>
      <w:numFmt w:val="bullet"/>
      <w:start w:val="1"/>
    </w:lvl>
  </w:abstractNum>
  <w:abstractNum w:abstractNumId="113">
    <w:nsid w:val="73154115"/>
    <w:multiLevelType w:val="hybridMultilevel"/>
    <w:lvl w:ilvl="0">
      <w:lvlJc w:val="left"/>
      <w:lvlText w:val="•"/>
      <w:numFmt w:val="bullet"/>
      <w:start w:val="1"/>
    </w:lvl>
  </w:abstractNum>
  <w:abstractNum w:abstractNumId="114">
    <w:nsid w:val="622D8102"/>
    <w:multiLevelType w:val="hybridMultilevel"/>
    <w:lvl w:ilvl="0">
      <w:lvlJc w:val="left"/>
      <w:lvlText w:val="•"/>
      <w:numFmt w:val="bullet"/>
      <w:start w:val="1"/>
    </w:lvl>
  </w:abstractNum>
  <w:abstractNum w:abstractNumId="115">
    <w:nsid w:val="2AB26587"/>
    <w:multiLevelType w:val="hybridMultilevel"/>
    <w:lvl w:ilvl="0">
      <w:lvlJc w:val="left"/>
      <w:lvlText w:val="•"/>
      <w:numFmt w:val="bullet"/>
      <w:start w:val="1"/>
    </w:lvl>
  </w:abstractNum>
  <w:abstractNum w:abstractNumId="116">
    <w:nsid w:val="44B3FA61"/>
    <w:multiLevelType w:val="hybridMultilevel"/>
    <w:lvl w:ilvl="0">
      <w:lvlJc w:val="left"/>
      <w:lvlText w:val="(%1)"/>
      <w:numFmt w:val="lowerRoman"/>
      <w:start w:val="5"/>
    </w:lvl>
  </w:abstractNum>
  <w:abstractNum w:abstractNumId="117">
    <w:nsid w:val="1C0CA67C"/>
    <w:multiLevelType w:val="hybridMultilevel"/>
    <w:lvl w:ilvl="0">
      <w:lvlJc w:val="left"/>
      <w:lvlText w:val="•"/>
      <w:numFmt w:val="bullet"/>
      <w:start w:val="1"/>
    </w:lvl>
  </w:abstractNum>
  <w:abstractNum w:abstractNumId="118">
    <w:nsid w:val="3D206613"/>
    <w:multiLevelType w:val="hybridMultilevel"/>
    <w:lvl w:ilvl="0">
      <w:lvlJc w:val="left"/>
      <w:lvlText w:val="%1."/>
      <w:numFmt w:val="lowerLetter"/>
      <w:start w:val="1"/>
    </w:lvl>
  </w:abstractNum>
  <w:abstractNum w:abstractNumId="119">
    <w:nsid w:val="7993B662"/>
    <w:multiLevelType w:val="hybridMultilevel"/>
    <w:lvl w:ilvl="0">
      <w:lvlJc w:val="left"/>
      <w:lvlText w:val="•"/>
      <w:numFmt w:val="bullet"/>
      <w:start w:val="1"/>
    </w:lvl>
  </w:abstractNum>
  <w:abstractNum w:abstractNumId="120">
    <w:nsid w:val="3BAB699E"/>
    <w:multiLevelType w:val="hybridMultilevel"/>
    <w:lvl w:ilvl="0">
      <w:lvlJc w:val="left"/>
      <w:lvlText w:val="%1."/>
      <w:numFmt w:val="lowerLetter"/>
      <w:start w:val="1"/>
    </w:lvl>
  </w:abstractNum>
  <w:abstractNum w:abstractNumId="121">
    <w:nsid w:val="71315369"/>
    <w:multiLevelType w:val="hybridMultilevel"/>
    <w:lvl w:ilvl="0">
      <w:lvlJc w:val="left"/>
      <w:lvlText w:val="%1."/>
      <w:numFmt w:val="lowerLetter"/>
      <w:start w:val="1"/>
    </w:lvl>
  </w:abstractNum>
  <w:abstractNum w:abstractNumId="122">
    <w:nsid w:val="7BCFBAFC"/>
    <w:multiLevelType w:val="hybridMultilevel"/>
    <w:lvl w:ilvl="0">
      <w:lvlJc w:val="left"/>
      <w:lvlText w:val="(%1)"/>
      <w:numFmt w:val="lowerRoman"/>
      <w:start w:val="1"/>
    </w:lvl>
  </w:abstractNum>
  <w:abstractNum w:abstractNumId="123">
    <w:nsid w:val="17859F72"/>
    <w:multiLevelType w:val="hybridMultilevel"/>
    <w:lvl w:ilvl="0">
      <w:lvlJc w:val="left"/>
      <w:lvlText w:val="%1."/>
      <w:numFmt w:val="decimal"/>
      <w:start w:val="1"/>
    </w:lvl>
  </w:abstractNum>
  <w:abstractNum w:abstractNumId="124">
    <w:nsid w:val="3AA10581"/>
    <w:multiLevelType w:val="hybridMultilevel"/>
    <w:lvl w:ilvl="0">
      <w:lvlJc w:val="left"/>
      <w:lvlText w:val="%1."/>
      <w:numFmt w:val="decimal"/>
      <w:start w:val="2"/>
    </w:lvl>
  </w:abstractNum>
  <w:abstractNum w:abstractNumId="125">
    <w:nsid w:val="63DE60CD"/>
    <w:multiLevelType w:val="hybridMultilevel"/>
    <w:lvl w:ilvl="0">
      <w:lvlJc w:val="left"/>
      <w:lvlText w:val="%1."/>
      <w:numFmt w:val="decimal"/>
      <w:start w:val="12"/>
    </w:lvl>
  </w:abstractNum>
  <w:abstractNum w:abstractNumId="126">
    <w:nsid w:val="621AF471"/>
    <w:multiLevelType w:val="hybridMultilevel"/>
    <w:lvl w:ilvl="0">
      <w:lvlJc w:val="left"/>
      <w:lvlText w:val="%1."/>
      <w:numFmt w:val="decimal"/>
      <w:start w:val="3"/>
    </w:lvl>
  </w:abstractNum>
  <w:abstractNum w:abstractNumId="127">
    <w:nsid w:val="73CFE165"/>
    <w:multiLevelType w:val="hybridMultilevel"/>
    <w:lvl w:ilvl="0">
      <w:lvlJc w:val="left"/>
      <w:lvlText w:val="%1."/>
      <w:numFmt w:val="decimal"/>
      <w:start w:val="5"/>
    </w:lvl>
  </w:abstractNum>
  <w:abstractNum w:abstractNumId="128">
    <w:nsid w:val="20F88EA6"/>
    <w:multiLevelType w:val="hybridMultilevel"/>
    <w:lvl w:ilvl="0">
      <w:lvlJc w:val="left"/>
      <w:lvlText w:val="%1."/>
      <w:numFmt w:val="decimal"/>
      <w:start w:val="6"/>
    </w:lvl>
  </w:abstractNum>
  <w:abstractNum w:abstractNumId="129">
    <w:nsid w:val="617C843E"/>
    <w:multiLevelType w:val="hybridMultilevel"/>
    <w:lvl w:ilvl="0">
      <w:lvlJc w:val="left"/>
      <w:lvlText w:val="%1."/>
      <w:numFmt w:val="decimal"/>
      <w:start w:val="7"/>
    </w:lvl>
  </w:abstractNum>
  <w:abstractNum w:abstractNumId="130">
    <w:nsid w:val="7B541FAB"/>
    <w:multiLevelType w:val="hybridMultilevel"/>
    <w:lvl w:ilvl="0">
      <w:lvlJc w:val="left"/>
      <w:lvlText w:val="%1."/>
      <w:numFmt w:val="decimal"/>
      <w:start w:val="8"/>
    </w:lvl>
  </w:abstractNum>
  <w:abstractNum w:abstractNumId="131">
    <w:nsid w:val="2A79EC49"/>
    <w:multiLevelType w:val="hybridMultilevel"/>
    <w:lvl w:ilvl="0">
      <w:lvlJc w:val="left"/>
      <w:lvlText w:val="%1."/>
      <w:numFmt w:val="decimal"/>
      <w:start w:val="9"/>
    </w:lvl>
  </w:abstractNum>
  <w:abstractNum w:abstractNumId="132">
    <w:nsid w:val="338125CF"/>
    <w:multiLevelType w:val="hybridMultilevel"/>
    <w:lvl w:ilvl="0">
      <w:lvlJc w:val="left"/>
      <w:lvlText w:val="%1."/>
      <w:numFmt w:val="decimal"/>
      <w:start w:val="10"/>
    </w:lvl>
  </w:abstractNum>
  <w:abstractNum w:abstractNumId="133">
    <w:nsid w:val="47C7C971"/>
    <w:multiLevelType w:val="hybridMultilevel"/>
    <w:lvl w:ilvl="0">
      <w:lvlJc w:val="left"/>
      <w:lvlText w:val="%1."/>
      <w:numFmt w:val="decimal"/>
      <w:start w:val="11"/>
    </w:lvl>
  </w:abstractNum>
  <w:abstractNum w:abstractNumId="134">
    <w:nsid w:val="46F8284B"/>
    <w:multiLevelType w:val="hybridMultilevel"/>
    <w:lvl w:ilvl="0">
      <w:lvlJc w:val="left"/>
      <w:lvlText w:val="%1."/>
      <w:numFmt w:val="decimal"/>
      <w:start w:val="12"/>
    </w:lvl>
  </w:abstractNum>
  <w:abstractNum w:abstractNumId="135">
    <w:nsid w:val="4FA327CE"/>
    <w:multiLevelType w:val="hybridMultilevel"/>
    <w:lvl w:ilvl="0">
      <w:lvlJc w:val="left"/>
      <w:lvlText w:val="%1."/>
      <w:numFmt w:val="decimal"/>
      <w:start w:val="13"/>
    </w:lvl>
  </w:abstractNum>
  <w:abstractNum w:abstractNumId="136">
    <w:nsid w:val="1873983A"/>
    <w:multiLevelType w:val="hybridMultilevel"/>
    <w:lvl w:ilvl="0">
      <w:lvlJc w:val="left"/>
      <w:lvlText w:val="%1."/>
      <w:numFmt w:val="decimal"/>
      <w:start w:val="14"/>
    </w:lvl>
  </w:abstractNum>
  <w:abstractNum w:abstractNumId="137">
    <w:nsid w:val="3D2DD275"/>
    <w:multiLevelType w:val="hybridMultilevel"/>
    <w:lvl w:ilvl="0">
      <w:lvlJc w:val="left"/>
      <w:lvlText w:val="%1."/>
      <w:numFmt w:val="decimal"/>
      <w:start w:val="15"/>
    </w:lvl>
  </w:abstractNum>
  <w:abstractNum w:abstractNumId="138">
    <w:nsid w:val="2E17ECA7"/>
    <w:multiLevelType w:val="hybridMultilevel"/>
    <w:lvl w:ilvl="0">
      <w:lvlJc w:val="left"/>
      <w:lvlText w:val="•"/>
      <w:numFmt w:val="bullet"/>
      <w:start w:val="1"/>
    </w:lvl>
  </w:abstractNum>
  <w:abstractNum w:abstractNumId="139">
    <w:nsid w:val="53B2564F"/>
    <w:multiLevelType w:val="hybridMultilevel"/>
    <w:lvl w:ilvl="0">
      <w:lvlJc w:val="left"/>
      <w:lvlText w:val="•"/>
      <w:numFmt w:val="bullet"/>
      <w:start w:val="1"/>
    </w:lvl>
  </w:abstractNum>
  <w:abstractNum w:abstractNumId="140">
    <w:nsid w:val="75509D76"/>
    <w:multiLevelType w:val="hybridMultilevel"/>
    <w:lvl w:ilvl="0">
      <w:lvlJc w:val="left"/>
      <w:lvlText w:val="(%1)"/>
      <w:numFmt w:val="lowerLetter"/>
      <w:start w:val="1"/>
    </w:lvl>
  </w:abstractNum>
  <w:abstractNum w:abstractNumId="141">
    <w:nsid w:val="1AF7F0EA"/>
    <w:multiLevelType w:val="hybridMultilevel"/>
    <w:lvl w:ilvl="0">
      <w:lvlJc w:val="left"/>
      <w:lvlText w:val="(%1)"/>
      <w:numFmt w:val="lowerLetter"/>
      <w:start w:val="2"/>
    </w:lvl>
  </w:abstractNum>
  <w:abstractNum w:abstractNumId="142">
    <w:nsid w:val="4DA32C7E"/>
    <w:multiLevelType w:val="hybridMultilevel"/>
    <w:lvl w:ilvl="0">
      <w:lvlJc w:val="left"/>
      <w:lvlText w:val="(%1)"/>
      <w:numFmt w:val="decimal"/>
      <w:start w:val="1"/>
    </w:lvl>
  </w:abstractNum>
  <w:abstractNum w:abstractNumId="143">
    <w:nsid w:val="6EC68664"/>
    <w:multiLevelType w:val="hybridMultilevel"/>
    <w:lvl w:ilvl="0">
      <w:lvlJc w:val="left"/>
      <w:lvlText w:val="^"/>
      <w:numFmt w:val="bullet"/>
      <w:start w:val="1"/>
    </w:lvl>
  </w:abstractNum>
  <w:abstractNum w:abstractNumId="144">
    <w:nsid w:val="E0D31FF"/>
    <w:multiLevelType w:val="hybridMultilevel"/>
    <w:lvl w:ilvl="0">
      <w:lvlJc w:val="left"/>
      <w:lvlText w:val="+"/>
      <w:numFmt w:val="bullet"/>
      <w:start w:val="1"/>
    </w:lvl>
  </w:abstractNum>
  <w:abstractNum w:abstractNumId="145">
    <w:nsid w:val="2FD0AD81"/>
    <w:multiLevelType w:val="hybridMultilevel"/>
    <w:lvl w:ilvl="0">
      <w:lvlJc w:val="left"/>
      <w:lvlText w:val="#"/>
      <w:numFmt w:val="bullet"/>
      <w:start w:val="1"/>
    </w:lvl>
  </w:abstractNum>
  <w:abstractNum w:abstractNumId="146">
    <w:nsid w:val="1978EBEB"/>
    <w:multiLevelType w:val="hybridMultilevel"/>
    <w:lvl w:ilvl="0">
      <w:lvlJc w:val="left"/>
      <w:lvlText w:val="%1."/>
      <w:numFmt w:val="decimal"/>
      <w:start w:val="1"/>
    </w:lvl>
  </w:abstractNum>
  <w:abstractNum w:abstractNumId="147">
    <w:nsid w:val="52C12C61"/>
    <w:multiLevelType w:val="hybridMultilevel"/>
    <w:lvl w:ilvl="0">
      <w:lvlJc w:val="left"/>
      <w:lvlText w:val="%1."/>
      <w:numFmt w:val="decimal"/>
      <w:start w:val="2"/>
    </w:lvl>
  </w:abstractNum>
  <w:abstractNum w:abstractNumId="148">
    <w:nsid w:val="4BDD53FD"/>
    <w:multiLevelType w:val="hybridMultilevel"/>
    <w:lvl w:ilvl="0">
      <w:lvlJc w:val="left"/>
      <w:lvlText w:val="(%1)"/>
      <w:numFmt w:val="lowerLetter"/>
      <w:start w:val="1"/>
    </w:lvl>
  </w:abstractNum>
  <w:abstractNum w:abstractNumId="149">
    <w:nsid w:val="569951FE"/>
    <w:multiLevelType w:val="hybridMultilevel"/>
    <w:lvl w:ilvl="0">
      <w:lvlJc w:val="left"/>
      <w:lvlText w:val="(%1)"/>
      <w:numFmt w:val="lowerLetter"/>
      <w:start w:val="2"/>
    </w:lvl>
  </w:abstractNum>
  <w:abstractNum w:abstractNumId="150">
    <w:nsid w:val="4C54E2C3"/>
    <w:multiLevelType w:val="hybridMultilevel"/>
    <w:lvl w:ilvl="0">
      <w:lvlJc w:val="left"/>
      <w:lvlText w:val="(%1)"/>
      <w:numFmt w:val="lowerLetter"/>
      <w:start w:val="4"/>
    </w:lvl>
  </w:abstractNum>
  <w:abstractNum w:abstractNumId="151">
    <w:nsid w:val="788BD9B"/>
    <w:multiLevelType w:val="hybridMultilevel"/>
    <w:lvl w:ilvl="0">
      <w:lvlJc w:val="left"/>
      <w:lvlText w:val="%1."/>
      <w:numFmt w:val="decimal"/>
      <w:start w:val="3"/>
    </w:lvl>
    <w:lvl w:ilvl="1">
      <w:lvlJc w:val="left"/>
      <w:lvlText w:val="(%2)"/>
      <w:numFmt w:val="lowerLetter"/>
      <w:start w:val="1"/>
    </w:lvl>
  </w:abstractNum>
  <w:abstractNum w:abstractNumId="152">
    <w:nsid w:val="47CAA567"/>
    <w:multiLevelType w:val="hybridMultilevel"/>
    <w:lvl w:ilvl="0">
      <w:lvlJc w:val="left"/>
      <w:lvlText w:val="(%1)"/>
      <w:numFmt w:val="lowerLetter"/>
      <w:start w:val="4"/>
    </w:lvl>
  </w:abstractNum>
  <w:abstractNum w:abstractNumId="153">
    <w:nsid w:val="48249DBF"/>
    <w:multiLevelType w:val="hybridMultilevel"/>
    <w:lvl w:ilvl="0">
      <w:lvlJc w:val="left"/>
      <w:lvlText w:val="(%1)"/>
      <w:numFmt w:val="lowerLetter"/>
      <w:start w:val="6"/>
    </w:lvl>
  </w:abstractNum>
  <w:abstractNum w:abstractNumId="154">
    <w:nsid w:val="1F0E5D0D"/>
    <w:multiLevelType w:val="hybridMultilevel"/>
    <w:lvl w:ilvl="0">
      <w:lvlJc w:val="left"/>
      <w:lvlText w:val="(%1)"/>
      <w:numFmt w:val="lowerLetter"/>
      <w:start w:val="8"/>
    </w:lvl>
  </w:abstractNum>
  <w:abstractNum w:abstractNumId="155">
    <w:nsid w:val="26BAAE9"/>
    <w:multiLevelType w:val="hybridMultilevel"/>
    <w:lvl w:ilvl="0">
      <w:lvlJc w:val="left"/>
      <w:lvlText w:val="(%1)"/>
      <w:numFmt w:val="lowerLetter"/>
      <w:start w:val="10"/>
    </w:lvl>
  </w:abstractNum>
  <w:abstractNum w:abstractNumId="156">
    <w:nsid w:val="2C02FE8C"/>
    <w:multiLevelType w:val="hybridMultilevel"/>
    <w:lvl w:ilvl="0">
      <w:lvlJc w:val="left"/>
      <w:lvlText w:val="(%1)"/>
      <w:numFmt w:val="lowerLetter"/>
      <w:start w:val="12"/>
    </w:lvl>
  </w:abstractNum>
  <w:abstractNum w:abstractNumId="157">
    <w:nsid w:val="129517E"/>
    <w:multiLevelType w:val="hybridMultilevel"/>
    <w:lvl w:ilvl="0">
      <w:lvlJc w:val="left"/>
      <w:lvlText w:val="(%1)"/>
      <w:numFmt w:val="lowerLetter"/>
      <w:start w:val="18"/>
    </w:lvl>
  </w:abstractNum>
  <w:abstractNum w:abstractNumId="158">
    <w:nsid w:val="763B8C4E"/>
    <w:multiLevelType w:val="hybridMultilevel"/>
    <w:lvl w:ilvl="0">
      <w:lvlJc w:val="left"/>
      <w:lvlText w:val="(%1)"/>
      <w:numFmt w:val="lowerLetter"/>
      <w:start w:val="21"/>
    </w:lvl>
  </w:abstractNum>
  <w:abstractNum w:abstractNumId="159">
    <w:nsid w:val="4CFB8D32"/>
    <w:multiLevelType w:val="hybridMultilevel"/>
    <w:lvl w:ilvl="0">
      <w:lvlJc w:val="left"/>
      <w:lvlText w:val="%1"/>
      <w:numFmt w:val="upperLetter"/>
      <w:start w:val="1"/>
    </w:lvl>
    <w:lvl w:ilvl="1">
      <w:lvlJc w:val="left"/>
      <w:lvlText w:val="(%2)"/>
      <w:numFmt w:val="lowerLetter"/>
      <w:start w:val="23"/>
    </w:lvl>
  </w:abstractNum>
  <w:abstractNum w:abstractNumId="160">
    <w:nsid w:val="62A5D5BD"/>
    <w:multiLevelType w:val="hybridMultilevel"/>
    <w:lvl w:ilvl="0">
      <w:lvlJc w:val="left"/>
      <w:lvlText w:val="(%1)"/>
      <w:numFmt w:val="upperLetter"/>
      <w:start w:val="1"/>
    </w:lvl>
    <w:lvl w:ilvl="1">
      <w:lvlJc w:val="left"/>
      <w:lvlText w:val="(%2)"/>
      <w:numFmt w:val="lowerLetter"/>
      <w:start w:val="24"/>
    </w:lvl>
  </w:abstractNum>
  <w:abstractNum w:abstractNumId="161">
    <w:nsid w:val="718FABF9"/>
    <w:multiLevelType w:val="hybridMultilevel"/>
    <w:lvl w:ilvl="0">
      <w:lvlJc w:val="left"/>
      <w:lvlText w:val="(%1)"/>
      <w:numFmt w:val="lowerLetter"/>
      <w:start w:val="27"/>
    </w:lvl>
  </w:abstractNum>
  <w:abstractNum w:abstractNumId="162">
    <w:nsid w:val="7775797C"/>
    <w:multiLevelType w:val="hybridMultilevel"/>
    <w:lvl w:ilvl="0">
      <w:lvlJc w:val="left"/>
      <w:lvlText w:val="(%1)"/>
      <w:numFmt w:val="lowerLetter"/>
      <w:start w:val="28"/>
    </w:lvl>
  </w:abstractNum>
  <w:abstractNum w:abstractNumId="163">
    <w:nsid w:val="1626FB8C"/>
    <w:multiLevelType w:val="hybridMultilevel"/>
    <w:lvl w:ilvl="0">
      <w:lvlJc w:val="left"/>
      <w:lvlText w:val="%1"/>
      <w:numFmt w:val="lowerLetter"/>
      <w:start w:val="1"/>
    </w:lvl>
    <w:lvl w:ilvl="1">
      <w:lvlJc w:val="left"/>
      <w:lvlText w:val="(%2)"/>
      <w:numFmt w:val="lowerLetter"/>
      <w:start w:val="30"/>
    </w:lvl>
  </w:abstractNum>
  <w:abstractNum w:abstractNumId="164">
    <w:nsid w:val="3957756A"/>
    <w:multiLevelType w:val="hybridMultilevel"/>
    <w:lvl w:ilvl="0">
      <w:lvlJc w:val="left"/>
      <w:lvlText w:val="(%1)"/>
      <w:numFmt w:val="lowerLetter"/>
      <w:start w:val="35"/>
    </w:lvl>
    <w:lvl w:ilvl="1">
      <w:lvlJc w:val="left"/>
      <w:lvlText w:val="%2"/>
      <w:numFmt w:val="lowerLetter"/>
      <w:start w:val="1"/>
    </w:lvl>
  </w:abstractNum>
  <w:abstractNum w:abstractNumId="165">
    <w:nsid w:val="3E6DA1C7"/>
    <w:multiLevelType w:val="hybridMultilevel"/>
    <w:lvl w:ilvl="0">
      <w:lvlJc w:val="left"/>
      <w:lvlText w:val="(%1)"/>
      <w:numFmt w:val="lowerRoman"/>
      <w:start w:val="8"/>
    </w:lvl>
    <w:lvl w:ilvl="1">
      <w:lvlJc w:val="left"/>
      <w:lvlText w:val="(%2)"/>
      <w:numFmt w:val="lowerLetter"/>
      <w:start w:val="32"/>
    </w:lvl>
  </w:abstractNum>
  <w:abstractNum w:abstractNumId="166">
    <w:nsid w:val="65CA235B"/>
    <w:multiLevelType w:val="hybridMultilevel"/>
    <w:lvl w:ilvl="0">
      <w:lvlJc w:val="left"/>
      <w:lvlText w:val="(%1)"/>
      <w:numFmt w:val="lowerLetter"/>
      <w:start w:val="34"/>
    </w:lvl>
  </w:abstractNum>
  <w:abstractNum w:abstractNumId="167">
    <w:nsid w:val="51CB0DA4"/>
    <w:multiLevelType w:val="hybridMultilevel"/>
    <w:lvl w:ilvl="0">
      <w:lvlJc w:val="left"/>
      <w:lvlText w:val="%1"/>
      <w:numFmt w:val="lowerRoman"/>
      <w:start w:val="1"/>
    </w:lvl>
    <w:lvl w:ilvl="1">
      <w:lvlJc w:val="left"/>
      <w:lvlText w:val="(%2)"/>
      <w:numFmt w:val="lowerLetter"/>
      <w:start w:val="36"/>
    </w:lvl>
  </w:abstractNum>
  <w:abstractNum w:abstractNumId="168">
    <w:nsid w:val="7B9B743C"/>
    <w:multiLevelType w:val="hybridMultilevel"/>
    <w:lvl w:ilvl="0">
      <w:lvlJc w:val="left"/>
      <w:lvlText w:val="(%1)"/>
      <w:numFmt w:val="lowerRoman"/>
      <w:start w:val="4"/>
    </w:lvl>
    <w:lvl w:ilvl="1">
      <w:lvlJc w:val="left"/>
      <w:lvlText w:val="%2"/>
      <w:numFmt w:val="lowerLetter"/>
      <w:start w:val="1"/>
    </w:lvl>
  </w:abstractNum>
  <w:abstractNum w:abstractNumId="169">
    <w:nsid w:val="13E21002"/>
    <w:multiLevelType w:val="hybridMultilevel"/>
    <w:lvl w:ilvl="0">
      <w:lvlJc w:val="left"/>
      <w:lvlText w:val="(%1)"/>
      <w:numFmt w:val="lowerLetter"/>
      <w:start w:val="37"/>
    </w:lvl>
  </w:abstractNum>
  <w:abstractNum w:abstractNumId="170">
    <w:nsid w:val="257D63F4"/>
    <w:multiLevelType w:val="hybridMultilevel"/>
    <w:lvl w:ilvl="0">
      <w:lvlJc w:val="left"/>
      <w:lvlText w:val="(%1)"/>
      <w:numFmt w:val="lowerLetter"/>
      <w:start w:val="39"/>
    </w:lvl>
  </w:abstractNum>
  <w:abstractNum w:abstractNumId="171">
    <w:nsid w:val="70EC11B2"/>
    <w:multiLevelType w:val="hybridMultilevel"/>
    <w:lvl w:ilvl="0">
      <w:lvlJc w:val="left"/>
      <w:lvlText w:val="%1"/>
      <w:numFmt w:val="decimal"/>
      <w:start w:val="1"/>
    </w:lvl>
    <w:lvl w:ilvl="1">
      <w:lvlJc w:val="left"/>
      <w:lvlText w:val="(%2)"/>
      <w:numFmt w:val="lowerLetter"/>
      <w:start w:val="47"/>
    </w:lvl>
  </w:abstractNum>
  <w:abstractNum w:abstractNumId="172">
    <w:nsid w:val="2EDA00ED"/>
    <w:multiLevelType w:val="hybridMultilevel"/>
    <w:lvl w:ilvl="0">
      <w:lvlJc w:val="left"/>
      <w:lvlText w:val="%1."/>
      <w:numFmt w:val="decimal"/>
      <w:start w:val="4"/>
    </w:lvl>
    <w:lvl w:ilvl="1">
      <w:lvlJc w:val="left"/>
      <w:lvlText w:val="(%2)"/>
      <w:numFmt w:val="lowerLetter"/>
      <w:start w:val="1"/>
    </w:lvl>
  </w:abstractNum>
  <w:abstractNum w:abstractNumId="173">
    <w:nsid w:val="73209072"/>
    <w:multiLevelType w:val="hybridMultilevel"/>
    <w:lvl w:ilvl="0">
      <w:lvlJc w:val="left"/>
      <w:lvlText w:val="(%1)"/>
      <w:numFmt w:val="lowerLetter"/>
      <w:start w:val="2"/>
    </w:lvl>
  </w:abstractNum>
  <w:abstractNum w:abstractNumId="174">
    <w:nsid w:val="5FB29816"/>
    <w:multiLevelType w:val="hybridMultilevel"/>
    <w:lvl w:ilvl="0">
      <w:lvlJc w:val="left"/>
      <w:lvlText w:val="(%1)"/>
      <w:numFmt w:val="lowerLetter"/>
      <w:start w:val="5"/>
    </w:lvl>
  </w:abstractNum>
  <w:abstractNum w:abstractNumId="175">
    <w:nsid w:val="3CE732EC"/>
    <w:multiLevelType w:val="hybridMultilevel"/>
    <w:lvl w:ilvl="0">
      <w:lvlJc w:val="left"/>
      <w:lvlText w:val="(%1)"/>
      <w:numFmt w:val="lowerLetter"/>
      <w:start w:val="6"/>
    </w:lvl>
  </w:abstractNum>
  <w:abstractNum w:abstractNumId="176">
    <w:nsid w:val="22F13DF3"/>
    <w:multiLevelType w:val="hybridMultilevel"/>
    <w:lvl w:ilvl="0">
      <w:lvlJc w:val="left"/>
      <w:lvlText w:val="(%1)"/>
      <w:numFmt w:val="lowerLetter"/>
      <w:start w:val="9"/>
    </w:lvl>
  </w:abstractNum>
  <w:abstractNum w:abstractNumId="177">
    <w:nsid w:val="792B8401"/>
    <w:multiLevelType w:val="hybridMultilevel"/>
    <w:lvl w:ilvl="0">
      <w:lvlJc w:val="left"/>
      <w:lvlText w:val="%1"/>
      <w:numFmt w:val="decimal"/>
      <w:start w:val="1"/>
    </w:lvl>
    <w:lvl w:ilvl="1">
      <w:lvlJc w:val="left"/>
      <w:lvlText w:val="(%2)"/>
      <w:numFmt w:val="lowerLetter"/>
      <w:start w:val="15"/>
    </w:lvl>
  </w:abstractNum>
  <w:abstractNum w:abstractNumId="178">
    <w:nsid w:val="FA85F4D"/>
    <w:multiLevelType w:val="hybridMultilevel"/>
    <w:lvl w:ilvl="0">
      <w:lvlJc w:val="left"/>
      <w:lvlText w:val="%1."/>
      <w:numFmt w:val="decimal"/>
      <w:start w:val="5"/>
    </w:lvl>
    <w:lvl w:ilvl="1">
      <w:lvlJc w:val="left"/>
      <w:lvlText w:val="(%2)"/>
      <w:numFmt w:val="lowerLetter"/>
      <w:start w:val="1"/>
    </w:lvl>
  </w:abstractNum>
  <w:abstractNum w:abstractNumId="179">
    <w:nsid w:val="6ECE91F0"/>
    <w:multiLevelType w:val="hybridMultilevel"/>
    <w:lvl w:ilvl="0">
      <w:lvlJc w:val="left"/>
      <w:lvlText w:val="(%1)"/>
      <w:numFmt w:val="lowerLetter"/>
      <w:start w:val="2"/>
    </w:lvl>
  </w:abstractNum>
  <w:abstractNum w:abstractNumId="180">
    <w:nsid w:val="4FC4D600"/>
    <w:multiLevelType w:val="hybridMultilevel"/>
    <w:lvl w:ilvl="0">
      <w:lvlJc w:val="left"/>
      <w:lvlText w:val="(%1)"/>
      <w:numFmt w:val="lowerLetter"/>
      <w:start w:val="6"/>
    </w:lvl>
  </w:abstractNum>
  <w:abstractNum w:abstractNumId="181">
    <w:nsid w:val="5BFD4210"/>
    <w:multiLevelType w:val="hybridMultilevel"/>
    <w:lvl w:ilvl="0">
      <w:lvlJc w:val="left"/>
      <w:lvlText w:val="(%1)"/>
      <w:numFmt w:val="lowerLetter"/>
      <w:start w:val="13"/>
    </w:lvl>
  </w:abstractNum>
  <w:abstractNum w:abstractNumId="182">
    <w:nsid w:val="76574F8B"/>
    <w:multiLevelType w:val="hybridMultilevel"/>
    <w:lvl w:ilvl="0">
      <w:lvlJc w:val="left"/>
      <w:lvlText w:val="%1."/>
      <w:numFmt w:val="decimal"/>
      <w:start w:val="7"/>
    </w:lvl>
  </w:abstractNum>
  <w:abstractNum w:abstractNumId="183">
    <w:nsid w:val="178F7B67"/>
    <w:multiLevelType w:val="hybridMultilevel"/>
    <w:lvl w:ilvl="0">
      <w:lvlJc w:val="left"/>
      <w:lvlText w:val="(%1)"/>
      <w:numFmt w:val="lowerLetter"/>
      <w:start w:val="1"/>
    </w:lvl>
  </w:abstractNum>
  <w:abstractNum w:abstractNumId="184">
    <w:nsid w:val="2421DFCF"/>
    <w:multiLevelType w:val="hybridMultilevel"/>
    <w:lvl w:ilvl="0">
      <w:lvlJc w:val="left"/>
      <w:lvlText w:val="(%1)"/>
      <w:numFmt w:val="lowerLetter"/>
      <w:start w:val="3"/>
    </w:lvl>
  </w:abstractNum>
  <w:abstractNum w:abstractNumId="185">
    <w:nsid w:val="1565AC99"/>
    <w:multiLevelType w:val="hybridMultilevel"/>
    <w:lvl w:ilvl="0">
      <w:lvlJc w:val="left"/>
      <w:lvlText w:val="(%1)"/>
      <w:numFmt w:val="lowerLetter"/>
      <w:start w:val="4"/>
    </w:lvl>
  </w:abstractNum>
  <w:abstractNum w:abstractNumId="186">
    <w:nsid w:val="19FB2650"/>
    <w:multiLevelType w:val="hybridMultilevel"/>
    <w:lvl w:ilvl="0">
      <w:lvlJc w:val="left"/>
      <w:lvlText w:val="(%1)"/>
      <w:numFmt w:val="lowerLetter"/>
      <w:start w:val="5"/>
    </w:lvl>
  </w:abstractNum>
  <w:abstractNum w:abstractNumId="187">
    <w:nsid w:val="5024DE5B"/>
    <w:multiLevelType w:val="hybridMultilevel"/>
    <w:lvl w:ilvl="0">
      <w:lvlJc w:val="left"/>
      <w:lvlText w:val="%1."/>
      <w:numFmt w:val="decimal"/>
      <w:start w:val="8"/>
    </w:lvl>
  </w:abstractNum>
  <w:abstractNum w:abstractNumId="188">
    <w:nsid w:val="168EFE17"/>
    <w:multiLevelType w:val="hybridMultilevel"/>
    <w:lvl w:ilvl="0">
      <w:lvlJc w:val="left"/>
      <w:lvlText w:val="(%1)"/>
      <w:numFmt w:val="lowerLetter"/>
      <w:start w:val="1"/>
    </w:lvl>
  </w:abstractNum>
  <w:abstractNum w:abstractNumId="189">
    <w:nsid w:val="1036B29F"/>
    <w:multiLevelType w:val="hybridMultilevel"/>
    <w:lvl w:ilvl="0">
      <w:lvlJc w:val="left"/>
      <w:lvlText w:val="(%1)"/>
      <w:numFmt w:val="lowerLetter"/>
      <w:start w:val="2"/>
    </w:lvl>
  </w:abstractNum>
  <w:abstractNum w:abstractNumId="190">
    <w:nsid w:val="1D206B8E"/>
    <w:multiLevelType w:val="hybridMultilevel"/>
    <w:lvl w:ilvl="0">
      <w:lvlJc w:val="left"/>
      <w:lvlText w:val="%1."/>
      <w:numFmt w:val="decimal"/>
      <w:start w:val="11"/>
    </w:lvl>
  </w:abstractNum>
  <w:abstractNum w:abstractNumId="191">
    <w:nsid w:val="7934D3D4"/>
    <w:multiLevelType w:val="hybridMultilevel"/>
    <w:lvl w:ilvl="0">
      <w:lvlJc w:val="left"/>
      <w:lvlText w:val="%1"/>
      <w:numFmt w:val="lowerRoman"/>
      <w:start w:val="1"/>
    </w:lvl>
    <w:lvl w:ilvl="1">
      <w:lvlJc w:val="left"/>
      <w:lvlText w:val="(%2)"/>
      <w:numFmt w:val="lowerLetter"/>
      <w:start w:val="1"/>
    </w:lvl>
  </w:abstractNum>
  <w:abstractNum w:abstractNumId="192">
    <w:nsid w:val="1C65E98"/>
    <w:multiLevelType w:val="hybridMultilevel"/>
    <w:lvl w:ilvl="0">
      <w:lvlJc w:val="left"/>
      <w:lvlText w:val="(%1)"/>
      <w:numFmt w:val="lowerRoman"/>
      <w:start w:val="7"/>
    </w:lvl>
    <w:lvl w:ilvl="1">
      <w:lvlJc w:val="left"/>
      <w:lvlText w:val="(%2)"/>
      <w:numFmt w:val="lowerLetter"/>
      <w:start w:val="2"/>
    </w:lvl>
  </w:abstractNum>
  <w:abstractNum w:abstractNumId="193">
    <w:nsid w:val="1495E50A"/>
    <w:multiLevelType w:val="hybridMultilevel"/>
    <w:lvl w:ilvl="0">
      <w:lvlJc w:val="left"/>
      <w:lvlText w:val="%1"/>
      <w:numFmt w:val="upperLetter"/>
      <w:start w:val="1"/>
    </w:lvl>
    <w:lvl w:ilvl="1">
      <w:lvlJc w:val="left"/>
      <w:lvlText w:val="%2."/>
      <w:numFmt w:val="decimal"/>
      <w:start w:val="12"/>
    </w:lvl>
  </w:abstractNum>
  <w:abstractNum w:abstractNumId="194">
    <w:nsid w:val="F5BCF61"/>
    <w:multiLevelType w:val="hybridMultilevel"/>
    <w:lvl w:ilvl="0">
      <w:lvlJc w:val="left"/>
      <w:lvlText w:val="(%1)"/>
      <w:numFmt w:val="lowerLetter"/>
      <w:start w:val="1"/>
    </w:lvl>
  </w:abstractNum>
  <w:abstractNum w:abstractNumId="195">
    <w:nsid w:val="3B1DD403"/>
    <w:multiLevelType w:val="hybridMultilevel"/>
    <w:lvl w:ilvl="0">
      <w:lvlJc w:val="left"/>
      <w:lvlText w:val="(%1)"/>
      <w:numFmt w:val="lowerLetter"/>
      <w:start w:val="2"/>
    </w:lvl>
    <w:lvl w:ilvl="1">
      <w:lvlJc w:val="left"/>
      <w:lvlText w:val="(%2)"/>
      <w:numFmt w:val="lowerRoman"/>
      <w:start w:val="1"/>
    </w:lvl>
  </w:abstractNum>
  <w:abstractNum w:abstractNumId="196">
    <w:nsid w:val="530386D1"/>
    <w:multiLevelType w:val="hybridMultilevel"/>
    <w:lvl w:ilvl="0">
      <w:lvlJc w:val="left"/>
      <w:lvlText w:val="(%1)"/>
      <w:numFmt w:val="lowerRoman"/>
      <w:start w:val="1"/>
    </w:lvl>
  </w:abstractNum>
  <w:abstractNum w:abstractNumId="197">
    <w:nsid w:val="7525F2BC"/>
    <w:multiLevelType w:val="hybridMultilevel"/>
    <w:lvl w:ilvl="0">
      <w:lvlJc w:val="left"/>
      <w:lvlText w:val="(%1)"/>
      <w:numFmt w:val="lowerLetter"/>
      <w:start w:val="6"/>
    </w:lvl>
  </w:abstractNum>
  <w:abstractNum w:abstractNumId="198">
    <w:nsid w:val="CE8E1A7"/>
    <w:multiLevelType w:val="hybridMultilevel"/>
    <w:lvl w:ilvl="0">
      <w:lvlJc w:val="left"/>
      <w:lvlText w:val="%1."/>
      <w:numFmt w:val="lowerLetter"/>
      <w:start w:val="1"/>
    </w:lvl>
  </w:abstractNum>
  <w:abstractNum w:abstractNumId="199">
    <w:nsid w:val="4E9EFB0D"/>
    <w:multiLevelType w:val="hybridMultilevel"/>
    <w:lvl w:ilvl="0">
      <w:lvlJc w:val="left"/>
      <w:lvlText w:val="%1."/>
      <w:numFmt w:val="lowerLetter"/>
      <w:start w:val="2"/>
    </w:lvl>
  </w:abstractNum>
  <w:abstractNum w:abstractNumId="200">
    <w:nsid w:val="90802BE"/>
    <w:multiLevelType w:val="hybridMultilevel"/>
    <w:lvl w:ilvl="0">
      <w:lvlJc w:val="left"/>
      <w:lvlText w:val="(%1)"/>
      <w:numFmt w:val="lowerRoman"/>
      <w:start w:val="1"/>
    </w:lvl>
  </w:abstractNum>
  <w:abstractNum w:abstractNumId="201">
    <w:nsid w:val="3266459B"/>
    <w:multiLevelType w:val="hybridMultilevel"/>
    <w:lvl w:ilvl="0">
      <w:lvlJc w:val="left"/>
      <w:lvlText w:val="%1"/>
      <w:numFmt w:val="lowerRoman"/>
      <w:start w:val="1"/>
    </w:lvl>
    <w:lvl w:ilvl="1">
      <w:lvlJc w:val="left"/>
      <w:lvlText w:val="(%2)"/>
      <w:numFmt w:val="lowerRoman"/>
      <w:start w:val="5"/>
    </w:lvl>
  </w:abstractNum>
  <w:abstractNum w:abstractNumId="202">
    <w:nsid w:val="3F8B0CBF"/>
    <w:multiLevelType w:val="hybridMultilevel"/>
    <w:lvl w:ilvl="0">
      <w:lvlJc w:val="left"/>
      <w:lvlText w:val="(%1)"/>
      <w:numFmt w:val="lowerRoman"/>
      <w:start w:val="1"/>
    </w:lvl>
    <w:lvl w:ilvl="1">
      <w:lvlJc w:val="left"/>
      <w:lvlText w:val="(%2)"/>
      <w:numFmt w:val="lowerRoman"/>
      <w:start w:val="6"/>
    </w:lvl>
  </w:abstractNum>
  <w:abstractNum w:abstractNumId="203">
    <w:nsid w:val="37E203AB"/>
    <w:multiLevelType w:val="hybridMultilevel"/>
    <w:lvl w:ilvl="0">
      <w:lvlJc w:val="left"/>
      <w:lvlText w:val="(%1)"/>
      <w:numFmt w:val="lowerLetter"/>
      <w:start w:val="2"/>
    </w:lvl>
  </w:abstractNum>
  <w:abstractNum w:abstractNumId="204">
    <w:nsid w:val="2586D60E"/>
    <w:multiLevelType w:val="hybridMultilevel"/>
    <w:lvl w:ilvl="0">
      <w:lvlJc w:val="left"/>
      <w:lvlText w:val="1"/>
      <w:numFmt w:val="bullet"/>
      <w:start w:val="1"/>
    </w:lvl>
  </w:abstractNum>
  <w:abstractNum w:abstractNumId="205">
    <w:nsid w:val="1F3DA4D5"/>
    <w:multiLevelType w:val="hybridMultilevel"/>
    <w:lvl w:ilvl="0">
      <w:lvlJc w:val="left"/>
      <w:lvlText w:val="%1."/>
      <w:numFmt w:val="decimal"/>
      <w:start w:val="1"/>
    </w:lvl>
  </w:abstractNum>
  <w:abstractNum w:abstractNumId="206">
    <w:nsid w:val="74C93698"/>
    <w:multiLevelType w:val="hybridMultilevel"/>
    <w:lvl w:ilvl="0">
      <w:lvlJc w:val="left"/>
      <w:lvlText w:val="(%1)"/>
      <w:numFmt w:val="lowerRoman"/>
      <w:start w:val="1"/>
    </w:lvl>
  </w:abstractNum>
  <w:abstractNum w:abstractNumId="207">
    <w:nsid w:val="48781401"/>
    <w:multiLevelType w:val="hybridMultilevel"/>
    <w:lvl w:ilvl="0">
      <w:lvlJc w:val="left"/>
      <w:lvlText w:val="%1."/>
      <w:numFmt w:val="upperLetter"/>
      <w:start w:val="1"/>
    </w:lvl>
    <w:lvl w:ilvl="1">
      <w:lvlJc w:val="left"/>
      <w:lvlText w:val="%2."/>
      <w:numFmt w:val="decimal"/>
      <w:start w:val="1"/>
    </w:lvl>
  </w:abstractNum>
  <w:abstractNum w:abstractNumId="208">
    <w:nsid w:val="186928D6"/>
    <w:multiLevelType w:val="hybridMultilevel"/>
    <w:lvl w:ilvl="0">
      <w:lvlJc w:val="left"/>
      <w:lvlText w:val="(%1)"/>
      <w:numFmt w:val="lowerRoman"/>
      <w:start w:val="1"/>
    </w:lvl>
    <w:lvl w:ilvl="1">
      <w:lvlJc w:val="left"/>
      <w:lvlText w:val="-"/>
      <w:numFmt w:val="bullet"/>
      <w:start w:val="1"/>
    </w:lvl>
  </w:abstractNum>
  <w:abstractNum w:abstractNumId="209">
    <w:nsid w:val="47195E5"/>
    <w:multiLevelType w:val="hybridMultilevel"/>
    <w:lvl w:ilvl="0">
      <w:lvlJc w:val="left"/>
      <w:lvlText w:val="(%1)"/>
      <w:numFmt w:val="lowerRoman"/>
      <w:start w:val="4"/>
    </w:lvl>
  </w:abstractNum>
  <w:abstractNum w:abstractNumId="210">
    <w:nsid w:val="3746A5F2"/>
    <w:multiLevelType w:val="hybridMultilevel"/>
    <w:lvl w:ilvl="0">
      <w:lvlJc w:val="left"/>
      <w:lvlText w:val="(%1)"/>
      <w:numFmt w:val="lowerRoman"/>
      <w:start w:val="1"/>
    </w:lvl>
    <w:lvl w:ilvl="1">
      <w:lvlJc w:val="left"/>
      <w:lvlText w:val="-"/>
      <w:numFmt w:val="bullet"/>
      <w:start w:val="1"/>
    </w:lvl>
  </w:abstractNum>
  <w:abstractNum w:abstractNumId="211">
    <w:nsid w:val="682DFED6"/>
    <w:multiLevelType w:val="hybridMultilevel"/>
    <w:lvl w:ilvl="0">
      <w:lvlJc w:val="left"/>
      <w:lvlText w:val="(%1)"/>
      <w:numFmt w:val="lowerRoman"/>
      <w:start w:val="4"/>
    </w:lvl>
  </w:abstractNum>
  <w:abstractNum w:abstractNumId="212">
    <w:nsid w:val="606ED7F6"/>
    <w:multiLevelType w:val="hybridMultilevel"/>
    <w:lvl w:ilvl="0">
      <w:lvlJc w:val="left"/>
      <w:lvlText w:val="%1"/>
      <w:numFmt w:val="upperLetter"/>
      <w:start w:val="1"/>
    </w:lvl>
    <w:lvl w:ilvl="1">
      <w:lvlJc w:val="left"/>
      <w:lvlText w:val="%2."/>
      <w:numFmt w:val="decimal"/>
      <w:start w:val="5"/>
    </w:lvl>
  </w:abstractNum>
  <w:abstractNum w:abstractNumId="213">
    <w:nsid w:val="2D9DF57D"/>
    <w:multiLevelType w:val="hybridMultilevel"/>
    <w:lvl w:ilvl="0">
      <w:lvlJc w:val="left"/>
      <w:lvlText w:val="%1."/>
      <w:numFmt w:val="upperLetter"/>
      <w:start w:val="2"/>
    </w:lvl>
    <w:lvl w:ilvl="1">
      <w:lvlJc w:val="left"/>
      <w:lvlText w:val="%2"/>
      <w:numFmt w:val="decimal"/>
      <w:start w:val="1"/>
    </w:lvl>
  </w:abstractNum>
  <w:abstractNum w:abstractNumId="214">
    <w:nsid w:val="7FBD7A3E"/>
    <w:multiLevelType w:val="hybridMultilevel"/>
    <w:lvl w:ilvl="0">
      <w:lvlJc w:val="left"/>
      <w:lvlText w:val="%1."/>
      <w:numFmt w:val="decimal"/>
      <w:start w:val="1"/>
    </w:lvl>
  </w:abstractNum>
  <w:abstractNum w:abstractNumId="215">
    <w:nsid w:val="490B7C5"/>
    <w:multiLevelType w:val="hybridMultilevel"/>
    <w:lvl w:ilvl="0">
      <w:lvlJc w:val="left"/>
      <w:lvlText w:val="%1."/>
      <w:numFmt w:val="decimal"/>
      <w:start w:val="2"/>
    </w:lvl>
  </w:abstractNum>
  <w:abstractNum w:abstractNumId="216">
    <w:nsid w:val="4303A216"/>
    <w:multiLevelType w:val="hybridMultilevel"/>
    <w:lvl w:ilvl="0">
      <w:lvlJc w:val="left"/>
      <w:lvlText w:val="(%1)"/>
      <w:numFmt w:val="lowerLetter"/>
      <w:start w:val="1"/>
    </w:lvl>
    <w:lvl w:ilvl="1">
      <w:lvlJc w:val="left"/>
      <w:lvlText w:val="(%2)"/>
      <w:numFmt w:val="lowerRoman"/>
      <w:start w:val="1"/>
    </w:lvl>
  </w:abstractNum>
  <w:abstractNum w:abstractNumId="217">
    <w:nsid w:val="19B8A08E"/>
    <w:multiLevelType w:val="hybridMultilevel"/>
    <w:lvl w:ilvl="0">
      <w:lvlJc w:val="left"/>
      <w:lvlText w:val="(%1)"/>
      <w:numFmt w:val="lowerLetter"/>
      <w:start w:val="2"/>
    </w:lvl>
  </w:abstractNum>
  <w:abstractNum w:abstractNumId="218">
    <w:nsid w:val="54B59621"/>
    <w:multiLevelType w:val="hybridMultilevel"/>
    <w:lvl w:ilvl="0">
      <w:lvlJc w:val="left"/>
      <w:lvlText w:val="(%1)"/>
      <w:numFmt w:val="lowerLetter"/>
      <w:start w:val="1"/>
    </w:lvl>
    <w:lvl w:ilvl="1">
      <w:lvlJc w:val="left"/>
      <w:lvlText w:val="-"/>
      <w:numFmt w:val="bullet"/>
      <w:start w:val="1"/>
    </w:lvl>
  </w:abstractNum>
  <w:abstractNum w:abstractNumId="219">
    <w:nsid w:val="5992A02E"/>
    <w:multiLevelType w:val="hybridMultilevel"/>
    <w:lvl w:ilvl="0">
      <w:lvlJc w:val="left"/>
      <w:lvlText w:val="(%1)"/>
      <w:numFmt w:val="lowerLetter"/>
      <w:start w:val="1"/>
    </w:lvl>
    <w:lvl w:ilvl="1">
      <w:lvlJc w:val="left"/>
      <w:lvlText w:val="-"/>
      <w:numFmt w:val="bullet"/>
      <w:start w:val="1"/>
    </w:lvl>
  </w:abstractNum>
  <w:abstractNum w:abstractNumId="220">
    <w:nsid w:val="29EF532D"/>
    <w:multiLevelType w:val="hybridMultilevel"/>
    <w:lvl w:ilvl="0">
      <w:lvlJc w:val="left"/>
      <w:lvlText w:val="%1."/>
      <w:numFmt w:val="decimal"/>
      <w:start w:val="3"/>
    </w:lvl>
  </w:abstractNum>
  <w:abstractNum w:abstractNumId="221">
    <w:nsid w:val="71D601AF"/>
    <w:multiLevelType w:val="hybridMultilevel"/>
    <w:lvl w:ilvl="0">
      <w:lvlJc w:val="left"/>
      <w:lvlText w:val="%1."/>
      <w:numFmt w:val="decimal"/>
      <w:start w:val="4"/>
    </w:lvl>
  </w:abstractNum>
  <w:abstractNum w:abstractNumId="222">
    <w:nsid w:val="52C77402"/>
    <w:multiLevelType w:val="hybridMultilevel"/>
    <w:lvl w:ilvl="0">
      <w:lvlJc w:val="left"/>
      <w:lvlText w:val="(%1)"/>
      <w:numFmt w:val="lowerRoman"/>
      <w:start w:val="1"/>
    </w:lvl>
    <w:lvl w:ilvl="1">
      <w:lvlJc w:val="left"/>
      <w:lvlText w:val="-"/>
      <w:numFmt w:val="bullet"/>
      <w:start w:val="1"/>
    </w:lvl>
  </w:abstractNum>
  <w:abstractNum w:abstractNumId="223">
    <w:nsid w:val="2BB5B1C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24">
    <w:nsid w:val="66BE6B9"/>
    <w:multiLevelType w:val="hybridMultilevel"/>
    <w:lvl w:ilvl="0">
      <w:lvlJc w:val="left"/>
      <w:lvlText w:val="(%1)"/>
      <w:numFmt w:val="lowerRoman"/>
      <w:start w:val="5"/>
    </w:lvl>
    <w:lvl w:ilvl="1">
      <w:lvlJc w:val="left"/>
      <w:lvlText w:val="-"/>
      <w:numFmt w:val="bullet"/>
      <w:start w:val="1"/>
    </w:lvl>
  </w:abstractNum>
  <w:abstractNum w:abstractNumId="225">
    <w:nsid w:val="62234363"/>
    <w:multiLevelType w:val="hybridMultilevel"/>
    <w:lvl w:ilvl="0">
      <w:lvlJc w:val="left"/>
      <w:lvlText w:val="(%1)"/>
      <w:numFmt w:val="lowerRoman"/>
      <w:start w:val="10"/>
    </w:lvl>
  </w:abstractNum>
  <w:abstractNum w:abstractNumId="226">
    <w:nsid w:val="66D385C9"/>
    <w:multiLevelType w:val="hybridMultilevel"/>
    <w:lvl w:ilvl="0">
      <w:lvlJc w:val="left"/>
      <w:lvlText w:val="(%1)"/>
      <w:numFmt w:val="lowerLetter"/>
      <w:start w:val="1"/>
    </w:lvl>
    <w:lvl w:ilvl="1">
      <w:lvlJc w:val="left"/>
      <w:lvlText w:val="-"/>
      <w:numFmt w:val="bullet"/>
      <w:start w:val="1"/>
    </w:lvl>
  </w:abstractNum>
  <w:abstractNum w:abstractNumId="227">
    <w:nsid w:val="596F6D8A"/>
    <w:multiLevelType w:val="hybridMultilevel"/>
    <w:lvl w:ilvl="0">
      <w:lvlJc w:val="left"/>
      <w:lvlText w:val="(%1)"/>
      <w:numFmt w:val="decimal"/>
      <w:start w:val="2"/>
    </w:lvl>
    <w:lvl w:ilvl="1">
      <w:lvlJc w:val="left"/>
      <w:lvlText w:val="-"/>
      <w:numFmt w:val="bullet"/>
      <w:start w:val="1"/>
    </w:lvl>
  </w:abstractNum>
  <w:abstractNum w:abstractNumId="228">
    <w:nsid w:val="5749361F"/>
    <w:multiLevelType w:val="hybridMultilevel"/>
    <w:lvl w:ilvl="0">
      <w:lvlJc w:val="left"/>
      <w:lvlText w:val="(%1)"/>
      <w:numFmt w:val="lowerLetter"/>
      <w:start w:val="3"/>
    </w:lvl>
    <w:lvl w:ilvl="1">
      <w:lvlJc w:val="left"/>
      <w:lvlText w:val="-"/>
      <w:numFmt w:val="bullet"/>
      <w:start w:val="1"/>
    </w:lvl>
  </w:abstractNum>
  <w:abstractNum w:abstractNumId="229">
    <w:nsid w:val="73BC6770"/>
    <w:multiLevelType w:val="hybridMultilevel"/>
    <w:lvl w:ilvl="0">
      <w:lvlJc w:val="left"/>
      <w:lvlText w:val="(%1)"/>
      <w:numFmt w:val="lowerLetter"/>
      <w:start w:val="4"/>
    </w:lvl>
  </w:abstractNum>
  <w:abstractNum w:abstractNumId="230">
    <w:nsid w:val="280E6897"/>
    <w:multiLevelType w:val="hybridMultilevel"/>
    <w:lvl w:ilvl="0">
      <w:lvlJc w:val="left"/>
      <w:lvlText w:val="(%1)"/>
      <w:numFmt w:val="lowerLetter"/>
      <w:start w:val="1"/>
    </w:lvl>
  </w:abstractNum>
  <w:abstractNum w:abstractNumId="231">
    <w:nsid w:val="605138D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32">
    <w:nsid w:val="2622AD0C"/>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233">
    <w:nsid w:val="67997556"/>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34">
    <w:nsid w:val="18333C89"/>
    <w:multiLevelType w:val="hybridMultilevel"/>
    <w:lvl w:ilvl="0">
      <w:lvlJc w:val="left"/>
      <w:lvlText w:val="(%1)"/>
      <w:numFmt w:val="decimal"/>
      <w:start w:val="1"/>
    </w:lvl>
  </w:abstractNum>
  <w:abstractNum w:abstractNumId="235">
    <w:nsid w:val="4BA9831A"/>
    <w:multiLevelType w:val="hybridMultilevel"/>
    <w:lvl w:ilvl="0">
      <w:lvlJc w:val="left"/>
      <w:lvlText w:val="(%1)"/>
      <w:numFmt w:val="lowerLetter"/>
      <w:start w:val="1"/>
    </w:lvl>
    <w:lvl w:ilvl="1">
      <w:lvlJc w:val="left"/>
      <w:lvlText w:val="-"/>
      <w:numFmt w:val="bullet"/>
      <w:start w:val="1"/>
    </w:lvl>
  </w:abstractNum>
  <w:abstractNum w:abstractNumId="236">
    <w:nsid w:val="6D71A2B"/>
    <w:multiLevelType w:val="hybridMultilevel"/>
    <w:lvl w:ilvl="0">
      <w:lvlJc w:val="left"/>
      <w:lvlText w:val="%1."/>
      <w:numFmt w:val="decimal"/>
      <w:start w:val="5"/>
    </w:lvl>
  </w:abstractNum>
  <w:abstractNum w:abstractNumId="237">
    <w:nsid w:val="CFC7321"/>
    <w:multiLevelType w:val="hybridMultilevel"/>
    <w:lvl w:ilvl="0">
      <w:lvlJc w:val="left"/>
      <w:lvlText w:val="(%1)"/>
      <w:numFmt w:val="lowerRoman"/>
      <w:start w:val="1"/>
    </w:lvl>
  </w:abstractNum>
  <w:abstractNum w:abstractNumId="238">
    <w:nsid w:val="1421971B"/>
    <w:multiLevelType w:val="hybridMultilevel"/>
    <w:lvl w:ilvl="0">
      <w:lvlJc w:val="left"/>
      <w:lvlText w:val="%1."/>
      <w:numFmt w:val="decimal"/>
      <w:start w:val="6"/>
    </w:lvl>
  </w:abstractNum>
  <w:abstractNum w:abstractNumId="239">
    <w:nsid w:val="1F404301"/>
    <w:multiLevelType w:val="hybridMultilevel"/>
    <w:lvl w:ilvl="0">
      <w:lvlJc w:val="left"/>
      <w:lvlText w:val="%1."/>
      <w:numFmt w:val="decimal"/>
      <w:start w:val="3"/>
    </w:lvl>
    <w:lvl w:ilvl="1">
      <w:lvlJc w:val="left"/>
      <w:lvlText w:val="-"/>
      <w:numFmt w:val="bullet"/>
      <w:start w:val="1"/>
    </w:lvl>
  </w:abstractNum>
  <w:abstractNum w:abstractNumId="240">
    <w:nsid w:val="116E0907"/>
    <w:multiLevelType w:val="hybridMultilevel"/>
    <w:lvl w:ilvl="0">
      <w:lvlJc w:val="left"/>
      <w:lvlText w:val="%1."/>
      <w:numFmt w:val="decimal"/>
      <w:start w:val="1"/>
    </w:lvl>
  </w:abstractNum>
  <w:abstractNum w:abstractNumId="241">
    <w:nsid w:val="4B683D0D"/>
    <w:multiLevelType w:val="hybridMultilevel"/>
    <w:lvl w:ilvl="0">
      <w:lvlJc w:val="left"/>
      <w:lvlText w:val="(%1)"/>
      <w:numFmt w:val="decimal"/>
      <w:start w:val="1"/>
    </w:lvl>
  </w:abstractNum>
  <w:abstractNum w:abstractNumId="242">
    <w:nsid w:val="76E41D8"/>
    <w:multiLevelType w:val="hybridMultilevel"/>
    <w:lvl w:ilvl="0">
      <w:lvlJc w:val="left"/>
      <w:lvlText w:val="(%1)"/>
      <w:numFmt w:val="decimal"/>
      <w:start w:val="1"/>
    </w:lvl>
  </w:abstractNum>
  <w:abstractNum w:abstractNumId="243">
    <w:nsid w:val="71DCE0FD"/>
    <w:multiLevelType w:val="hybridMultilevel"/>
    <w:lvl w:ilvl="0">
      <w:lvlJc w:val="left"/>
      <w:lvlText w:val="%1."/>
      <w:numFmt w:val="upperLetter"/>
      <w:start w:val="1"/>
    </w:lvl>
  </w:abstractNum>
  <w:abstractNum w:abstractNumId="244">
    <w:nsid w:val="7906328B"/>
    <w:multiLevelType w:val="hybridMultilevel"/>
    <w:lvl w:ilvl="0">
      <w:lvlJc w:val="left"/>
      <w:lvlText w:val="%1."/>
      <w:numFmt w:val="upperLetter"/>
      <w:start w:val="1"/>
    </w:lvl>
    <w:lvl w:ilvl="1">
      <w:lvlJc w:val="left"/>
      <w:lvlText w:val="%2."/>
      <w:numFmt w:val="decimal"/>
      <w:start w:val="1"/>
    </w:lvl>
  </w:abstractNum>
  <w:abstractNum w:abstractNumId="245">
    <w:nsid w:val="72BBC16"/>
    <w:multiLevelType w:val="hybridMultilevel"/>
    <w:lvl w:ilvl="0">
      <w:lvlJc w:val="left"/>
      <w:lvlText w:val="%1."/>
      <w:numFmt w:val="decimal"/>
      <w:start w:val="2"/>
    </w:lvl>
  </w:abstractNum>
  <w:abstractNum w:abstractNumId="246">
    <w:nsid w:val="766D98C2"/>
    <w:multiLevelType w:val="hybridMultilevel"/>
    <w:lvl w:ilvl="0">
      <w:lvlJc w:val="left"/>
      <w:lvlText w:val="%1."/>
      <w:numFmt w:val="decimal"/>
      <w:start w:val="3"/>
    </w:lvl>
  </w:abstractNum>
  <w:abstractNum w:abstractNumId="247">
    <w:nsid w:val="3C09D4A1"/>
    <w:multiLevelType w:val="hybridMultilevel"/>
    <w:lvl w:ilvl="0">
      <w:lvlJc w:val="left"/>
      <w:lvlText w:val="(%1)"/>
      <w:numFmt w:val="lowerRoman"/>
      <w:start w:val="1"/>
    </w:lvl>
  </w:abstractNum>
  <w:abstractNum w:abstractNumId="248">
    <w:nsid w:val="20E45CA4"/>
    <w:multiLevelType w:val="hybridMultilevel"/>
    <w:lvl w:ilvl="0">
      <w:lvlJc w:val="left"/>
      <w:lvlText w:val="(%1)"/>
      <w:numFmt w:val="lowerRoman"/>
      <w:start w:val="1"/>
    </w:lvl>
  </w:abstractNum>
  <w:abstractNum w:abstractNumId="249">
    <w:nsid w:val="4B232EE3"/>
    <w:multiLevelType w:val="hybridMultilevel"/>
    <w:lvl w:ilvl="0">
      <w:lvlJc w:val="left"/>
      <w:lvlText w:val="(%1)"/>
      <w:numFmt w:val="lowerRoman"/>
      <w:start w:val="6"/>
    </w:lvl>
  </w:abstractNum>
  <w:abstractNum w:abstractNumId="250">
    <w:nsid w:val="159C74CF"/>
    <w:multiLevelType w:val="hybridMultilevel"/>
    <w:lvl w:ilvl="0">
      <w:lvlJc w:val="left"/>
      <w:lvlText w:val="%1."/>
      <w:numFmt w:val="decimal"/>
      <w:start w:val="4"/>
    </w:lvl>
  </w:abstractNum>
  <w:abstractNum w:abstractNumId="251">
    <w:nsid w:val="4AD3AFD2"/>
    <w:multiLevelType w:val="hybridMultilevel"/>
    <w:lvl w:ilvl="0">
      <w:lvlJc w:val="left"/>
      <w:lvlText w:val="%1."/>
      <w:numFmt w:val="upperLetter"/>
      <w:start w:val="2"/>
    </w:lvl>
    <w:lvl w:ilvl="1">
      <w:lvlJc w:val="left"/>
      <w:lvlText w:val="%2."/>
      <w:numFmt w:val="decimal"/>
      <w:start w:val="1"/>
    </w:lvl>
  </w:abstractNum>
  <w:abstractNum w:abstractNumId="252">
    <w:nsid w:val="3CF93092"/>
    <w:multiLevelType w:val="hybridMultilevel"/>
    <w:lvl w:ilvl="0">
      <w:lvlJc w:val="left"/>
      <w:lvlText w:val="%1."/>
      <w:numFmt w:val="decimal"/>
      <w:start w:val="1"/>
    </w:lvl>
    <w:lvl w:ilvl="1">
      <w:lvlJc w:val="left"/>
      <w:lvlText w:val="•"/>
      <w:numFmt w:val="bullet"/>
      <w:start w:val="1"/>
    </w:lvl>
  </w:abstractNum>
  <w:abstractNum w:abstractNumId="253">
    <w:nsid w:val="6863E8D2"/>
    <w:multiLevelType w:val="hybridMultilevel"/>
    <w:lvl w:ilvl="0">
      <w:lvlJc w:val="left"/>
      <w:lvlText w:val="%1."/>
      <w:numFmt w:val="decimal"/>
      <w:start w:val="2"/>
    </w:lvl>
  </w:abstractNum>
  <w:abstractNum w:abstractNumId="254">
    <w:nsid w:val="76896198"/>
    <w:multiLevelType w:val="hybridMultilevel"/>
    <w:lvl w:ilvl="0">
      <w:lvlJc w:val="left"/>
      <w:lvlText w:val="%1"/>
      <w:numFmt w:val="lowerLetter"/>
      <w:start w:val="1"/>
    </w:lvl>
    <w:lvl w:ilvl="1">
      <w:lvlJc w:val="left"/>
      <w:lvlText w:val="(%2)"/>
      <w:numFmt w:val="lowerLetter"/>
      <w:start w:val="1"/>
    </w:lvl>
  </w:abstractNum>
  <w:abstractNum w:abstractNumId="255">
    <w:nsid w:val="4365174B"/>
    <w:multiLevelType w:val="hybridMultilevel"/>
    <w:lvl w:ilvl="0">
      <w:lvlJc w:val="left"/>
      <w:lvlText w:val="(%1)"/>
      <w:numFmt w:val="lowerLetter"/>
      <w:start w:val="9"/>
    </w:lvl>
    <w:lvl w:ilvl="1">
      <w:lvlJc w:val="left"/>
      <w:lvlText w:val="%2"/>
      <w:numFmt w:val="lowerLetter"/>
      <w:start w:val="1"/>
    </w:lvl>
  </w:abstractNum>
  <w:abstractNum w:abstractNumId="256">
    <w:nsid w:val="4A872C35"/>
    <w:multiLevelType w:val="hybridMultilevel"/>
    <w:lvl w:ilvl="0">
      <w:lvlJc w:val="left"/>
      <w:lvlText w:val="(%1)"/>
      <w:numFmt w:val="lowerLetter"/>
      <w:start w:val="1"/>
    </w:lvl>
  </w:abstractNum>
  <w:abstractNum w:abstractNumId="257">
    <w:nsid w:val="5D5CE761"/>
    <w:multiLevelType w:val="hybridMultilevel"/>
    <w:lvl w:ilvl="0">
      <w:lvlJc w:val="left"/>
      <w:lvlText w:val="(%1)"/>
      <w:numFmt w:val="lowerLetter"/>
      <w:start w:val="4"/>
    </w:lvl>
  </w:abstractNum>
  <w:abstractNum w:abstractNumId="258">
    <w:nsid w:val="1CD484D5"/>
    <w:multiLevelType w:val="hybridMultilevel"/>
    <w:lvl w:ilvl="0">
      <w:lvlJc w:val="left"/>
      <w:lvlText w:val="%1."/>
      <w:numFmt w:val="decimal"/>
      <w:start w:val="3"/>
    </w:lvl>
  </w:abstractNum>
  <w:abstractNum w:abstractNumId="259">
    <w:nsid w:val="21D06255"/>
    <w:multiLevelType w:val="hybridMultilevel"/>
    <w:lvl w:ilvl="0">
      <w:lvlJc w:val="left"/>
      <w:lvlText w:val="%1."/>
      <w:numFmt w:val="decimal"/>
      <w:start w:val="4"/>
    </w:lvl>
  </w:abstractNum>
  <w:abstractNum w:abstractNumId="260">
    <w:nsid w:val="51194ED1"/>
    <w:multiLevelType w:val="hybridMultilevel"/>
    <w:lvl w:ilvl="0">
      <w:lvlJc w:val="left"/>
      <w:lvlText w:val="(%1)"/>
      <w:numFmt w:val="lowerLetter"/>
      <w:start w:val="1"/>
    </w:lvl>
  </w:abstractNum>
  <w:abstractNum w:abstractNumId="261">
    <w:nsid w:val="44E2ED6C"/>
    <w:multiLevelType w:val="hybridMultilevel"/>
    <w:lvl w:ilvl="0">
      <w:lvlJc w:val="left"/>
      <w:lvlText w:val="(%1)"/>
      <w:numFmt w:val="lowerLetter"/>
      <w:start w:val="4"/>
    </w:lvl>
  </w:abstractNum>
  <w:abstractNum w:abstractNumId="262">
    <w:nsid w:val="2219B33"/>
    <w:multiLevelType w:val="hybridMultilevel"/>
    <w:lvl w:ilvl="0">
      <w:lvlJc w:val="left"/>
      <w:lvlText w:val="(%1)"/>
      <w:numFmt w:val="lowerLetter"/>
      <w:start w:val="5"/>
    </w:lvl>
  </w:abstractNum>
  <w:abstractNum w:abstractNumId="263">
    <w:nsid w:val="773BFBDD"/>
    <w:multiLevelType w:val="hybridMultilevel"/>
    <w:lvl w:ilvl="0">
      <w:lvlJc w:val="left"/>
      <w:lvlText w:val="%1."/>
      <w:numFmt w:val="decimal"/>
      <w:start w:val="5"/>
    </w:lvl>
  </w:abstractNum>
  <w:abstractNum w:abstractNumId="264">
    <w:nsid w:val="2C7C62C2"/>
    <w:multiLevelType w:val="hybridMultilevel"/>
    <w:lvl w:ilvl="0">
      <w:lvlJc w:val="left"/>
      <w:lvlText w:val="%1"/>
      <w:numFmt w:val="decimal"/>
      <w:start w:val="1"/>
    </w:lvl>
    <w:lvl w:ilvl="1">
      <w:lvlJc w:val="left"/>
      <w:lvlText w:val="(%2)"/>
      <w:numFmt w:val="lowerLetter"/>
      <w:start w:val="1"/>
    </w:lvl>
  </w:abstractNum>
  <w:abstractNum w:abstractNumId="265">
    <w:nsid w:val="1A54D7BC"/>
    <w:multiLevelType w:val="hybridMultilevel"/>
    <w:lvl w:ilvl="0">
      <w:lvlJc w:val="left"/>
      <w:lvlText w:val="%1."/>
      <w:numFmt w:val="decimal"/>
      <w:start w:val="7"/>
    </w:lvl>
    <w:lvl w:ilvl="1">
      <w:lvlJc w:val="left"/>
      <w:lvlText w:val="%2"/>
      <w:numFmt w:val="lowerLetter"/>
      <w:start w:val="1"/>
    </w:lvl>
  </w:abstractNum>
  <w:abstractNum w:abstractNumId="266">
    <w:nsid w:val="42E57EF7"/>
    <w:multiLevelType w:val="hybridMultilevel"/>
    <w:lvl w:ilvl="0">
      <w:lvlJc w:val="left"/>
      <w:lvlText w:val="(%1)"/>
      <w:numFmt w:val="lowerLetter"/>
      <w:start w:val="1"/>
    </w:lvl>
  </w:abstractNum>
  <w:abstractNum w:abstractNumId="267">
    <w:nsid w:val="33537CED"/>
    <w:multiLevelType w:val="hybridMultilevel"/>
    <w:lvl w:ilvl="0">
      <w:lvlJc w:val="left"/>
      <w:lvlText w:val="(%1)"/>
      <w:numFmt w:val="lowerLetter"/>
      <w:start w:val="2"/>
    </w:lvl>
  </w:abstractNum>
  <w:abstractNum w:abstractNumId="268">
    <w:nsid w:val="27514ADE"/>
    <w:multiLevelType w:val="hybridMultilevel"/>
    <w:lvl w:ilvl="0">
      <w:lvlJc w:val="left"/>
      <w:lvlText w:val="%1."/>
      <w:numFmt w:val="decimal"/>
      <w:start w:val="8"/>
    </w:lvl>
  </w:abstractNum>
  <w:abstractNum w:abstractNumId="269">
    <w:nsid w:val="57071613"/>
    <w:multiLevelType w:val="hybridMultilevel"/>
    <w:lvl w:ilvl="0">
      <w:lvlJc w:val="left"/>
      <w:lvlText w:val="%1."/>
      <w:numFmt w:val="decimal"/>
      <w:start w:val="9"/>
    </w:lvl>
  </w:abstractNum>
  <w:abstractNum w:abstractNumId="270">
    <w:nsid w:val="5293BFEF"/>
    <w:multiLevelType w:val="hybridMultilevel"/>
    <w:lvl w:ilvl="0">
      <w:lvlJc w:val="left"/>
      <w:lvlText w:val="%1."/>
      <w:numFmt w:val="decimal"/>
      <w:start w:val="10"/>
    </w:lvl>
  </w:abstractNum>
  <w:abstractNum w:abstractNumId="271">
    <w:nsid w:val="38BF53E5"/>
    <w:multiLevelType w:val="hybridMultilevel"/>
    <w:lvl w:ilvl="0">
      <w:lvlJc w:val="left"/>
      <w:lvlText w:val="%1."/>
      <w:numFmt w:val="decimal"/>
      <w:start w:val="11"/>
    </w:lvl>
  </w:abstractNum>
  <w:abstractNum w:abstractNumId="272">
    <w:nsid w:val="226F5320"/>
    <w:multiLevelType w:val="hybridMultilevel"/>
    <w:lvl w:ilvl="0">
      <w:lvlJc w:val="left"/>
      <w:lvlText w:val="%1."/>
      <w:numFmt w:val="decimal"/>
      <w:start w:val="13"/>
    </w:lvl>
  </w:abstractNum>
  <w:abstractNum w:abstractNumId="273">
    <w:nsid w:val="5A0201C7"/>
    <w:multiLevelType w:val="hybridMultilevel"/>
    <w:lvl w:ilvl="0">
      <w:lvlJc w:val="left"/>
      <w:lvlText w:val="(%1)"/>
      <w:numFmt w:val="lowerLetter"/>
      <w:start w:val="3"/>
    </w:lvl>
  </w:abstractNum>
  <w:abstractNum w:abstractNumId="274">
    <w:nsid w:val="2A9C34E2"/>
    <w:multiLevelType w:val="hybridMultilevel"/>
    <w:lvl w:ilvl="0">
      <w:lvlJc w:val="left"/>
      <w:lvlText w:val="%1."/>
      <w:numFmt w:val="decimal"/>
      <w:start w:val="16"/>
    </w:lvl>
  </w:abstractNum>
  <w:abstractNum w:abstractNumId="275">
    <w:nsid w:val="1B7585AB"/>
    <w:multiLevelType w:val="hybridMultilevel"/>
    <w:lvl w:ilvl="0">
      <w:lvlJc w:val="left"/>
      <w:lvlText w:val="%1."/>
      <w:numFmt w:val="decimal"/>
      <w:start w:val="17"/>
    </w:lvl>
  </w:abstractNum>
  <w:abstractNum w:abstractNumId="276">
    <w:nsid w:val="612DBDDD"/>
    <w:multiLevelType w:val="hybridMultilevel"/>
    <w:lvl w:ilvl="0">
      <w:lvlJc w:val="left"/>
      <w:lvlText w:val="%1."/>
      <w:numFmt w:val="decimal"/>
      <w:start w:val="18"/>
    </w:lvl>
  </w:abstractNum>
  <w:abstractNum w:abstractNumId="277">
    <w:nsid w:val="2109CDA4"/>
    <w:multiLevelType w:val="hybridMultilevel"/>
    <w:lvl w:ilvl="0">
      <w:lvlJc w:val="left"/>
      <w:lvlText w:val="%1."/>
      <w:numFmt w:val="decimal"/>
      <w:start w:val="21"/>
    </w:lvl>
  </w:abstractNum>
  <w:abstractNum w:abstractNumId="278">
    <w:nsid w:val="577F5A4D"/>
    <w:multiLevelType w:val="hybridMultilevel"/>
    <w:lvl w:ilvl="0">
      <w:lvlJc w:val="left"/>
      <w:lvlText w:val="%1."/>
      <w:numFmt w:val="decimal"/>
      <w:start w:val="22"/>
    </w:lvl>
  </w:abstractNum>
  <w:abstractNum w:abstractNumId="279">
    <w:nsid w:val="2121A81"/>
    <w:multiLevelType w:val="hybridMultilevel"/>
    <w:lvl w:ilvl="0">
      <w:lvlJc w:val="left"/>
      <w:lvlText w:val="%1"/>
      <w:numFmt w:val="decimal"/>
      <w:start w:val="1"/>
    </w:lvl>
    <w:lvl w:ilvl="1">
      <w:lvlJc w:val="left"/>
      <w:lvlText w:val="%2."/>
      <w:numFmt w:val="decimal"/>
      <w:start w:val="23"/>
    </w:lvl>
    <w:lvl w:ilvl="2">
      <w:lvlJc w:val="left"/>
      <w:lvlText w:val="*"/>
      <w:numFmt w:val="bullet"/>
      <w:start w:val="1"/>
    </w:lvl>
  </w:abstractNum>
  <w:abstractNum w:abstractNumId="280">
    <w:nsid w:val="6C2CFC88"/>
    <w:multiLevelType w:val="hybridMultilevel"/>
    <w:lvl w:ilvl="0">
      <w:lvlJc w:val="left"/>
      <w:lvlText w:val="(%1)"/>
      <w:numFmt w:val="decimal"/>
      <w:start w:val="12"/>
    </w:lvl>
    <w:lvl w:ilvl="1">
      <w:lvlJc w:val="left"/>
      <w:lvlText w:val="%2."/>
      <w:numFmt w:val="decimal"/>
      <w:start w:val="24"/>
    </w:lvl>
    <w:lvl w:ilvl="2">
      <w:lvlJc w:val="left"/>
      <w:lvlText w:val="*"/>
      <w:numFmt w:val="bullet"/>
      <w:start w:val="1"/>
    </w:lvl>
  </w:abstractNum>
  <w:abstractNum w:abstractNumId="281">
    <w:nsid w:val="6D1BCF1C"/>
    <w:multiLevelType w:val="hybridMultilevel"/>
    <w:lvl w:ilvl="0">
      <w:lvlJc w:val="left"/>
      <w:lvlText w:val="(%1)"/>
      <w:numFmt w:val="decimal"/>
      <w:start w:val="1"/>
    </w:lvl>
  </w:abstractNum>
  <w:abstractNum w:abstractNumId="282">
    <w:nsid w:val="4CE5CA53"/>
    <w:multiLevelType w:val="hybridMultilevel"/>
    <w:lvl w:ilvl="0">
      <w:lvlJc w:val="left"/>
      <w:lvlText w:val="%1."/>
      <w:numFmt w:val="decimal"/>
      <w:start w:val="1"/>
    </w:lvl>
    <w:lvl w:ilvl="1">
      <w:lvlJc w:val="left"/>
      <w:lvlText w:val="(%2)"/>
      <w:numFmt w:val="lowerLetter"/>
      <w:start w:val="1"/>
    </w:lvl>
  </w:abstractNum>
  <w:abstractNum w:abstractNumId="283">
    <w:nsid w:val="29262D1A"/>
    <w:multiLevelType w:val="hybridMultilevel"/>
    <w:lvl w:ilvl="0">
      <w:lvlJc w:val="left"/>
      <w:lvlText w:val="%1."/>
      <w:numFmt w:val="decimal"/>
      <w:start w:val="4"/>
    </w:lvl>
    <w:lvl w:ilvl="1">
      <w:lvlJc w:val="left"/>
      <w:lvlText w:val="(%2)"/>
      <w:numFmt w:val="lowerLetter"/>
      <w:start w:val="1"/>
    </w:lvl>
  </w:abstractNum>
  <w:abstractNum w:abstractNumId="284">
    <w:nsid w:val="557FB7EE"/>
    <w:multiLevelType w:val="hybridMultilevel"/>
    <w:lvl w:ilvl="0">
      <w:lvlJc w:val="left"/>
      <w:lvlText w:val="%1."/>
      <w:numFmt w:val="decimal"/>
      <w:start w:val="5"/>
    </w:lvl>
    <w:lvl w:ilvl="1">
      <w:lvlJc w:val="left"/>
      <w:lvlText w:val="(%2)"/>
      <w:numFmt w:val="lowerLetter"/>
      <w:start w:val="1"/>
    </w:lvl>
  </w:abstractNum>
  <w:abstractNum w:abstractNumId="285">
    <w:nsid w:val="436F2BEB"/>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286">
    <w:nsid w:val="6C8B446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
      <w:numFmt w:val="bullet"/>
      <w:start w:val="1"/>
    </w:lvl>
  </w:abstractNum>
  <w:abstractNum w:abstractNumId="287">
    <w:nsid w:val="2006E424"/>
    <w:multiLevelType w:val="hybridMultilevel"/>
    <w:lvl w:ilvl="0">
      <w:lvlJc w:val="left"/>
      <w:lvlText w:val="(%1)"/>
      <w:numFmt w:val="lowerLetter"/>
      <w:start w:val="35"/>
    </w:lvl>
    <w:lvl w:ilvl="1">
      <w:lvlJc w:val="left"/>
      <w:lvlText w:val="%2."/>
      <w:numFmt w:val="decimal"/>
      <w:start w:val="9"/>
    </w:lvl>
    <w:lvl w:ilvl="2">
      <w:lvlJc w:val="left"/>
      <w:lvlText w:val="%3"/>
      <w:numFmt w:val="lowerLetter"/>
      <w:start w:val="1"/>
    </w:lvl>
    <w:lvl w:ilvl="3">
      <w:lvlJc w:val="left"/>
      <w:lvlText w:val="-"/>
      <w:numFmt w:val="bullet"/>
      <w:start w:val="1"/>
    </w:lvl>
  </w:abstractNum>
  <w:abstractNum w:abstractNumId="288">
    <w:nsid w:val="20CC134C"/>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289">
    <w:nsid w:val="95FC93B"/>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290">
    <w:nsid w:val="41D74679"/>
    <w:multiLevelType w:val="hybridMultilevel"/>
    <w:lvl w:ilvl="0">
      <w:lvlJc w:val="left"/>
      <w:lvlText w:val="%1"/>
      <w:numFmt w:val="decimal"/>
      <w:start w:val="1"/>
    </w:lvl>
    <w:lvl w:ilvl="1">
      <w:lvlJc w:val="left"/>
      <w:lvlText w:val="(%2)"/>
      <w:numFmt w:val="lowerRoman"/>
      <w:start w:val="2"/>
    </w:lvl>
  </w:abstractNum>
  <w:abstractNum w:abstractNumId="291">
    <w:nsid w:val="71E5621E"/>
    <w:multiLevelType w:val="hybridMultilevel"/>
    <w:lvl w:ilvl="0">
      <w:lvlJc w:val="left"/>
      <w:lvlText w:val="%1."/>
      <w:numFmt w:val="decimal"/>
      <w:start w:val="13"/>
    </w:lvl>
    <w:lvl w:ilvl="1">
      <w:lvlJc w:val="left"/>
      <w:lvlText w:val="%2"/>
      <w:numFmt w:val="lowerRoman"/>
      <w:start w:val="1"/>
    </w:lvl>
  </w:abstractNum>
  <w:abstractNum w:abstractNumId="292">
    <w:nsid w:val="4E42B6A8"/>
    <w:multiLevelType w:val="hybridMultilevel"/>
    <w:lvl w:ilvl="0">
      <w:lvlJc w:val="left"/>
      <w:lvlText w:val="%1."/>
      <w:numFmt w:val="decimal"/>
      <w:start w:val="15"/>
    </w:lvl>
    <w:lvl w:ilvl="1">
      <w:lvlJc w:val="left"/>
      <w:lvlText w:val="-"/>
      <w:numFmt w:val="bullet"/>
      <w:start w:val="1"/>
    </w:lvl>
  </w:abstractNum>
  <w:abstractNum w:abstractNumId="293">
    <w:nsid w:val="43F8E1AC"/>
    <w:multiLevelType w:val="hybridMultilevel"/>
    <w:lvl w:ilvl="0">
      <w:lvlJc w:val="left"/>
      <w:lvlText w:val="%1."/>
      <w:numFmt w:val="decimal"/>
      <w:start w:val="18"/>
    </w:lvl>
    <w:lvl w:ilvl="1">
      <w:lvlJc w:val="left"/>
      <w:lvlText w:val="-"/>
      <w:numFmt w:val="bullet"/>
      <w:start w:val="1"/>
    </w:lvl>
  </w:abstractNum>
  <w:abstractNum w:abstractNumId="294">
    <w:nsid w:val="69215DFB"/>
    <w:multiLevelType w:val="hybridMultilevel"/>
    <w:lvl w:ilvl="0">
      <w:lvlJc w:val="left"/>
      <w:lvlText w:val="%1."/>
      <w:numFmt w:val="decimal"/>
      <w:start w:val="25"/>
    </w:lvl>
    <w:lvl w:ilvl="1">
      <w:lvlJc w:val="left"/>
      <w:lvlText w:val="*"/>
      <w:numFmt w:val="bullet"/>
      <w:start w:val="1"/>
    </w:lvl>
    <w:lvl w:ilvl="2">
      <w:lvlJc w:val="left"/>
      <w:lvlText w:val="-"/>
      <w:numFmt w:val="bullet"/>
      <w:start w:val="1"/>
    </w:lvl>
  </w:abstractNum>
  <w:abstractNum w:abstractNumId="295">
    <w:nsid w:val="7ABF196A"/>
    <w:multiLevelType w:val="hybridMultilevel"/>
    <w:lvl w:ilvl="0">
      <w:lvlJc w:val="left"/>
      <w:lvlText w:val="%1."/>
      <w:numFmt w:val="decimal"/>
      <w:start w:val="1"/>
    </w:lvl>
  </w:abstractNum>
  <w:abstractNum w:abstractNumId="296">
    <w:nsid w:val="5E4DB968"/>
    <w:multiLevelType w:val="hybridMultilevel"/>
    <w:lvl w:ilvl="0">
      <w:lvlJc w:val="left"/>
      <w:lvlText w:val="%1."/>
      <w:numFmt w:val="decimal"/>
      <w:start w:val="6"/>
    </w:lvl>
  </w:abstractNum>
  <w:abstractNum w:abstractNumId="297">
    <w:nsid w:val="2C06DCF3"/>
    <w:multiLevelType w:val="hybridMultilevel"/>
    <w:lvl w:ilvl="0">
      <w:lvlJc w:val="left"/>
      <w:lvlText w:val="%1."/>
      <w:numFmt w:val="decimal"/>
      <w:start w:val="1"/>
    </w:lvl>
    <w:lvl w:ilvl="1">
      <w:lvlJc w:val="left"/>
      <w:lvlText w:val="-"/>
      <w:numFmt w:val="bullet"/>
      <w:start w:val="1"/>
    </w:lvl>
  </w:abstractNum>
  <w:abstractNum w:abstractNumId="298">
    <w:nsid w:val="2E129658"/>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299">
    <w:nsid w:val="59F0446"/>
    <w:multiLevelType w:val="hybridMultilevel"/>
    <w:lvl w:ilvl="0">
      <w:lvlJc w:val="left"/>
      <w:lvlText w:val="(%1)"/>
      <w:numFmt w:val="lowerLetter"/>
      <w:start w:val="2"/>
    </w:lvl>
    <w:lvl w:ilvl="1">
      <w:lvlJc w:val="left"/>
      <w:lvlText w:val="-"/>
      <w:numFmt w:val="bullet"/>
      <w:start w:val="1"/>
    </w:lvl>
  </w:abstractNum>
  <w:abstractNum w:abstractNumId="300">
    <w:nsid w:val="30DF306"/>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01">
    <w:nsid w:val="A65647"/>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302">
    <w:nsid w:val="3E5E582B"/>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303">
    <w:nsid w:val="257D4626"/>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
      <w:numFmt w:val="bullet"/>
      <w:start w:val="1"/>
    </w:lvl>
  </w:abstractNum>
  <w:abstractNum w:abstractNumId="304">
    <w:nsid w:val="5AA8580E"/>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05">
    <w:nsid w:val="68FA8D0D"/>
    <w:multiLevelType w:val="hybridMultilevel"/>
    <w:lvl w:ilvl="0">
      <w:lvlJc w:val="left"/>
      <w:lvlText w:val="%1."/>
      <w:numFmt w:val="decimal"/>
      <w:start w:val="12"/>
    </w:lvl>
  </w:abstractNum>
  <w:abstractNum w:abstractNumId="306">
    <w:nsid w:val="40F2CBD2"/>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307">
    <w:nsid w:val="3BD615EB"/>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308">
    <w:nsid w:val="A045AB2"/>
    <w:multiLevelType w:val="hybridMultilevel"/>
    <w:lvl w:ilvl="0">
      <w:lvlJc w:val="left"/>
      <w:lvlText w:val="%1."/>
      <w:numFmt w:val="decimal"/>
      <w:start w:val="14"/>
    </w:lvl>
    <w:lvl w:ilvl="1">
      <w:lvlJc w:val="left"/>
      <w:lvlText w:val="%2"/>
      <w:numFmt w:val="lowerLetter"/>
      <w:start w:val="1"/>
    </w:lvl>
    <w:lvl w:ilvl="2">
      <w:lvlJc w:val="left"/>
      <w:lvlText w:val="-"/>
      <w:numFmt w:val="bullet"/>
      <w:start w:val="1"/>
    </w:lvl>
  </w:abstractNum>
  <w:abstractNum w:abstractNumId="309">
    <w:nsid w:val="1872261F"/>
    <w:multiLevelType w:val="hybridMultilevel"/>
    <w:lvl w:ilvl="0">
      <w:lvlJc w:val="left"/>
      <w:lvlText w:val="%1."/>
      <w:numFmt w:val="decimal"/>
      <w:start w:val="19"/>
    </w:lvl>
    <w:lvl w:ilvl="1">
      <w:lvlJc w:val="left"/>
      <w:lvlText w:val="-"/>
      <w:numFmt w:val="bullet"/>
      <w:start w:val="1"/>
    </w:lvl>
  </w:abstractNum>
  <w:abstractNum w:abstractNumId="310">
    <w:nsid w:val="3DE8306C"/>
    <w:multiLevelType w:val="hybridMultilevel"/>
    <w:lvl w:ilvl="0">
      <w:lvlJc w:val="left"/>
      <w:lvlText w:val="%1."/>
      <w:numFmt w:val="decimal"/>
      <w:start w:val="25"/>
    </w:lvl>
    <w:lvl w:ilvl="1">
      <w:lvlJc w:val="left"/>
      <w:lvlText w:val="*"/>
      <w:numFmt w:val="bullet"/>
      <w:start w:val="1"/>
    </w:lvl>
    <w:lvl w:ilvl="2">
      <w:lvlJc w:val="left"/>
      <w:lvlText w:val="-"/>
      <w:numFmt w:val="bullet"/>
      <w:start w:val="1"/>
    </w:lvl>
  </w:abstractNum>
  <w:abstractNum w:abstractNumId="311">
    <w:nsid w:val="7631573A"/>
    <w:multiLevelType w:val="hybridMultilevel"/>
    <w:lvl w:ilvl="0">
      <w:lvlJc w:val="left"/>
      <w:lvlText w:val="%1."/>
      <w:numFmt w:val="decimal"/>
      <w:start w:val="1"/>
    </w:lvl>
    <w:lvl w:ilvl="1">
      <w:lvlJc w:val="left"/>
      <w:lvlText w:val="(%2)"/>
      <w:numFmt w:val="lowerLetter"/>
      <w:start w:val="1"/>
    </w:lvl>
  </w:abstractNum>
  <w:abstractNum w:abstractNumId="312">
    <w:nsid w:val="58DF53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13">
    <w:nsid w:val="ACDFAC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14">
    <w:nsid w:val="1F578454"/>
    <w:multiLevelType w:val="hybridMultilevel"/>
    <w:lvl w:ilvl="0">
      <w:lvlJc w:val="left"/>
      <w:lvlText w:val="%1."/>
      <w:numFmt w:val="decimal"/>
      <w:start w:val="6"/>
    </w:lvl>
    <w:lvl w:ilvl="1">
      <w:lvlJc w:val="left"/>
      <w:lvlText w:val="(%2)"/>
      <w:numFmt w:val="lowerLetter"/>
      <w:start w:val="1"/>
    </w:lvl>
  </w:abstractNum>
  <w:abstractNum w:abstractNumId="315">
    <w:nsid w:val="5B0DAD2A"/>
    <w:multiLevelType w:val="hybridMultilevel"/>
    <w:lvl w:ilvl="0">
      <w:lvlJc w:val="left"/>
      <w:lvlText w:val="(%1)"/>
      <w:numFmt w:val="lowerLetter"/>
      <w:start w:val="9"/>
    </w:lvl>
    <w:lvl w:ilvl="1">
      <w:lvlJc w:val="left"/>
      <w:lvlText w:val="(%2)"/>
      <w:numFmt w:val="lowerLetter"/>
      <w:start w:val="3"/>
    </w:lvl>
  </w:abstractNum>
  <w:abstractNum w:abstractNumId="316">
    <w:nsid w:val="4E3D26AB"/>
    <w:multiLevelType w:val="hybridMultilevel"/>
    <w:lvl w:ilvl="0">
      <w:lvlJc w:val="left"/>
      <w:lvlText w:val="%1."/>
      <w:numFmt w:val="decimal"/>
      <w:start w:val="8"/>
    </w:lvl>
  </w:abstractNum>
  <w:abstractNum w:abstractNumId="317">
    <w:nsid w:val="BE2C8BA"/>
    <w:multiLevelType w:val="hybridMultilevel"/>
    <w:lvl w:ilvl="0">
      <w:lvlJc w:val="left"/>
      <w:lvlText w:val="%1."/>
      <w:numFmt w:val="decimal"/>
      <w:start w:val="11"/>
    </w:lvl>
    <w:lvl w:ilvl="1">
      <w:lvlJc w:val="left"/>
      <w:lvlText w:val="(%2)"/>
      <w:numFmt w:val="lowerLetter"/>
      <w:start w:val="1"/>
    </w:lvl>
  </w:abstractNum>
  <w:abstractNum w:abstractNumId="318">
    <w:nsid w:val="7B14914E"/>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319">
    <w:nsid w:val="6F0939F8"/>
    <w:multiLevelType w:val="hybridMultilevel"/>
    <w:lvl w:ilvl="0">
      <w:lvlJc w:val="left"/>
      <w:lvlText w:val="%1."/>
      <w:numFmt w:val="decimal"/>
      <w:start w:val="12"/>
    </w:lvl>
    <w:lvl w:ilvl="1">
      <w:lvlJc w:val="left"/>
      <w:lvlText w:val="%2"/>
      <w:numFmt w:val="lowerRoman"/>
      <w:start w:val="1"/>
    </w:lvl>
    <w:lvl w:ilvl="2">
      <w:lvlJc w:val="left"/>
      <w:lvlText w:val="%3"/>
      <w:numFmt w:val="lowerRoman"/>
      <w:start w:val="1"/>
    </w:lvl>
  </w:abstractNum>
  <w:abstractNum w:abstractNumId="320">
    <w:nsid w:val="154291F6"/>
    <w:multiLevelType w:val="hybridMultilevel"/>
    <w:lvl w:ilvl="0">
      <w:lvlJc w:val="left"/>
      <w:lvlText w:val="%1."/>
      <w:numFmt w:val="decimal"/>
      <w:start w:val="14"/>
    </w:lvl>
  </w:abstractNum>
  <w:abstractNum w:abstractNumId="321">
    <w:nsid w:val="3CEBD7C7"/>
    <w:multiLevelType w:val="hybridMultilevel"/>
    <w:lvl w:ilvl="0">
      <w:lvlJc w:val="left"/>
      <w:lvlText w:val="%1."/>
      <w:numFmt w:val="decimal"/>
      <w:start w:val="16"/>
    </w:lvl>
  </w:abstractNum>
  <w:abstractNum w:abstractNumId="322">
    <w:nsid w:val="60EE9C16"/>
    <w:multiLevelType w:val="hybridMultilevel"/>
    <w:lvl w:ilvl="0">
      <w:lvlJc w:val="left"/>
      <w:lvlText w:val="%1."/>
      <w:numFmt w:val="decimal"/>
      <w:start w:val="22"/>
    </w:lvl>
    <w:lvl w:ilvl="1">
      <w:lvlJc w:val="left"/>
      <w:lvlText w:val="*"/>
      <w:numFmt w:val="bullet"/>
      <w:start w:val="1"/>
    </w:lvl>
  </w:abstractNum>
  <w:abstractNum w:abstractNumId="323">
    <w:nsid w:val="6385489E"/>
    <w:multiLevelType w:val="hybridMultilevel"/>
    <w:lvl w:ilvl="0">
      <w:lvlJc w:val="left"/>
      <w:lvlText w:val="%1."/>
      <w:numFmt w:val="decimal"/>
      <w:start w:val="1"/>
    </w:lvl>
  </w:abstractNum>
  <w:abstractNum w:abstractNumId="324">
    <w:nsid w:val="E4B973"/>
    <w:multiLevelType w:val="hybridMultilevel"/>
    <w:lvl w:ilvl="0">
      <w:lvlJc w:val="left"/>
      <w:lvlText w:val="%1."/>
      <w:numFmt w:val="decimal"/>
      <w:start w:val="2"/>
    </w:lvl>
  </w:abstractNum>
  <w:abstractNum w:abstractNumId="325">
    <w:nsid w:val="4A0FFA11"/>
    <w:multiLevelType w:val="hybridMultilevel"/>
    <w:lvl w:ilvl="0">
      <w:lvlJc w:val="left"/>
      <w:lvlText w:val="%1."/>
      <w:numFmt w:val="decimal"/>
      <w:start w:val="3"/>
    </w:lvl>
  </w:abstractNum>
  <w:abstractNum w:abstractNumId="326">
    <w:nsid w:val="5E446208"/>
    <w:multiLevelType w:val="hybridMultilevel"/>
    <w:lvl w:ilvl="0">
      <w:lvlJc w:val="left"/>
      <w:lvlText w:val="%1."/>
      <w:numFmt w:val="decimal"/>
      <w:start w:val="4"/>
    </w:lvl>
  </w:abstractNum>
  <w:abstractNum w:abstractNumId="327">
    <w:nsid w:val="5F3272DB"/>
    <w:multiLevelType w:val="hybridMultilevel"/>
    <w:lvl w:ilvl="0">
      <w:lvlJc w:val="left"/>
      <w:lvlText w:val="%1."/>
      <w:numFmt w:val="decimal"/>
      <w:start w:val="5"/>
    </w:lvl>
  </w:abstractNum>
  <w:abstractNum w:abstractNumId="328">
    <w:nsid w:val="7616D704"/>
    <w:multiLevelType w:val="hybridMultilevel"/>
    <w:lvl w:ilvl="0">
      <w:lvlJc w:val="left"/>
      <w:lvlText w:val="%1."/>
      <w:numFmt w:val="decimal"/>
      <w:start w:val="6"/>
    </w:lvl>
  </w:abstractNum>
  <w:abstractNum w:abstractNumId="329">
    <w:nsid w:val="C56F860"/>
    <w:multiLevelType w:val="hybridMultilevel"/>
    <w:lvl w:ilvl="0">
      <w:lvlJc w:val="left"/>
      <w:lvlText w:val="(%1)"/>
      <w:numFmt w:val="lowerRoman"/>
      <w:start w:val="1"/>
    </w:lvl>
  </w:abstractNum>
  <w:abstractNum w:abstractNumId="330">
    <w:nsid w:val="64D17722"/>
    <w:multiLevelType w:val="hybridMultilevel"/>
    <w:lvl w:ilvl="0">
      <w:lvlJc w:val="left"/>
      <w:lvlText w:val="%1."/>
      <w:numFmt w:val="decimal"/>
      <w:start w:val="7"/>
    </w:lvl>
  </w:abstractNum>
  <w:abstractNum w:abstractNumId="331">
    <w:nsid w:val="7924CA0A"/>
    <w:multiLevelType w:val="hybridMultilevel"/>
    <w:lvl w:ilvl="0">
      <w:lvlJc w:val="left"/>
      <w:lvlText w:val="%1."/>
      <w:numFmt w:val="decimal"/>
      <w:start w:val="8"/>
    </w:lvl>
  </w:abstractNum>
  <w:abstractNum w:abstractNumId="332">
    <w:nsid w:val="CFD4EA7"/>
    <w:multiLevelType w:val="hybridMultilevel"/>
    <w:lvl w:ilvl="0">
      <w:lvlJc w:val="left"/>
      <w:lvlText w:val="%1."/>
      <w:numFmt w:val="decimal"/>
      <w:start w:val="9"/>
    </w:lvl>
  </w:abstractNum>
  <w:abstractNum w:abstractNumId="333">
    <w:nsid w:val="232FCF4D"/>
    <w:multiLevelType w:val="hybridMultilevel"/>
    <w:lvl w:ilvl="0">
      <w:lvlJc w:val="left"/>
      <w:lvlText w:val="%1."/>
      <w:numFmt w:val="decimal"/>
      <w:start w:val="10"/>
    </w:lvl>
    <w:lvl w:ilvl="1">
      <w:lvlJc w:val="left"/>
      <w:lvlText w:val="(%2)"/>
      <w:numFmt w:val="lowerRoman"/>
      <w:start w:val="1"/>
    </w:lvl>
  </w:abstractNum>
  <w:abstractNum w:abstractNumId="334">
    <w:nsid w:val="1EA21031"/>
    <w:multiLevelType w:val="hybridMultilevel"/>
    <w:lvl w:ilvl="0">
      <w:lvlJc w:val="left"/>
      <w:lvlText w:val="%1."/>
      <w:numFmt w:val="decimal"/>
      <w:start w:val="11"/>
    </w:lvl>
  </w:abstractNum>
  <w:abstractNum w:abstractNumId="335">
    <w:nsid w:val="67A5A6B5"/>
    <w:multiLevelType w:val="hybridMultilevel"/>
    <w:lvl w:ilvl="0">
      <w:lvlJc w:val="left"/>
      <w:lvlText w:val="%1."/>
      <w:numFmt w:val="decimal"/>
      <w:start w:val="15"/>
    </w:lvl>
  </w:abstractNum>
  <w:abstractNum w:abstractNumId="336">
    <w:nsid w:val="C2A5C5B"/>
    <w:multiLevelType w:val="hybridMultilevel"/>
    <w:lvl w:ilvl="0">
      <w:lvlJc w:val="left"/>
      <w:lvlText w:val="%1."/>
      <w:numFmt w:val="decimal"/>
      <w:start w:val="16"/>
    </w:lvl>
  </w:abstractNum>
  <w:abstractNum w:abstractNumId="337">
    <w:nsid w:val="5F94DC03"/>
    <w:multiLevelType w:val="hybridMultilevel"/>
    <w:lvl w:ilvl="0">
      <w:lvlJc w:val="left"/>
      <w:lvlText w:val="%1."/>
      <w:numFmt w:val="decimal"/>
      <w:start w:val="19"/>
    </w:lvl>
    <w:lvl w:ilvl="1">
      <w:lvlJc w:val="left"/>
      <w:lvlText w:val="-"/>
      <w:numFmt w:val="bullet"/>
      <w:start w:val="1"/>
    </w:lvl>
  </w:abstractNum>
  <w:abstractNum w:abstractNumId="338">
    <w:nsid w:val="237BBCA0"/>
    <w:multiLevelType w:val="hybridMultilevel"/>
    <w:lvl w:ilvl="0">
      <w:lvlJc w:val="left"/>
      <w:lvlText w:val="%1."/>
      <w:numFmt w:val="decimal"/>
      <w:start w:val="20"/>
    </w:lvl>
  </w:abstractNum>
  <w:abstractNum w:abstractNumId="339">
    <w:nsid w:val="162EB70D"/>
    <w:multiLevelType w:val="hybridMultilevel"/>
    <w:lvl w:ilvl="0">
      <w:lvlJc w:val="left"/>
      <w:lvlText w:val="%1."/>
      <w:numFmt w:val="decimal"/>
      <w:start w:val="21"/>
    </w:lvl>
    <w:lvl w:ilvl="1">
      <w:lvlJc w:val="left"/>
      <w:lvlText w:val="-"/>
      <w:numFmt w:val="bullet"/>
      <w:start w:val="1"/>
    </w:lvl>
  </w:abstractNum>
  <w:abstractNum w:abstractNumId="340">
    <w:nsid w:val="78070222"/>
    <w:multiLevelType w:val="hybridMultilevel"/>
    <w:lvl w:ilvl="0">
      <w:lvlJc w:val="left"/>
      <w:lvlText w:val="%1."/>
      <w:numFmt w:val="decimal"/>
      <w:start w:val="24"/>
    </w:lvl>
  </w:abstractNum>
  <w:abstractNum w:abstractNumId="341">
    <w:nsid w:val="6163ED0D"/>
    <w:multiLevelType w:val="hybridMultilevel"/>
    <w:lvl w:ilvl="0">
      <w:lvlJc w:val="left"/>
      <w:lvlText w:val="%1."/>
      <w:numFmt w:val="decimal"/>
      <w:start w:val="25"/>
    </w:lvl>
    <w:lvl w:ilvl="1">
      <w:lvlJc w:val="left"/>
      <w:lvlText w:val="-"/>
      <w:numFmt w:val="bullet"/>
      <w:start w:val="1"/>
    </w:lvl>
  </w:abstractNum>
  <w:abstractNum w:abstractNumId="342">
    <w:nsid w:val="C600E47"/>
    <w:multiLevelType w:val="hybridMultilevel"/>
    <w:lvl w:ilvl="0">
      <w:lvlJc w:val="left"/>
      <w:lvlText w:val="%1."/>
      <w:numFmt w:val="decimal"/>
      <w:start w:val="1"/>
    </w:lvl>
    <w:lvl w:ilvl="1">
      <w:lvlJc w:val="left"/>
      <w:lvlText w:val="•"/>
      <w:numFmt w:val="bullet"/>
      <w:start w:val="1"/>
    </w:lvl>
  </w:abstractNum>
  <w:abstractNum w:abstractNumId="343">
    <w:nsid w:val="7D94F75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44">
    <w:nsid w:val="6C31E7CD"/>
    <w:multiLevelType w:val="hybridMultilevel"/>
    <w:lvl w:ilvl="0">
      <w:lvlJc w:val="left"/>
      <w:lvlText w:val="%1"/>
      <w:numFmt w:val="upperLetter"/>
      <w:start w:val="1"/>
    </w:lvl>
    <w:lvl w:ilvl="1">
      <w:lvlJc w:val="left"/>
      <w:lvlText w:val="(%2)"/>
      <w:numFmt w:val="lowerRoman"/>
      <w:start w:val="2"/>
    </w:lvl>
  </w:abstractNum>
  <w:abstractNum w:abstractNumId="345">
    <w:nsid w:val="2BB7929B"/>
    <w:multiLevelType w:val="hybridMultilevel"/>
    <w:lvl w:ilvl="0">
      <w:lvlJc w:val="left"/>
      <w:lvlText w:val="(%1)"/>
      <w:numFmt w:val="upperLetter"/>
      <w:start w:val="1"/>
    </w:lvl>
    <w:lvl w:ilvl="1">
      <w:lvlJc w:val="left"/>
      <w:lvlText w:val="%2"/>
      <w:numFmt w:val="lowerRoman"/>
      <w:start w:val="1"/>
    </w:lvl>
  </w:abstractNum>
  <w:abstractNum w:abstractNumId="346">
    <w:nsid w:val="58A2A487"/>
    <w:multiLevelType w:val="hybridMultilevel"/>
    <w:lvl w:ilvl="0">
      <w:lvlJc w:val="left"/>
      <w:lvlText w:val="(%1)"/>
      <w:numFmt w:val="lowerLetter"/>
      <w:start w:val="7"/>
    </w:lvl>
  </w:abstractNum>
  <w:abstractNum w:abstractNumId="347">
    <w:nsid w:val="3A6F0E78"/>
    <w:multiLevelType w:val="hybridMultilevel"/>
    <w:lvl w:ilvl="0">
      <w:lvlJc w:val="left"/>
      <w:lvlText w:val="(%1)"/>
      <w:numFmt w:val="lowerLetter"/>
      <w:start w:val="15"/>
    </w:lvl>
    <w:lvl w:ilvl="1">
      <w:lvlJc w:val="left"/>
      <w:lvlText w:val="(%2)"/>
      <w:numFmt w:val="lowerRoman"/>
      <w:start w:val="1"/>
    </w:lvl>
  </w:abstractNum>
  <w:abstractNum w:abstractNumId="348">
    <w:nsid w:val="379A5B56"/>
    <w:multiLevelType w:val="hybridMultilevel"/>
    <w:lvl w:ilvl="0">
      <w:lvlJc w:val="left"/>
      <w:lvlText w:val="%1"/>
      <w:numFmt w:val="decimal"/>
      <w:start w:val="1"/>
    </w:lvl>
    <w:lvl w:ilvl="1">
      <w:lvlJc w:val="left"/>
      <w:lvlText w:val="(%2)"/>
      <w:numFmt w:val="lowerLetter"/>
      <w:start w:val="22"/>
    </w:lvl>
    <w:lvl w:ilvl="2">
      <w:lvlJc w:val="left"/>
      <w:lvlText w:val="%3"/>
      <w:numFmt w:val="lowerLetter"/>
      <w:start w:val="1"/>
    </w:lvl>
  </w:abstractNum>
  <w:abstractNum w:abstractNumId="349">
    <w:nsid w:val="53B735D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350">
    <w:nsid w:val="29784870"/>
    <w:multiLevelType w:val="hybridMultilevel"/>
    <w:lvl w:ilvl="0">
      <w:lvlJc w:val="left"/>
      <w:lvlText w:val="%1"/>
      <w:numFmt w:val="lowerLetter"/>
      <w:start w:val="1"/>
    </w:lvl>
    <w:lvl w:ilvl="1">
      <w:lvlJc w:val="left"/>
      <w:lvlText w:val="(%2)"/>
      <w:numFmt w:val="lowerLetter"/>
      <w:start w:val="35"/>
    </w:lvl>
  </w:abstractNum>
  <w:abstractNum w:abstractNumId="351">
    <w:nsid w:val="4CDCED4C"/>
    <w:multiLevelType w:val="hybridMultilevel"/>
    <w:lvl w:ilvl="0">
      <w:lvlJc w:val="left"/>
      <w:lvlText w:val="(%1)"/>
      <w:numFmt w:val="lowerLetter"/>
      <w:start w:val="2"/>
    </w:lvl>
    <w:lvl w:ilvl="1">
      <w:lvlJc w:val="left"/>
      <w:lvlText w:val="(%2)"/>
      <w:numFmt w:val="lowerLetter"/>
      <w:start w:val="9"/>
    </w:lvl>
  </w:abstractNum>
  <w:abstractNum w:abstractNumId="352">
    <w:nsid w:val="10A30D9C"/>
    <w:multiLevelType w:val="hybridMultilevel"/>
    <w:lvl w:ilvl="0">
      <w:lvlJc w:val="left"/>
      <w:lvlText w:val="(%1)"/>
      <w:numFmt w:val="lowerRoman"/>
      <w:start w:val="2"/>
    </w:lvl>
  </w:abstractNum>
  <w:abstractNum w:abstractNumId="353">
    <w:nsid w:val="A66E4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3"/>
    </w:lvl>
  </w:abstractNum>
  <w:abstractNum w:abstractNumId="354">
    <w:nsid w:val="306235E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55">
    <w:nsid w:val="1187C70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56">
    <w:nsid w:val="5476DE98"/>
    <w:multiLevelType w:val="hybridMultilevel"/>
    <w:lvl w:ilvl="0">
      <w:lvlJc w:val="left"/>
      <w:lvlText w:val="%1."/>
      <w:numFmt w:val="decimal"/>
      <w:start w:val="8"/>
    </w:lvl>
    <w:lvl w:ilvl="1">
      <w:lvlJc w:val="left"/>
      <w:lvlText w:val="(%2)"/>
      <w:numFmt w:val="lowerLetter"/>
      <w:start w:val="1"/>
    </w:lvl>
  </w:abstractNum>
  <w:abstractNum w:abstractNumId="357">
    <w:nsid w:val="EA697F2"/>
    <w:multiLevelType w:val="hybridMultilevel"/>
    <w:lvl w:ilvl="0">
      <w:lvlJc w:val="left"/>
      <w:lvlText w:val="(%1)"/>
      <w:numFmt w:val="lowerRoman"/>
      <w:start w:val="3"/>
    </w:lvl>
  </w:abstractNum>
  <w:abstractNum w:abstractNumId="358">
    <w:nsid w:val="70BA39EB"/>
    <w:multiLevelType w:val="hybridMultilevel"/>
    <w:lvl w:ilvl="0">
      <w:lvlJc w:val="left"/>
      <w:lvlText w:val="%1."/>
      <w:numFmt w:val="decimal"/>
      <w:start w:val="11"/>
    </w:lvl>
    <w:lvl w:ilvl="1">
      <w:lvlJc w:val="left"/>
      <w:lvlText w:val="(%2)"/>
      <w:numFmt w:val="lowerLetter"/>
      <w:start w:val="1"/>
    </w:lvl>
  </w:abstractNum>
  <w:abstractNum w:abstractNumId="359">
    <w:nsid w:val="4A8DB59C"/>
    <w:multiLevelType w:val="hybridMultilevel"/>
    <w:lvl w:ilvl="0">
      <w:lvlJc w:val="left"/>
      <w:lvlText w:val="%1."/>
      <w:numFmt w:val="decimal"/>
      <w:start w:val="12"/>
    </w:lvl>
    <w:lvl w:ilvl="1">
      <w:lvlJc w:val="left"/>
      <w:lvlText w:val="(%2)"/>
      <w:numFmt w:val="lowerLetter"/>
      <w:start w:val="1"/>
    </w:lvl>
  </w:abstractNum>
  <w:abstractNum w:abstractNumId="360">
    <w:nsid w:val="1AFD9053"/>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361">
    <w:nsid w:val="558BB10D"/>
    <w:multiLevelType w:val="hybridMultilevel"/>
    <w:lvl w:ilvl="0">
      <w:lvlJc w:val="left"/>
      <w:lvlText w:val="(%1)"/>
      <w:numFmt w:val="decimal"/>
      <w:start w:val="12"/>
    </w:lvl>
    <w:lvl w:ilvl="1">
      <w:lvlJc w:val="left"/>
      <w:lvlText w:val="%2."/>
      <w:numFmt w:val="decimal"/>
      <w:start w:val="19"/>
    </w:lvl>
    <w:lvl w:ilvl="2">
      <w:lvlJc w:val="left"/>
      <w:lvlText w:val="(%3)"/>
      <w:numFmt w:val="lowerLetter"/>
      <w:start w:val="1"/>
    </w:lvl>
  </w:abstractNum>
  <w:abstractNum w:abstractNumId="362">
    <w:nsid w:val="43B27FA7"/>
    <w:multiLevelType w:val="hybridMultilevel"/>
    <w:lvl w:ilvl="0">
      <w:lvlJc w:val="left"/>
      <w:lvlText w:val="(%1)"/>
      <w:numFmt w:val="lowerLetter"/>
      <w:start w:val="2"/>
    </w:lvl>
  </w:abstractNum>
  <w:abstractNum w:abstractNumId="363">
    <w:nsid w:val="27FADEFA"/>
    <w:multiLevelType w:val="hybridMultilevel"/>
    <w:lvl w:ilvl="0">
      <w:lvlJc w:val="left"/>
      <w:lvlText w:val="%1."/>
      <w:numFmt w:val="decimal"/>
      <w:start w:val="1"/>
    </w:lvl>
  </w:abstractNum>
  <w:abstractNum w:abstractNumId="364">
    <w:nsid w:val="78BB805A"/>
    <w:multiLevelType w:val="hybridMultilevel"/>
    <w:lvl w:ilvl="0">
      <w:lvlJc w:val="left"/>
      <w:lvlText w:val="(%1)"/>
      <w:numFmt w:val="lowerLetter"/>
      <w:start w:val="1"/>
    </w:lvl>
  </w:abstractNum>
  <w:abstractNum w:abstractNumId="365">
    <w:nsid w:val="62548FD8"/>
    <w:multiLevelType w:val="hybridMultilevel"/>
    <w:lvl w:ilvl="0">
      <w:lvlJc w:val="left"/>
      <w:lvlText w:val="%1"/>
      <w:numFmt w:val="lowerLetter"/>
      <w:start w:val="1"/>
    </w:lvl>
    <w:lvl w:ilvl="1">
      <w:lvlJc w:val="left"/>
      <w:lvlText w:val="(%2)"/>
      <w:numFmt w:val="lowerLetter"/>
      <w:start w:val="2"/>
    </w:lvl>
  </w:abstractNum>
  <w:abstractNum w:abstractNumId="366">
    <w:nsid w:val="FA085B0"/>
    <w:multiLevelType w:val="hybridMultilevel"/>
    <w:lvl w:ilvl="0">
      <w:lvlJc w:val="left"/>
      <w:lvlText w:val="(%1)"/>
      <w:numFmt w:val="lowerLetter"/>
      <w:start w:val="9"/>
    </w:lvl>
    <w:lvl w:ilvl="1">
      <w:lvlJc w:val="left"/>
      <w:lvlText w:val="%2"/>
      <w:numFmt w:val="lowerLetter"/>
      <w:start w:val="1"/>
    </w:lvl>
  </w:abstractNum>
  <w:abstractNum w:abstractNumId="367">
    <w:nsid w:val="4E5DCB5"/>
    <w:multiLevelType w:val="hybridMultilevel"/>
    <w:lvl w:ilvl="0">
      <w:lvlJc w:val="left"/>
      <w:lvlText w:val="(%1)"/>
      <w:numFmt w:val="lowerLetter"/>
      <w:start w:val="1"/>
    </w:lvl>
  </w:abstractNum>
  <w:abstractNum w:abstractNumId="368">
    <w:nsid w:val="41E96BDB"/>
    <w:multiLevelType w:val="hybridMultilevel"/>
    <w:lvl w:ilvl="0">
      <w:lvlJc w:val="left"/>
      <w:lvlText w:val="(%1)"/>
      <w:numFmt w:val="lowerLetter"/>
      <w:start w:val="1"/>
    </w:lvl>
  </w:abstractNum>
  <w:abstractNum w:abstractNumId="369">
    <w:nsid w:val="331C4250"/>
    <w:multiLevelType w:val="hybridMultilevel"/>
    <w:lvl w:ilvl="0">
      <w:lvlJc w:val="left"/>
      <w:lvlText w:val="%1."/>
      <w:numFmt w:val="decimal"/>
      <w:start w:val="3"/>
    </w:lvl>
  </w:abstractNum>
  <w:abstractNum w:abstractNumId="370">
    <w:nsid w:val="1B1493C2"/>
    <w:multiLevelType w:val="hybridMultilevel"/>
    <w:lvl w:ilvl="0">
      <w:lvlJc w:val="left"/>
      <w:lvlText w:val="%1."/>
      <w:numFmt w:val="decimal"/>
      <w:start w:val="4"/>
    </w:lvl>
    <w:lvl w:ilvl="1">
      <w:lvlJc w:val="left"/>
      <w:lvlText w:val="(%2)"/>
      <w:numFmt w:val="lowerLetter"/>
      <w:start w:val="1"/>
    </w:lvl>
  </w:abstractNum>
  <w:abstractNum w:abstractNumId="371">
    <w:nsid w:val="39F06DFD"/>
    <w:multiLevelType w:val="hybridMultilevel"/>
    <w:lvl w:ilvl="0">
      <w:lvlJc w:val="left"/>
      <w:lvlText w:val="(%1)"/>
      <w:numFmt w:val="lowerLetter"/>
      <w:start w:val="7"/>
    </w:lvl>
  </w:abstractNum>
  <w:abstractNum w:abstractNumId="372">
    <w:nsid w:val="14802F5D"/>
    <w:multiLevelType w:val="hybridMultilevel"/>
    <w:lvl w:ilvl="0">
      <w:lvlJc w:val="left"/>
      <w:lvlText w:val="%1."/>
      <w:numFmt w:val="decimal"/>
      <w:start w:val="5"/>
    </w:lvl>
  </w:abstractNum>
  <w:abstractNum w:abstractNumId="373">
    <w:nsid w:val="2774A209"/>
    <w:multiLevelType w:val="hybridMultilevel"/>
    <w:lvl w:ilvl="0">
      <w:lvlJc w:val="left"/>
      <w:lvlText w:val="%1"/>
      <w:numFmt w:val="lowerLetter"/>
      <w:start w:val="1"/>
    </w:lvl>
    <w:lvl w:ilvl="1">
      <w:lvlJc w:val="left"/>
      <w:lvlText w:val="%2."/>
      <w:numFmt w:val="decimal"/>
      <w:start w:val="6"/>
    </w:lvl>
  </w:abstractNum>
  <w:abstractNum w:abstractNumId="374">
    <w:nsid w:val="3785655A"/>
    <w:multiLevelType w:val="hybridMultilevel"/>
    <w:lvl w:ilvl="0">
      <w:lvlJc w:val="left"/>
      <w:lvlText w:val="(%1)"/>
      <w:numFmt w:val="lowerLetter"/>
      <w:start w:val="2"/>
    </w:lvl>
    <w:lvl w:ilvl="1">
      <w:lvlJc w:val="left"/>
      <w:lvlText w:val="%2."/>
      <w:numFmt w:val="decimal"/>
      <w:start w:val="8"/>
    </w:lvl>
  </w:abstractNum>
  <w:abstractNum w:abstractNumId="375">
    <w:nsid w:val="B2172A"/>
    <w:multiLevelType w:val="hybridMultilevel"/>
    <w:lvl w:ilvl="0">
      <w:lvlJc w:val="left"/>
      <w:lvlText w:val="(%1)"/>
      <w:numFmt w:val="lowerLetter"/>
      <w:start w:val="1"/>
    </w:lvl>
  </w:abstractNum>
  <w:abstractNum w:abstractNumId="376">
    <w:nsid w:val="532C34A5"/>
    <w:multiLevelType w:val="hybridMultilevel"/>
    <w:lvl w:ilvl="0">
      <w:lvlJc w:val="left"/>
      <w:lvlText w:val="(%1)"/>
      <w:numFmt w:val="lowerLetter"/>
      <w:start w:val="1"/>
    </w:lvl>
  </w:abstractNum>
  <w:abstractNum w:abstractNumId="377">
    <w:nsid w:val="102809E2"/>
    <w:multiLevelType w:val="hybridMultilevel"/>
    <w:lvl w:ilvl="0">
      <w:lvlJc w:val="left"/>
      <w:lvlText w:val="(%1)"/>
      <w:numFmt w:val="lowerLetter"/>
      <w:start w:val="3"/>
    </w:lvl>
  </w:abstractNum>
  <w:abstractNum w:abstractNumId="378">
    <w:nsid w:val="3B2125A3"/>
    <w:multiLevelType w:val="hybridMultilevel"/>
    <w:lvl w:ilvl="0">
      <w:lvlJc w:val="left"/>
      <w:lvlText w:val="%1."/>
      <w:numFmt w:val="decimal"/>
      <w:start w:val="9"/>
    </w:lvl>
  </w:abstractNum>
  <w:abstractNum w:abstractNumId="379">
    <w:nsid w:val="AC68FFB"/>
    <w:multiLevelType w:val="hybridMultilevel"/>
    <w:lvl w:ilvl="0">
      <w:lvlJc w:val="left"/>
      <w:lvlText w:val="%1."/>
      <w:numFmt w:val="decimal"/>
      <w:start w:val="10"/>
    </w:lvl>
  </w:abstractNum>
  <w:abstractNum w:abstractNumId="380">
    <w:nsid w:val="63DF3FB7"/>
    <w:multiLevelType w:val="hybridMultilevel"/>
    <w:lvl w:ilvl="0">
      <w:lvlJc w:val="left"/>
      <w:lvlText w:val="%1."/>
      <w:numFmt w:val="decimal"/>
      <w:start w:val="11"/>
    </w:lvl>
  </w:abstractNum>
  <w:abstractNum w:abstractNumId="381">
    <w:nsid w:val="64996E13"/>
    <w:multiLevelType w:val="hybridMultilevel"/>
    <w:lvl w:ilvl="0">
      <w:lvlJc w:val="left"/>
      <w:lvlText w:val="%1."/>
      <w:numFmt w:val="decimal"/>
      <w:start w:val="13"/>
    </w:lvl>
  </w:abstractNum>
  <w:abstractNum w:abstractNumId="382">
    <w:nsid w:val="57A37D47"/>
    <w:multiLevelType w:val="hybridMultilevel"/>
    <w:lvl w:ilvl="0">
      <w:lvlJc w:val="left"/>
      <w:lvlText w:val="%1."/>
      <w:numFmt w:val="decimal"/>
      <w:start w:val="15"/>
    </w:lvl>
  </w:abstractNum>
  <w:abstractNum w:abstractNumId="383">
    <w:nsid w:val="74824D54"/>
    <w:multiLevelType w:val="hybridMultilevel"/>
    <w:lvl w:ilvl="0">
      <w:lvlJc w:val="left"/>
      <w:lvlText w:val="%1."/>
      <w:numFmt w:val="decimal"/>
      <w:start w:val="18"/>
    </w:lvl>
  </w:abstractNum>
  <w:abstractNum w:abstractNumId="384">
    <w:nsid w:val="6F00529A"/>
    <w:multiLevelType w:val="hybridMultilevel"/>
    <w:lvl w:ilvl="0">
      <w:lvlJc w:val="left"/>
      <w:lvlText w:val="(%1)"/>
      <w:numFmt w:val="lowerLetter"/>
      <w:start w:val="1"/>
    </w:lvl>
  </w:abstractNum>
  <w:abstractNum w:abstractNumId="385">
    <w:nsid w:val="805B331"/>
    <w:multiLevelType w:val="hybridMultilevel"/>
    <w:lvl w:ilvl="0">
      <w:lvlJc w:val="left"/>
      <w:lvlText w:val="(%1)"/>
      <w:numFmt w:val="lowerLetter"/>
      <w:start w:val="2"/>
    </w:lvl>
  </w:abstractNum>
  <w:abstractNum w:abstractNumId="386">
    <w:nsid w:val="60A1463"/>
    <w:multiLevelType w:val="hybridMultilevel"/>
    <w:lvl w:ilvl="0">
      <w:lvlJc w:val="left"/>
      <w:lvlText w:val="%1."/>
      <w:numFmt w:val="decimal"/>
      <w:start w:val="19"/>
    </w:lvl>
  </w:abstractNum>
  <w:abstractNum w:abstractNumId="387">
    <w:nsid w:val="43773132"/>
    <w:multiLevelType w:val="hybridMultilevel"/>
    <w:lvl w:ilvl="0">
      <w:lvlJc w:val="left"/>
      <w:lvlText w:val="%1"/>
      <w:numFmt w:val="decimal"/>
      <w:start w:val="1"/>
    </w:lvl>
    <w:lvl w:ilvl="1">
      <w:lvlJc w:val="left"/>
      <w:lvlText w:val="%2."/>
      <w:numFmt w:val="decimal"/>
      <w:start w:val="20"/>
    </w:lvl>
  </w:abstractNum>
  <w:abstractNum w:abstractNumId="388">
    <w:nsid w:val="16AC4B23"/>
    <w:multiLevelType w:val="hybridMultilevel"/>
    <w:lvl w:ilvl="0">
      <w:lvlJc w:val="left"/>
      <w:lvlText w:val="(%1)"/>
      <w:numFmt w:val="decimal"/>
      <w:start w:val="12"/>
    </w:lvl>
    <w:lvl w:ilvl="1">
      <w:lvlJc w:val="left"/>
      <w:lvlText w:val="%2."/>
      <w:numFmt w:val="decimal"/>
      <w:start w:val="22"/>
    </w:lvl>
  </w:abstractNum>
  <w:abstractNum w:abstractNumId="389">
    <w:nsid w:val="76C44E4E"/>
    <w:multiLevelType w:val="hybridMultilevel"/>
    <w:lvl w:ilvl="0">
      <w:lvlJc w:val="left"/>
      <w:lvlText w:val="%1."/>
      <w:numFmt w:val="decimal"/>
      <w:start w:val="24"/>
    </w:lvl>
  </w:abstractNum>
  <w:abstractNum w:abstractNumId="390">
    <w:nsid w:val="E04E6CE"/>
    <w:multiLevelType w:val="hybridMultilevel"/>
    <w:lvl w:ilvl="0">
      <w:lvlJc w:val="left"/>
      <w:lvlText w:val="%1."/>
      <w:numFmt w:val="decimal"/>
      <w:start w:val="27"/>
    </w:lvl>
  </w:abstractNum>
  <w:abstractNum w:abstractNumId="391">
    <w:nsid w:val="31A9DB76"/>
    <w:multiLevelType w:val="hybridMultilevel"/>
    <w:lvl w:ilvl="0">
      <w:lvlJc w:val="left"/>
      <w:lvlText w:val="%1"/>
      <w:numFmt w:val="decimal"/>
      <w:start w:val="1"/>
    </w:lvl>
    <w:lvl w:ilvl="1">
      <w:lvlJc w:val="left"/>
      <w:lvlText w:val="%2."/>
      <w:numFmt w:val="decimal"/>
      <w:start w:val="1"/>
    </w:lvl>
  </w:abstractNum>
  <w:abstractNum w:abstractNumId="392">
    <w:nsid w:val="4C4FFF5B"/>
    <w:multiLevelType w:val="hybridMultilevel"/>
    <w:lvl w:ilvl="0">
      <w:lvlJc w:val="left"/>
      <w:lvlText w:val="(%1)"/>
      <w:numFmt w:val="decimal"/>
      <w:start w:val="2"/>
    </w:lvl>
    <w:lvl w:ilvl="1">
      <w:lvlJc w:val="left"/>
      <w:lvlText w:val="%2"/>
      <w:numFmt w:val="decimal"/>
      <w:start w:val="1"/>
    </w:lvl>
  </w:abstractNum>
  <w:abstractNum w:abstractNumId="393">
    <w:nsid w:val="51B76675"/>
    <w:multiLevelType w:val="hybridMultilevel"/>
    <w:lvl w:ilvl="0">
      <w:lvlJc w:val="left"/>
      <w:lvlText w:val="%1."/>
      <w:numFmt w:val="decimal"/>
      <w:start w:val="7"/>
    </w:lvl>
  </w:abstractNum>
  <w:abstractNum w:abstractNumId="394">
    <w:nsid w:val="59A4BA71"/>
    <w:multiLevelType w:val="hybridMultilevel"/>
    <w:lvl w:ilvl="0">
      <w:lvlJc w:val="left"/>
      <w:lvlText w:val="%1."/>
      <w:numFmt w:val="decimal"/>
      <w:start w:val="8"/>
    </w:lvl>
    <w:lvl w:ilvl="1">
      <w:lvlJc w:val="left"/>
      <w:lvlText w:val="(%2)"/>
      <w:numFmt w:val="lowerLetter"/>
      <w:start w:val="1"/>
    </w:lvl>
  </w:abstractNum>
  <w:abstractNum w:abstractNumId="395">
    <w:nsid w:val="450B7FB6"/>
    <w:multiLevelType w:val="hybridMultilevel"/>
    <w:lvl w:ilvl="0">
      <w:lvlJc w:val="left"/>
      <w:lvlText w:val="%1"/>
      <w:numFmt w:val="decimal"/>
      <w:start w:val="1"/>
    </w:lvl>
    <w:lvl w:ilvl="1">
      <w:lvlJc w:val="left"/>
      <w:lvlText w:val="(%2)"/>
      <w:numFmt w:val="lowerLetter"/>
      <w:start w:val="10"/>
    </w:lvl>
  </w:abstractNum>
  <w:abstractNum w:abstractNumId="396">
    <w:nsid w:val="340BF64D"/>
    <w:multiLevelType w:val="hybridMultilevel"/>
    <w:lvl w:ilvl="0">
      <w:lvlJc w:val="left"/>
      <w:lvlText w:val="%1."/>
      <w:numFmt w:val="decimal"/>
      <w:start w:val="9"/>
    </w:lvl>
    <w:lvl w:ilvl="1">
      <w:lvlJc w:val="left"/>
      <w:lvlText w:val="%2"/>
      <w:numFmt w:val="lowerLetter"/>
      <w:start w:val="1"/>
    </w:lvl>
  </w:abstractNum>
  <w:abstractNum w:abstractNumId="397">
    <w:nsid w:val="69454021"/>
    <w:multiLevelType w:val="hybridMultilevel"/>
    <w:lvl w:ilvl="0">
      <w:lvlJc w:val="left"/>
      <w:lvlText w:val="%1."/>
      <w:numFmt w:val="decimal"/>
      <w:start w:val="10"/>
    </w:lvl>
  </w:abstractNum>
  <w:abstractNum w:abstractNumId="398">
    <w:nsid w:val="49F15C6B"/>
    <w:multiLevelType w:val="hybridMultilevel"/>
    <w:lvl w:ilvl="0">
      <w:lvlJc w:val="left"/>
      <w:lvlText w:val="%1."/>
      <w:numFmt w:val="decimal"/>
      <w:start w:val="13"/>
    </w:lvl>
  </w:abstractNum>
  <w:abstractNum w:abstractNumId="399">
    <w:nsid w:val="75F56228"/>
    <w:multiLevelType w:val="hybridMultilevel"/>
    <w:lvl w:ilvl="0">
      <w:lvlJc w:val="left"/>
      <w:lvlText w:val="%1."/>
      <w:numFmt w:val="decimal"/>
      <w:start w:val="1"/>
    </w:lvl>
  </w:abstractNum>
  <w:abstractNum w:abstractNumId="400">
    <w:nsid w:val="1C618271"/>
    <w:multiLevelType w:val="hybridMultilevel"/>
    <w:lvl w:ilvl="0">
      <w:lvlJc w:val="left"/>
      <w:lvlText w:val="(%1)"/>
      <w:numFmt w:val="lowerLetter"/>
      <w:start w:val="1"/>
    </w:lvl>
  </w:abstractNum>
  <w:abstractNum w:abstractNumId="401">
    <w:nsid w:val="6505F02E"/>
    <w:multiLevelType w:val="hybridMultilevel"/>
    <w:lvl w:ilvl="0">
      <w:lvlJc w:val="left"/>
      <w:lvlText w:val="(%1)"/>
      <w:numFmt w:val="lowerLetter"/>
      <w:start w:val="2"/>
    </w:lvl>
  </w:abstractNum>
  <w:abstractNum w:abstractNumId="402">
    <w:nsid w:val="2FE5D025"/>
    <w:multiLevelType w:val="hybridMultilevel"/>
    <w:lvl w:ilvl="0">
      <w:lvlJc w:val="left"/>
      <w:lvlText w:val="%1"/>
      <w:numFmt w:val="lowerLetter"/>
      <w:start w:val="1"/>
    </w:lvl>
    <w:lvl w:ilvl="1">
      <w:lvlJc w:val="left"/>
      <w:lvlText w:val="%2."/>
      <w:numFmt w:val="decimal"/>
      <w:start w:val="3"/>
    </w:lvl>
  </w:abstractNum>
  <w:abstractNum w:abstractNumId="403">
    <w:nsid w:val="30E1B1CF"/>
    <w:multiLevelType w:val="hybridMultilevel"/>
    <w:lvl w:ilvl="0">
      <w:lvlJc w:val="left"/>
      <w:lvlText w:val="(%1)"/>
      <w:numFmt w:val="lowerLetter"/>
      <w:start w:val="1"/>
    </w:lvl>
    <w:lvl w:ilvl="1">
      <w:lvlJc w:val="left"/>
      <w:lvlText w:val="%2"/>
      <w:numFmt w:val="decimal"/>
      <w:start w:val="1"/>
    </w:lvl>
  </w:abstractNum>
  <w:abstractNum w:abstractNumId="404">
    <w:nsid w:val="C7A9237"/>
    <w:multiLevelType w:val="hybridMultilevel"/>
    <w:lvl w:ilvl="0">
      <w:lvlJc w:val="left"/>
      <w:lvlText w:val="%1."/>
      <w:numFmt w:val="decimal"/>
      <w:start w:val="5"/>
    </w:lvl>
  </w:abstractNum>
  <w:abstractNum w:abstractNumId="405">
    <w:nsid w:val="676B3580"/>
    <w:multiLevelType w:val="hybridMultilevel"/>
    <w:lvl w:ilvl="0">
      <w:lvlJc w:val="left"/>
      <w:lvlText w:val="%1."/>
      <w:numFmt w:val="decimal"/>
      <w:start w:val="6"/>
    </w:lvl>
  </w:abstractNum>
  <w:abstractNum w:abstractNumId="406">
    <w:nsid w:val="3193C8F9"/>
    <w:multiLevelType w:val="hybridMultilevel"/>
    <w:lvl w:ilvl="0">
      <w:lvlJc w:val="left"/>
      <w:lvlText w:val="(%1)"/>
      <w:numFmt w:val="lowerRoman"/>
      <w:start w:val="4"/>
    </w:lvl>
  </w:abstractNum>
  <w:abstractNum w:abstractNumId="407">
    <w:nsid w:val="5FA6C6DC"/>
    <w:multiLevelType w:val="hybridMultilevel"/>
    <w:lvl w:ilvl="0">
      <w:lvlJc w:val="left"/>
      <w:lvlText w:val="%1."/>
      <w:numFmt w:val="decimal"/>
      <w:start w:val="7"/>
    </w:lvl>
  </w:abstractNum>
  <w:abstractNum w:abstractNumId="408">
    <w:nsid w:val="77933F62"/>
    <w:multiLevelType w:val="hybridMultilevel"/>
    <w:lvl w:ilvl="0">
      <w:lvlJc w:val="left"/>
      <w:lvlText w:val="%1."/>
      <w:numFmt w:val="decimal"/>
      <w:start w:val="8"/>
    </w:lvl>
  </w:abstractNum>
  <w:abstractNum w:abstractNumId="409">
    <w:nsid w:val="6CB4EE9C"/>
    <w:multiLevelType w:val="hybridMultilevel"/>
    <w:lvl w:ilvl="0">
      <w:lvlJc w:val="left"/>
      <w:lvlText w:val="%1."/>
      <w:numFmt w:val="decimal"/>
      <w:start w:val="9"/>
    </w:lvl>
  </w:abstractNum>
  <w:abstractNum w:abstractNumId="410">
    <w:nsid w:val="6A6D56D7"/>
    <w:multiLevelType w:val="hybridMultilevel"/>
    <w:lvl w:ilvl="0">
      <w:lvlJc w:val="left"/>
      <w:lvlText w:val="%1."/>
      <w:numFmt w:val="decimal"/>
      <w:start w:val="10"/>
    </w:lvl>
  </w:abstractNum>
  <w:abstractNum w:abstractNumId="411">
    <w:nsid w:val="5B727F19"/>
    <w:multiLevelType w:val="hybridMultilevel"/>
    <w:lvl w:ilvl="0">
      <w:lvlJc w:val="left"/>
      <w:lvlText w:val="(%1)"/>
      <w:numFmt w:val="decimal"/>
      <w:start w:val="6"/>
    </w:lvl>
  </w:abstractNum>
  <w:abstractNum w:abstractNumId="412">
    <w:nsid w:val="514E5CB0"/>
    <w:multiLevelType w:val="hybridMultilevel"/>
    <w:lvl w:ilvl="0">
      <w:lvlJc w:val="left"/>
      <w:lvlText w:val="%1."/>
      <w:numFmt w:val="decimal"/>
      <w:start w:val="11"/>
    </w:lvl>
    <w:lvl w:ilvl="1">
      <w:lvlJc w:val="left"/>
      <w:lvlText w:val="-"/>
      <w:numFmt w:val="bullet"/>
      <w:start w:val="1"/>
    </w:lvl>
  </w:abstractNum>
  <w:abstractNum w:abstractNumId="413">
    <w:nsid w:val="4210D41E"/>
    <w:multiLevelType w:val="hybridMultilevel"/>
    <w:lvl w:ilvl="0">
      <w:lvlJc w:val="left"/>
      <w:lvlText w:val="%1."/>
      <w:numFmt w:val="decimal"/>
      <w:start w:val="13"/>
    </w:lvl>
    <w:lvl w:ilvl="1">
      <w:lvlJc w:val="left"/>
      <w:lvlText w:val="-"/>
      <w:numFmt w:val="bullet"/>
      <w:start w:val="1"/>
    </w:lvl>
  </w:abstractNum>
  <w:abstractNum w:abstractNumId="414">
    <w:nsid w:val="4FF4CC6D"/>
    <w:multiLevelType w:val="hybridMultilevel"/>
    <w:lvl w:ilvl="0">
      <w:lvlJc w:val="left"/>
      <w:lvlText w:val="%1."/>
      <w:numFmt w:val="decimal"/>
      <w:start w:val="15"/>
    </w:lvl>
  </w:abstractNum>
  <w:abstractNum w:abstractNumId="415">
    <w:nsid w:val="404EAF4A"/>
    <w:multiLevelType w:val="hybridMultilevel"/>
    <w:lvl w:ilvl="0">
      <w:lvlJc w:val="left"/>
      <w:lvlText w:val="%1."/>
      <w:numFmt w:val="decimal"/>
      <w:start w:val="19"/>
    </w:lvl>
    <w:lvl w:ilvl="1">
      <w:lvlJc w:val="left"/>
      <w:lvlText w:val="-"/>
      <w:numFmt w:val="bullet"/>
      <w:start w:val="1"/>
    </w:lvl>
  </w:abstractNum>
  <w:abstractNum w:abstractNumId="416">
    <w:nsid w:val="4A16874F"/>
    <w:multiLevelType w:val="hybridMultilevel"/>
    <w:lvl w:ilvl="0">
      <w:lvlJc w:val="left"/>
      <w:lvlText w:val="%1."/>
      <w:numFmt w:val="decimal"/>
      <w:start w:val="26"/>
    </w:lvl>
    <w:lvl w:ilvl="1">
      <w:lvlJc w:val="left"/>
      <w:lvlText w:val="-"/>
      <w:numFmt w:val="bullet"/>
      <w:start w:val="1"/>
    </w:lvl>
  </w:abstractNum>
  <w:abstractNum w:abstractNumId="417">
    <w:nsid w:val="55FEE0D1"/>
    <w:multiLevelType w:val="hybridMultilevel"/>
    <w:lvl w:ilvl="0">
      <w:lvlJc w:val="left"/>
      <w:lvlText w:val="%1."/>
      <w:numFmt w:val="upperLetter"/>
      <w:start w:val="1"/>
    </w:lvl>
  </w:abstractNum>
  <w:abstractNum w:abstractNumId="418">
    <w:nsid w:val="3C5E07C"/>
    <w:multiLevelType w:val="hybridMultilevel"/>
    <w:lvl w:ilvl="0">
      <w:lvlJc w:val="left"/>
      <w:lvlText w:val="%1"/>
      <w:numFmt w:val="upperLetter"/>
      <w:start w:val="1"/>
    </w:lvl>
    <w:lvl w:ilvl="1">
      <w:lvlJc w:val="left"/>
      <w:lvlText w:val="%2."/>
      <w:numFmt w:val="decimal"/>
      <w:start w:val="1"/>
    </w:lvl>
  </w:abstractNum>
  <w:abstractNum w:abstractNumId="419">
    <w:nsid w:val="60C2D273"/>
    <w:multiLevelType w:val="hybridMultilevel"/>
    <w:lvl w:ilvl="0">
      <w:lvlJc w:val="left"/>
      <w:lvlText w:val="%1."/>
      <w:numFmt w:val="upperLetter"/>
      <w:start w:val="2"/>
    </w:lvl>
    <w:lvl w:ilvl="1">
      <w:lvlJc w:val="left"/>
      <w:lvlText w:val="%2"/>
      <w:numFmt w:val="decimal"/>
      <w:start w:val="1"/>
    </w:lvl>
  </w:abstractNum>
  <w:abstractNum w:abstractNumId="420">
    <w:nsid w:val="4CC32F1F"/>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21">
    <w:nsid w:val="11CAC74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422">
    <w:nsid w:val="126CADE9"/>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423">
    <w:nsid w:val="19132E7B"/>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424">
    <w:nsid w:val="63822DC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25">
    <w:nsid w:val="6C11685A"/>
    <w:multiLevelType w:val="hybridMultilevel"/>
    <w:lvl w:ilvl="0">
      <w:lvlJc w:val="left"/>
      <w:lvlText w:val="%1."/>
      <w:numFmt w:val="decimal"/>
      <w:start w:val="4"/>
    </w:lvl>
    <w:lvl w:ilvl="1">
      <w:lvlJc w:val="left"/>
      <w:lvlText w:val="-"/>
      <w:numFmt w:val="bullet"/>
      <w:start w:val="1"/>
    </w:lvl>
  </w:abstractNum>
  <w:abstractNum w:abstractNumId="426">
    <w:nsid w:val="5E1EAE31"/>
    <w:multiLevelType w:val="hybridMultilevel"/>
    <w:lvl w:ilvl="0">
      <w:lvlJc w:val="left"/>
      <w:lvlText w:val="%1."/>
      <w:numFmt w:val="decimal"/>
      <w:start w:val="1"/>
    </w:lvl>
  </w:abstractNum>
  <w:abstractNum w:abstractNumId="427">
    <w:nsid w:val="178E240D"/>
    <w:multiLevelType w:val="hybridMultilevel"/>
    <w:lvl w:ilvl="0">
      <w:lvlJc w:val="left"/>
      <w:lvlText w:val="%1"/>
      <w:numFmt w:val="lowerLetter"/>
      <w:start w:val="1"/>
    </w:lvl>
    <w:lvl w:ilvl="1">
      <w:lvlJc w:val="left"/>
      <w:lvlText w:val="%2."/>
      <w:numFmt w:val="decimal"/>
      <w:start w:val="4"/>
    </w:lvl>
  </w:abstractNum>
  <w:abstractNum w:abstractNumId="428">
    <w:nsid w:val="5556A87B"/>
    <w:multiLevelType w:val="hybridMultilevel"/>
    <w:lvl w:ilvl="0">
      <w:lvlJc w:val="left"/>
      <w:lvlText w:val="(%1)"/>
      <w:numFmt w:val="lowerLetter"/>
      <w:start w:val="25"/>
    </w:lvl>
    <w:lvl w:ilvl="1">
      <w:lvlJc w:val="left"/>
      <w:lvlText w:val="%2."/>
      <w:numFmt w:val="decimal"/>
      <w:start w:val="6"/>
    </w:lvl>
  </w:abstractNum>
  <w:abstractNum w:abstractNumId="429">
    <w:nsid w:val="28100A9C"/>
    <w:multiLevelType w:val="hybridMultilevel"/>
    <w:lvl w:ilvl="0">
      <w:lvlJc w:val="left"/>
      <w:lvlText w:val="%1."/>
      <w:numFmt w:val="decimal"/>
      <w:start w:val="9"/>
    </w:lvl>
  </w:abstractNum>
  <w:abstractNum w:abstractNumId="430">
    <w:nsid w:val="D838636"/>
    <w:multiLevelType w:val="hybridMultilevel"/>
    <w:lvl w:ilvl="0">
      <w:lvlJc w:val="left"/>
      <w:lvlText w:val="%1."/>
      <w:numFmt w:val="decimal"/>
      <w:start w:val="11"/>
    </w:lvl>
  </w:abstractNum>
  <w:abstractNum w:abstractNumId="431">
    <w:nsid w:val="71B82AED"/>
    <w:multiLevelType w:val="hybridMultilevel"/>
    <w:lvl w:ilvl="0">
      <w:lvlJc w:val="left"/>
      <w:lvlText w:val="%1."/>
      <w:numFmt w:val="decimal"/>
      <w:start w:val="13"/>
    </w:lvl>
  </w:abstractNum>
  <w:abstractNum w:abstractNumId="432">
    <w:nsid w:val="D15FACA"/>
    <w:multiLevelType w:val="hybridMultilevel"/>
    <w:lvl w:ilvl="0">
      <w:lvlJc w:val="left"/>
      <w:lvlText w:val="%1."/>
      <w:numFmt w:val="decimal"/>
      <w:start w:val="1"/>
    </w:lvl>
  </w:abstractNum>
  <w:abstractNum w:abstractNumId="433">
    <w:nsid w:val="3D69565B"/>
    <w:multiLevelType w:val="hybridMultilevel"/>
    <w:lvl w:ilvl="0">
      <w:lvlJc w:val="left"/>
      <w:lvlText w:val="%1."/>
      <w:numFmt w:val="decimal"/>
      <w:start w:val="4"/>
    </w:lvl>
  </w:abstractNum>
  <w:abstractNum w:abstractNumId="434">
    <w:nsid w:val="2299DCBC"/>
    <w:multiLevelType w:val="hybridMultilevel"/>
    <w:lvl w:ilvl="0">
      <w:lvlJc w:val="left"/>
      <w:lvlText w:val="%1."/>
      <w:numFmt w:val="decimal"/>
      <w:start w:val="7"/>
    </w:lvl>
  </w:abstractNum>
  <w:abstractNum w:abstractNumId="435">
    <w:nsid w:val="19908D02"/>
    <w:multiLevelType w:val="hybridMultilevel"/>
    <w:lvl w:ilvl="0">
      <w:lvlJc w:val="left"/>
      <w:lvlText w:val="%1."/>
      <w:numFmt w:val="decimal"/>
      <w:start w:val="10"/>
    </w:lvl>
  </w:abstractNum>
  <w:abstractNum w:abstractNumId="436">
    <w:nsid w:val="24D48BDB"/>
    <w:multiLevelType w:val="hybridMultilevel"/>
    <w:lvl w:ilvl="0">
      <w:lvlJc w:val="left"/>
      <w:lvlText w:val="%1."/>
      <w:numFmt w:val="decimal"/>
      <w:start w:val="12"/>
    </w:lvl>
  </w:abstractNum>
  <w:abstractNum w:abstractNumId="437">
    <w:nsid w:val="542DA5B5"/>
    <w:multiLevelType w:val="hybridMultilevel"/>
    <w:lvl w:ilvl="0">
      <w:lvlJc w:val="left"/>
      <w:lvlText w:val="%1."/>
      <w:numFmt w:val="decimal"/>
      <w:start w:val="1"/>
    </w:lvl>
  </w:abstractNum>
  <w:abstractNum w:abstractNumId="438">
    <w:nsid w:val="793753DE"/>
    <w:multiLevelType w:val="hybridMultilevel"/>
    <w:lvl w:ilvl="0">
      <w:lvlJc w:val="left"/>
      <w:lvlText w:val="%1."/>
      <w:numFmt w:val="decimal"/>
      <w:start w:val="4"/>
    </w:lvl>
  </w:abstractNum>
  <w:abstractNum w:abstractNumId="439">
    <w:nsid w:val="1C67CB3D"/>
    <w:multiLevelType w:val="hybridMultilevel"/>
    <w:lvl w:ilvl="0">
      <w:lvlJc w:val="left"/>
      <w:lvlText w:val="%1."/>
      <w:numFmt w:val="decimal"/>
      <w:start w:val="10"/>
    </w:lvl>
  </w:abstractNum>
  <w:abstractNum w:abstractNumId="440">
    <w:nsid w:val="40E29452"/>
    <w:multiLevelType w:val="hybridMultilevel"/>
    <w:lvl w:ilvl="0">
      <w:lvlJc w:val="left"/>
      <w:lvlText w:val="%1."/>
      <w:numFmt w:val="decimal"/>
      <w:start w:val="12"/>
    </w:lvl>
  </w:abstractNum>
  <w:abstractNum w:abstractNumId="441">
    <w:nsid w:val="63A4AAB6"/>
    <w:multiLevelType w:val="hybridMultilevel"/>
    <w:lvl w:ilvl="0">
      <w:lvlJc w:val="left"/>
      <w:lvlText w:val="%1."/>
      <w:numFmt w:val="decimal"/>
      <w:start w:val="1"/>
    </w:lvl>
  </w:abstractNum>
  <w:abstractNum w:abstractNumId="442">
    <w:nsid w:val="77DA4A57"/>
    <w:multiLevelType w:val="hybridMultilevel"/>
    <w:lvl w:ilvl="0">
      <w:lvlJc w:val="left"/>
      <w:lvlText w:val="(%1)"/>
      <w:numFmt w:val="lowerLetter"/>
      <w:start w:val="1"/>
    </w:lvl>
  </w:abstractNum>
  <w:abstractNum w:abstractNumId="443">
    <w:nsid w:val="1230F102"/>
    <w:multiLevelType w:val="hybridMultilevel"/>
    <w:lvl w:ilvl="0">
      <w:lvlJc w:val="left"/>
      <w:lvlText w:val="%1."/>
      <w:numFmt w:val="decimal"/>
      <w:start w:val="4"/>
    </w:lvl>
  </w:abstractNum>
  <w:abstractNum w:abstractNumId="444">
    <w:nsid w:val="25B57ED4"/>
    <w:multiLevelType w:val="hybridMultilevel"/>
    <w:lvl w:ilvl="0">
      <w:lvlJc w:val="left"/>
      <w:lvlText w:val="%1."/>
      <w:numFmt w:val="decimal"/>
      <w:start w:val="5"/>
    </w:lvl>
  </w:abstractNum>
  <w:abstractNum w:abstractNumId="445">
    <w:nsid w:val="47CF16C4"/>
    <w:multiLevelType w:val="hybridMultilevel"/>
    <w:lvl w:ilvl="0">
      <w:lvlJc w:val="left"/>
      <w:lvlText w:val="%1."/>
      <w:numFmt w:val="decimal"/>
      <w:start w:val="6"/>
    </w:lvl>
  </w:abstractNum>
  <w:abstractNum w:abstractNumId="446">
    <w:nsid w:val="527FA04C"/>
    <w:multiLevelType w:val="hybridMultilevel"/>
    <w:lvl w:ilvl="0">
      <w:lvlJc w:val="left"/>
      <w:lvlText w:val="(%1)"/>
      <w:numFmt w:val="lowerLetter"/>
      <w:start w:val="1"/>
    </w:lvl>
  </w:abstractNum>
  <w:abstractNum w:abstractNumId="447">
    <w:nsid w:val="6FCC0624"/>
    <w:multiLevelType w:val="hybridMultilevel"/>
    <w:lvl w:ilvl="0">
      <w:lvlJc w:val="left"/>
      <w:lvlText w:val="(%1)"/>
      <w:numFmt w:val="lowerRoman"/>
      <w:start w:val="2"/>
    </w:lvl>
  </w:abstractNum>
  <w:abstractNum w:abstractNumId="448">
    <w:nsid w:val="1DCDF795"/>
    <w:multiLevelType w:val="hybridMultilevel"/>
    <w:lvl w:ilvl="0">
      <w:lvlJc w:val="left"/>
      <w:lvlText w:val="%1."/>
      <w:numFmt w:val="decimal"/>
      <w:start w:val="7"/>
    </w:lvl>
  </w:abstractNum>
  <w:abstractNum w:abstractNumId="449">
    <w:nsid w:val="564580C8"/>
    <w:multiLevelType w:val="hybridMultilevel"/>
    <w:lvl w:ilvl="0">
      <w:lvlJc w:val="left"/>
      <w:lvlText w:val="%1."/>
      <w:numFmt w:val="decimal"/>
      <w:start w:val="8"/>
    </w:lvl>
  </w:abstractNum>
  <w:abstractNum w:abstractNumId="450">
    <w:nsid w:val="508ED897"/>
    <w:multiLevelType w:val="hybridMultilevel"/>
    <w:lvl w:ilvl="0">
      <w:lvlJc w:val="left"/>
      <w:lvlText w:val="%1."/>
      <w:numFmt w:val="decimal"/>
      <w:start w:val="9"/>
    </w:lvl>
  </w:abstractNum>
  <w:abstractNum w:abstractNumId="451">
    <w:nsid w:val="6A9126B5"/>
    <w:multiLevelType w:val="hybridMultilevel"/>
    <w:lvl w:ilvl="0">
      <w:lvlJc w:val="left"/>
      <w:lvlText w:val="%1."/>
      <w:numFmt w:val="decimal"/>
      <w:start w:val="10"/>
    </w:lvl>
  </w:abstractNum>
  <w:abstractNum w:abstractNumId="452">
    <w:nsid w:val="68104812"/>
    <w:multiLevelType w:val="hybridMultilevel"/>
    <w:lvl w:ilvl="0">
      <w:lvlJc w:val="left"/>
      <w:lvlText w:val="%1."/>
      <w:numFmt w:val="decimal"/>
      <w:start w:val="11"/>
    </w:lvl>
  </w:abstractNum>
  <w:abstractNum w:abstractNumId="453">
    <w:nsid w:val="62FB8680"/>
    <w:multiLevelType w:val="hybridMultilevel"/>
    <w:lvl w:ilvl="0">
      <w:lvlJc w:val="left"/>
      <w:lvlText w:val="%1."/>
      <w:numFmt w:val="decimal"/>
      <w:start w:val="12"/>
    </w:lvl>
  </w:abstractNum>
  <w:abstractNum w:abstractNumId="454">
    <w:nsid w:val="3A45530"/>
    <w:multiLevelType w:val="hybridMultilevel"/>
    <w:lvl w:ilvl="0">
      <w:lvlJc w:val="left"/>
      <w:lvlText w:val="%1."/>
      <w:numFmt w:val="decimal"/>
      <w:start w:val="13"/>
    </w:lvl>
  </w:abstractNum>
  <w:abstractNum w:abstractNumId="455">
    <w:nsid w:val="4B9275D2"/>
    <w:multiLevelType w:val="hybridMultilevel"/>
    <w:lvl w:ilvl="0">
      <w:lvlJc w:val="left"/>
      <w:lvlText w:val="%1."/>
      <w:numFmt w:val="decimal"/>
      <w:start w:val="15"/>
    </w:lvl>
  </w:abstractNum>
  <w:abstractNum w:abstractNumId="456">
    <w:nsid w:val="4F0CEEDB"/>
    <w:multiLevelType w:val="hybridMultilevel"/>
    <w:lvl w:ilvl="0">
      <w:lvlJc w:val="left"/>
      <w:lvlText w:val="%1."/>
      <w:numFmt w:val="decimal"/>
      <w:start w:val="19"/>
    </w:lvl>
  </w:abstractNum>
  <w:abstractNum w:abstractNumId="457">
    <w:nsid w:val="61C30361"/>
    <w:multiLevelType w:val="hybridMultilevel"/>
    <w:lvl w:ilvl="0">
      <w:lvlJc w:val="left"/>
      <w:lvlText w:val="%1."/>
      <w:numFmt w:val="decimal"/>
      <w:start w:val="1"/>
    </w:lvl>
  </w:abstractNum>
  <w:abstractNum w:abstractNumId="458">
    <w:nsid w:val="632099E0"/>
    <w:multiLevelType w:val="hybridMultilevel"/>
    <w:lvl w:ilvl="0">
      <w:lvlJc w:val="left"/>
      <w:lvlText w:val="%1."/>
      <w:numFmt w:val="decimal"/>
      <w:start w:val="3"/>
    </w:lvl>
  </w:abstractNum>
  <w:abstractNum w:abstractNumId="459">
    <w:nsid w:val="24639756"/>
    <w:multiLevelType w:val="hybridMultilevel"/>
    <w:lvl w:ilvl="0">
      <w:lvlJc w:val="left"/>
      <w:lvlText w:val="(%1)"/>
      <w:numFmt w:val="lowerLetter"/>
      <w:start w:val="2"/>
    </w:lvl>
  </w:abstractNum>
  <w:abstractNum w:abstractNumId="460">
    <w:nsid w:val="9D30DFD"/>
    <w:multiLevelType w:val="hybridMultilevel"/>
    <w:lvl w:ilvl="0">
      <w:lvlJc w:val="left"/>
      <w:lvlText w:val="%1."/>
      <w:numFmt w:val="decimal"/>
      <w:start w:val="4"/>
    </w:lvl>
  </w:abstractNum>
  <w:abstractNum w:abstractNumId="461">
    <w:nsid w:val="70A42016"/>
    <w:multiLevelType w:val="hybridMultilevel"/>
    <w:lvl w:ilvl="0">
      <w:lvlJc w:val="left"/>
      <w:lvlText w:val="(%1)"/>
      <w:numFmt w:val="lowerLetter"/>
      <w:start w:val="2"/>
    </w:lvl>
  </w:abstractNum>
  <w:abstractNum w:abstractNumId="462">
    <w:nsid w:val="161BC243"/>
    <w:multiLevelType w:val="hybridMultilevel"/>
    <w:lvl w:ilvl="0">
      <w:lvlJc w:val="left"/>
      <w:lvlText w:val="(%1)"/>
      <w:numFmt w:val="lowerLetter"/>
      <w:start w:val="5"/>
    </w:lvl>
    <w:lvl w:ilvl="1">
      <w:lvlJc w:val="left"/>
      <w:lvlText w:val="%2."/>
      <w:numFmt w:val="decimal"/>
      <w:start w:val="5"/>
    </w:lvl>
  </w:abstractNum>
  <w:abstractNum w:abstractNumId="463">
    <w:nsid w:val="16E908C8"/>
    <w:multiLevelType w:val="hybridMultilevel"/>
    <w:lvl w:ilvl="0">
      <w:lvlJc w:val="left"/>
      <w:lvlText w:val="%1."/>
      <w:numFmt w:val="decimal"/>
      <w:start w:val="6"/>
    </w:lvl>
  </w:abstractNum>
  <w:abstractNum w:abstractNumId="464">
    <w:nsid w:val="2E0D7671"/>
    <w:multiLevelType w:val="hybridMultilevel"/>
    <w:lvl w:ilvl="0">
      <w:lvlJc w:val="left"/>
      <w:lvlText w:val="%1."/>
      <w:numFmt w:val="decimal"/>
      <w:start w:val="7"/>
    </w:lvl>
  </w:abstractNum>
  <w:abstractNum w:abstractNumId="465">
    <w:nsid w:val="38B59EFF"/>
    <w:multiLevelType w:val="hybridMultilevel"/>
    <w:lvl w:ilvl="0">
      <w:lvlJc w:val="left"/>
      <w:lvlText w:val="%1."/>
      <w:numFmt w:val="decimal"/>
      <w:start w:val="8"/>
    </w:lvl>
  </w:abstractNum>
  <w:abstractNum w:abstractNumId="466">
    <w:nsid w:val="307995CA"/>
    <w:multiLevelType w:val="hybridMultilevel"/>
    <w:lvl w:ilvl="0">
      <w:lvlJc w:val="left"/>
      <w:lvlText w:val="%1."/>
      <w:numFmt w:val="decimal"/>
      <w:start w:val="9"/>
    </w:lvl>
    <w:lvl w:ilvl="1">
      <w:lvlJc w:val="left"/>
      <w:lvlText w:val="*"/>
      <w:numFmt w:val="bullet"/>
      <w:start w:val="1"/>
    </w:lvl>
  </w:abstractNum>
  <w:abstractNum w:abstractNumId="467">
    <w:nsid w:val="52E2024D"/>
    <w:multiLevelType w:val="hybridMultilevel"/>
    <w:lvl w:ilvl="0">
      <w:lvlJc w:val="left"/>
      <w:lvlText w:val="%1."/>
      <w:numFmt w:val="decimal"/>
      <w:start w:val="1"/>
    </w:lvl>
  </w:abstractNum>
  <w:abstractNum w:abstractNumId="468">
    <w:nsid w:val="CE344B5"/>
    <w:multiLevelType w:val="hybridMultilevel"/>
    <w:lvl w:ilvl="0">
      <w:lvlJc w:val="left"/>
      <w:lvlText w:val="%1."/>
      <w:numFmt w:val="decimal"/>
      <w:start w:val="3"/>
    </w:lvl>
  </w:abstractNum>
  <w:abstractNum w:abstractNumId="469">
    <w:nsid w:val="29B0E9A8"/>
    <w:multiLevelType w:val="hybridMultilevel"/>
    <w:lvl w:ilvl="0">
      <w:lvlJc w:val="left"/>
      <w:lvlText w:val="%1."/>
      <w:numFmt w:val="decimal"/>
      <w:start w:val="4"/>
    </w:lvl>
    <w:lvl w:ilvl="1">
      <w:lvlJc w:val="left"/>
      <w:lvlText w:val="-"/>
      <w:numFmt w:val="bullet"/>
      <w:start w:val="1"/>
    </w:lvl>
  </w:abstractNum>
  <w:abstractNum w:abstractNumId="470">
    <w:nsid w:val="6F49CD8A"/>
    <w:multiLevelType w:val="hybridMultilevel"/>
    <w:lvl w:ilvl="0">
      <w:lvlJc w:val="left"/>
      <w:lvlText w:val="%1."/>
      <w:numFmt w:val="decimal"/>
      <w:start w:val="9"/>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jpeg"/><Relationship Id="rId140" Type="http://schemas.openxmlformats.org/officeDocument/2006/relationships/image" Target="media/image123.jpe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11" Type="http://schemas.openxmlformats.org/officeDocument/2006/relationships/hyperlink" Target="https://www.sec.gov/Archives/edgar/data/1726445/000162828020016325/exhibit33-sx1xamendeda.htm" TargetMode="External"/><Relationship Id="rId112" Type="http://schemas.openxmlformats.org/officeDocument/2006/relationships/hyperlink" Target="https://www.sec.gov/Archives/edgar/data/1726445/000162828020016325/exhibit34-sx1xformofamende.htm" TargetMode="External"/><Relationship Id="rId113" Type="http://schemas.openxmlformats.org/officeDocument/2006/relationships/hyperlink" Target="https://www.sec.gov/Archives/edgar/data/1726445/000162828020016325/exhibit41-stockcertifi.htm" TargetMode="External"/><Relationship Id="rId114" Type="http://schemas.openxmlformats.org/officeDocument/2006/relationships/hyperlink" Target="https://www.sec.gov/Archives/edgar/data/1726445/000162828020016325/exhibit42-sx1xamendeda.htm" TargetMode="External"/><Relationship Id="rId115" Type="http://schemas.openxmlformats.org/officeDocument/2006/relationships/hyperlink" Target="https://www.sec.gov/Archives/edgar/data/1726445/000162828020016325/exhibit43-sx1xnovember.htm" TargetMode="External"/><Relationship Id="rId116" Type="http://schemas.openxmlformats.org/officeDocument/2006/relationships/hyperlink" Target="https://www.sec.gov/Archives/edgar/data/1726445/000162828020016325/exhibit101-sx1xformofi.htm" TargetMode="External"/><Relationship Id="rId117" Type="http://schemas.openxmlformats.org/officeDocument/2006/relationships/hyperlink" Target="https://www.sec.gov/Archives/edgar/data/1726445/000162828020016325/exhibit1014-sx1xumbrel.htm" TargetMode="External"/><Relationship Id="rId118" Type="http://schemas.openxmlformats.org/officeDocument/2006/relationships/hyperlink" Target="https://www.sec.gov/Archives/edgar/data/1726445/000162828020016325/exhibit1015-sx1xexclus.htm" TargetMode="External"/><Relationship Id="rId119" Type="http://schemas.openxmlformats.org/officeDocument/2006/relationships/hyperlink" Target="https://www.sec.gov/Archives/edgar/data/1726445/000162828020016325/exhibit1016-sx1xclassa.htm" TargetMode="External"/><Relationship Id="rId120" Type="http://schemas.openxmlformats.org/officeDocument/2006/relationships/hyperlink" Target="https://www.sec.gov/Archives/edgar/data/1726445/000162828020016325/seers-1.htm#i3bb4bcad4786441e8c1069024e05b818_2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2020-11-30T05:14:09Z</dcterms:created>
  <dcterms:modified xsi:type="dcterms:W3CDTF">2020-11-30T05:14:09Z</dcterms:modified>
</cp:coreProperties>
</file>