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SEER,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81578P106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Invus Public Equities,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Bermuda</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Invus Public Equities Advisors,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Artal Treasury Limited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Guernsey</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Artal International S.C.A.</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Luxembourg</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Artal International Management S.A.</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Luxembourg</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Artal Group S.A.</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Luxembourg</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Westend S.A.</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Luxembourg</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Stichting Administratiekantoor Westend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0"/>
              </w:rPr>
              <w:t>CUSIP No. 81578P106</w:t>
            </w:r>
          </w:p>
        </w:tc>
        <w:tc>
          <w:tcPr>
            <w:tcW w:w="120" w:type="dxa"/>
            <w:vAlign w:val="bottom"/>
          </w:tcPr>
          <w:p>
            <w:pPr>
              <w:spacing w:after="0"/>
              <w:rPr>
                <w:sz w:val="20"/>
                <w:szCs w:val="20"/>
                <w:color w:val="auto"/>
              </w:rPr>
            </w:pPr>
          </w:p>
        </w:tc>
        <w:tc>
          <w:tcPr>
            <w:tcW w:w="9080" w:type="dxa"/>
            <w:vAlign w:val="bottom"/>
          </w:tcPr>
          <w:p>
            <w:pPr>
              <w:ind w:left="36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Mr. Amaury Wittouck</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Belgium</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4,750,000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gridSpan w:val="2"/>
          </w:tcPr>
          <w:p>
            <w:pPr>
              <w:jc w:val="right"/>
              <w:ind w:right="52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4"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Seer,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3800 Bridge Parkway, Suite 102, Redwood City, California 94065</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3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3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100" w:right="4759" w:hanging="2"/>
        <w:spacing w:after="0" w:line="286" w:lineRule="auto"/>
        <w:tabs>
          <w:tab w:leader="none" w:pos="1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Invus Public Equities, L.P. (“Invus Public Equities”) 750 Lexington Avenue, 30th Floor, New York, NY 10022 Citizenship: Bermuda limited partnership</w:t>
      </w:r>
    </w:p>
    <w:p>
      <w:pPr>
        <w:spacing w:after="0" w:line="57" w:lineRule="exact"/>
        <w:rPr>
          <w:rFonts w:ascii="Arial" w:cs="Arial" w:eastAsia="Arial" w:hAnsi="Arial"/>
          <w:sz w:val="17"/>
          <w:szCs w:val="17"/>
          <w:color w:val="auto"/>
        </w:rPr>
      </w:pPr>
    </w:p>
    <w:p>
      <w:pPr>
        <w:ind w:left="1100" w:right="4319" w:hanging="2"/>
        <w:spacing w:after="0" w:line="263" w:lineRule="auto"/>
        <w:tabs>
          <w:tab w:leader="none" w:pos="136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Invus Public Equities Advisors, LLC (“Invus PE Advisors”) 750 Lexington Avenue, 30th Floor, New York, NY 10022 Citizenship: Delaware limited liability company</w:t>
      </w:r>
    </w:p>
    <w:p>
      <w:pPr>
        <w:spacing w:after="0" w:line="75" w:lineRule="exact"/>
        <w:rPr>
          <w:rFonts w:ascii="Arial" w:cs="Arial" w:eastAsia="Arial" w:hAnsi="Arial"/>
          <w:sz w:val="18"/>
          <w:szCs w:val="18"/>
          <w:color w:val="auto"/>
        </w:rPr>
      </w:pPr>
    </w:p>
    <w:p>
      <w:pPr>
        <w:ind w:left="1420" w:hanging="32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Artal Treasury Limited (“Artal Treasury”)</w:t>
      </w:r>
    </w:p>
    <w:p>
      <w:pPr>
        <w:spacing w:after="0" w:line="23" w:lineRule="exact"/>
        <w:rPr>
          <w:sz w:val="20"/>
          <w:szCs w:val="20"/>
          <w:color w:val="auto"/>
        </w:rPr>
      </w:pPr>
    </w:p>
    <w:p>
      <w:pPr>
        <w:ind w:left="1100" w:right="3799"/>
        <w:spacing w:after="0" w:line="260" w:lineRule="auto"/>
        <w:rPr>
          <w:sz w:val="20"/>
          <w:szCs w:val="20"/>
          <w:color w:val="auto"/>
        </w:rPr>
      </w:pPr>
      <w:r>
        <w:rPr>
          <w:rFonts w:ascii="Arial" w:cs="Arial" w:eastAsia="Arial" w:hAnsi="Arial"/>
          <w:sz w:val="18"/>
          <w:szCs w:val="18"/>
          <w:color w:val="auto"/>
        </w:rPr>
        <w:t>Suite 4, Borough House, Rue du Pré, St. Peter Port, Guernsey GY1 3JJ Citizenship: Guernsey company</w:t>
      </w:r>
    </w:p>
    <w:p>
      <w:pPr>
        <w:spacing w:after="0" w:line="77" w:lineRule="exact"/>
        <w:rPr>
          <w:sz w:val="20"/>
          <w:szCs w:val="20"/>
          <w:color w:val="auto"/>
        </w:rPr>
      </w:pPr>
    </w:p>
    <w:p>
      <w:pPr>
        <w:ind w:left="1100" w:right="4919" w:hanging="2"/>
        <w:spacing w:after="0" w:line="311" w:lineRule="auto"/>
        <w:tabs>
          <w:tab w:leader="none" w:pos="1405" w:val="left"/>
        </w:tabs>
        <w:numPr>
          <w:ilvl w:val="0"/>
          <w:numId w:val="6"/>
        </w:numPr>
        <w:rPr>
          <w:rFonts w:ascii="Arial" w:cs="Arial" w:eastAsia="Arial" w:hAnsi="Arial"/>
          <w:sz w:val="16"/>
          <w:szCs w:val="16"/>
          <w:color w:val="auto"/>
        </w:rPr>
      </w:pPr>
      <w:r>
        <w:rPr>
          <w:rFonts w:ascii="Arial" w:cs="Arial" w:eastAsia="Arial" w:hAnsi="Arial"/>
          <w:sz w:val="16"/>
          <w:szCs w:val="16"/>
          <w:color w:val="auto"/>
        </w:rPr>
        <w:t>Artal International S.C.A. (“Artal International”) Valley Park, 44, Rue de la Vallée, L-2661, Luxembourg Citizenship: Luxembourg limited partnership</w:t>
      </w:r>
    </w:p>
    <w:p>
      <w:pPr>
        <w:spacing w:after="0" w:line="40" w:lineRule="exact"/>
        <w:rPr>
          <w:rFonts w:ascii="Arial" w:cs="Arial" w:eastAsia="Arial" w:hAnsi="Arial"/>
          <w:sz w:val="16"/>
          <w:szCs w:val="16"/>
          <w:color w:val="auto"/>
        </w:rPr>
      </w:pPr>
    </w:p>
    <w:p>
      <w:pPr>
        <w:ind w:left="1100" w:right="3339" w:hanging="2"/>
        <w:spacing w:after="0" w:line="274" w:lineRule="auto"/>
        <w:tabs>
          <w:tab w:leader="none" w:pos="13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Artal International Management S.A. (“Artal International Management”) Valley Park, 44, Rue de la Vallée, L-2661, Luxembourg</w:t>
      </w:r>
    </w:p>
    <w:p>
      <w:pPr>
        <w:ind w:left="1100"/>
        <w:spacing w:after="0"/>
        <w:rPr>
          <w:rFonts w:ascii="Arial" w:cs="Arial" w:eastAsia="Arial" w:hAnsi="Arial"/>
          <w:sz w:val="17"/>
          <w:szCs w:val="17"/>
          <w:color w:val="auto"/>
        </w:rPr>
      </w:pPr>
      <w:r>
        <w:rPr>
          <w:rFonts w:ascii="Arial" w:cs="Arial" w:eastAsia="Arial" w:hAnsi="Arial"/>
          <w:sz w:val="18"/>
          <w:szCs w:val="18"/>
          <w:color w:val="auto"/>
        </w:rPr>
        <w:t>Citizenship: Luxembourg société anonyme</w:t>
      </w:r>
    </w:p>
    <w:p>
      <w:pPr>
        <w:spacing w:after="0" w:line="102" w:lineRule="exact"/>
        <w:rPr>
          <w:rFonts w:ascii="Arial" w:cs="Arial" w:eastAsia="Arial" w:hAnsi="Arial"/>
          <w:sz w:val="17"/>
          <w:szCs w:val="17"/>
          <w:color w:val="auto"/>
        </w:rPr>
      </w:pPr>
    </w:p>
    <w:p>
      <w:pPr>
        <w:ind w:left="1400" w:hanging="302"/>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Artal Group S.A. (“Artal Group”)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Valley Park, 44, Rue de la Vallée, L-2661, Luxembourg</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Citizenship: Luxembourg société anonyme</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(vii) Westend S.A. (“Westend”)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Valley Park, 44, Rue de la Vallée, L-2661, Luxembourg</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Citizenship: Luxembourg société anonyme</w:t>
      </w:r>
    </w:p>
    <w:p>
      <w:pPr>
        <w:spacing w:after="0" w:line="103" w:lineRule="exact"/>
        <w:rPr>
          <w:sz w:val="20"/>
          <w:szCs w:val="20"/>
          <w:color w:val="auto"/>
        </w:rPr>
      </w:pPr>
    </w:p>
    <w:p>
      <w:pPr>
        <w:ind w:left="1100" w:right="4219" w:hanging="2"/>
        <w:spacing w:after="0" w:line="286" w:lineRule="auto"/>
        <w:tabs>
          <w:tab w:leader="none" w:pos="1505" w:val="left"/>
        </w:tabs>
        <w:numPr>
          <w:ilvl w:val="0"/>
          <w:numId w:val="7"/>
        </w:numPr>
        <w:rPr>
          <w:rFonts w:ascii="Arial" w:cs="Arial" w:eastAsia="Arial" w:hAnsi="Arial"/>
          <w:sz w:val="17"/>
          <w:szCs w:val="17"/>
          <w:color w:val="auto"/>
        </w:rPr>
      </w:pPr>
      <w:r>
        <w:rPr>
          <w:rFonts w:ascii="Arial" w:cs="Arial" w:eastAsia="Arial" w:hAnsi="Arial"/>
          <w:sz w:val="17"/>
          <w:szCs w:val="17"/>
          <w:color w:val="auto"/>
        </w:rPr>
        <w:t>Stichting Administratiekantoor Westend (the “Stichting”) Claude Debussylaan, 46, 1082 MD Amsterdam, The Netherlands Citizenship: Netherlands foundation</w:t>
      </w:r>
    </w:p>
    <w:p>
      <w:pPr>
        <w:spacing w:after="0" w:line="57" w:lineRule="exact"/>
        <w:rPr>
          <w:rFonts w:ascii="Arial" w:cs="Arial" w:eastAsia="Arial" w:hAnsi="Arial"/>
          <w:sz w:val="17"/>
          <w:szCs w:val="17"/>
          <w:color w:val="auto"/>
        </w:rPr>
      </w:pPr>
    </w:p>
    <w:p>
      <w:pPr>
        <w:ind w:left="1400" w:hanging="302"/>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Amaury Wittouck</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Valley Park, 44, Rue de la Vallée, L-2661, Luxembourg</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Citizenship: Belgium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foregoing persons are hereinafter sometimes collectively referred to as the “Reporting Persons.”</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19"/>
          </w:cols>
          <w:pgMar w:left="440" w:top="270" w:right="1440" w:bottom="1440" w:gutter="0" w:footer="0" w:header="0"/>
        </w:sectPr>
      </w:pPr>
    </w:p>
    <w:bookmarkStart w:id="11" w:name="page12"/>
    <w:bookmarkEnd w:id="1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Class A Common Stock, par value $0.00001 per share (the “Shares”)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81578P106</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 240.13d-2(b) or (c), Check Whether the Person Filing Is a(n):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This Item 3 is 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Amount beneficially owned:</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of December 31, 2021, Invus Public Equities directly held 4,750,000 Shares. Invus PE Advisors, as the general partner of Invus Public Equities, controls Invus Public Equities and, accordingly, may be deemed to beneficially own the Shares held by Invus Public Equities. As of December 31, 2021, Artal Treasury, as the managing member of Invus PE Advisors, controlled Invus PE Advisors and, accordingly, may be deemed to beneficially own the Shares that Invus PE Advisors may be deemed to beneficially own. Artal International, as its Geneva branch is the sole stockholder of Artal Treasury, controls Artal Treasury and, accordingly, may be deemed to beneficially own the Shares that Artal Treasury may be deemed to beneficially own. Artal International Management, as the managing partner of Artal International, controls Artal International and, accordingly, may be deemed to beneficially own the Shares that Artal International may be deemed to beneficially own. Artal Group, as the parent company of Artal International Management, controls Artal International Management and, accordingly, may be deemed to beneficially own the Shares that Artal International Management may be deemed to beneficially own. Westend, as the parent company of Artal Group, controls Artal Group and, accordingly, may be deemed to beneficially own the Shares that Artal Group may be deemed to beneficially own. The Stichting, as the majority stockholder of Westend, controls Westend and, accordingly, may be deemed to beneficially own the Shares that Westend may be deemed to beneficially own. Mr. Wittouck, as the sole member of the board of the Stichting, controls the Stichting and, accordingly, may be deemed to beneficially own the Shares that the Stichting may be deemed to beneficially own.</w:t>
      </w:r>
    </w:p>
    <w:p>
      <w:pPr>
        <w:spacing w:after="0" w:line="18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Effective as of February 9, 2022, in connection with an internal reorganization, Artal Treasury ceased to be the managing member of Invus PE Advisors, and the Geneva branch of Artal International, the sole stockholder of Artal Treasury, became the managing member of Invus PE Advisors and, accordingly, may be deemed to beneficially own the Shares that Invus PE Advisors may be deemed to beneficially own. Effective as of such date, Artal Treasury is no longer deemed to beneficially own the Shares that Invus PE Advisors may be deemed to beneficially own.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Percent of class: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Each of the Reporting Persons may be deemed to be the beneficial owner of the percentage of Shares listed on such Reporting Person’s cover page. Calculations of the percentage of Shares beneficially owned assume 57,022,436 shares outstanding as of November 5, 2021 according to the Quarterly Report on Form 10-Q filed with the Securities and Exchange Commission on November 9,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 As of December 31, 2021, number of shares as to which the person has: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Invus Public Equities, Invus PE Advisors, Artal Treasury, Artal International, Artal International Management, Artal Group, Westend, The Stichting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Wittouck:</w:t>
      </w:r>
    </w:p>
    <w:p>
      <w:pPr>
        <w:spacing w:after="0" w:line="103" w:lineRule="exact"/>
        <w:rPr>
          <w:sz w:val="20"/>
          <w:szCs w:val="20"/>
          <w:color w:val="auto"/>
        </w:rPr>
      </w:pPr>
    </w:p>
    <w:p>
      <w:pPr>
        <w:ind w:left="860" w:right="7500" w:hanging="424"/>
        <w:spacing w:after="0" w:line="375"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4,750,000</w:t>
      </w:r>
    </w:p>
    <w:p>
      <w:pPr>
        <w:spacing w:after="0" w:line="1" w:lineRule="exact"/>
        <w:rPr>
          <w:rFonts w:ascii="Arial" w:cs="Arial" w:eastAsia="Arial" w:hAnsi="Arial"/>
          <w:sz w:val="18"/>
          <w:szCs w:val="18"/>
          <w:color w:val="auto"/>
        </w:rPr>
      </w:pPr>
    </w:p>
    <w:p>
      <w:pPr>
        <w:ind w:left="860" w:right="7260" w:hanging="424"/>
        <w:spacing w:after="0" w:line="375" w:lineRule="auto"/>
        <w:tabs>
          <w:tab w:leader="none" w:pos="702"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860" w:right="6480" w:hanging="424"/>
        <w:spacing w:after="0" w:line="375" w:lineRule="auto"/>
        <w:tabs>
          <w:tab w:leader="none" w:pos="7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4,750,000</w:t>
      </w:r>
    </w:p>
    <w:p>
      <w:pPr>
        <w:spacing w:after="0" w:line="1" w:lineRule="exact"/>
        <w:rPr>
          <w:rFonts w:ascii="Arial" w:cs="Arial" w:eastAsia="Arial" w:hAnsi="Arial"/>
          <w:sz w:val="18"/>
          <w:szCs w:val="18"/>
          <w:color w:val="auto"/>
        </w:rPr>
      </w:pPr>
    </w:p>
    <w:p>
      <w:pPr>
        <w:ind w:left="860" w:right="6320" w:hanging="424"/>
        <w:spacing w:after="0" w:line="399" w:lineRule="auto"/>
        <w:tabs>
          <w:tab w:leader="none" w:pos="742"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2" w:name="page13"/>
    <w:bookmarkEnd w:id="1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Item 6 is not applicable.</w:t>
      </w:r>
    </w:p>
    <w:p>
      <w:pPr>
        <w:spacing w:after="0" w:line="370" w:lineRule="exact"/>
        <w:rPr>
          <w:sz w:val="20"/>
          <w:szCs w:val="20"/>
          <w:color w:val="auto"/>
        </w:rPr>
      </w:pPr>
    </w:p>
    <w:p>
      <w:pPr>
        <w:ind w:left="1080" w:right="3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This Item 7 is 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Item 8 is 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Item 9 is 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1817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0"/>
          </w:cols>
          <w:pgMar w:left="440" w:top="270" w:right="6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INVUS PUBLIC EQUITIES ADVISORS,</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Debbane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Raymond Debbane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INVUS PUBLIC EQUITIES ADVISORS,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Debbane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Raymond Debbane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ARTAL TREASURY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Le Poidevin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Keith Le Poidevin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ARTAL INTERNATIONAL S.C.A.</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ARTAL INTERNATIONAL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MANAGEMENT S.A., its managing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ARTAL INTERNATIONAL MANAGEMENT S.A.</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1020"/>
          </w:cols>
          <w:pgMar w:left="440" w:top="270" w:right="439" w:bottom="1440" w:gutter="0" w:footer="0" w:header="0"/>
        </w:sectPr>
      </w:pPr>
    </w:p>
    <w:bookmarkStart w:id="14" w:name="page15"/>
    <w:bookmarkEnd w:id="1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ARTAL GROUP S.A.</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WESTEND S.A.</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STICHTING</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ADMINISTRATIEKANTOOR WESTEND</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Amaury Wittouck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Amaury Wittouck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Sole Member of the Board</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MR. AMAURY WITTOUCK</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Amaury Wittouck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Dated: February 11, 2022</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Roman"/>
      <w:start w:val="4"/>
    </w:lvl>
  </w:abstractNum>
  <w:abstractNum w:abstractNumId="6">
    <w:nsid w:val="79E2A9E3"/>
    <w:multiLevelType w:val="hybridMultilevel"/>
    <w:lvl w:ilvl="0">
      <w:lvlJc w:val="left"/>
      <w:lvlText w:val="(%1)"/>
      <w:numFmt w:val="lowerRoman"/>
      <w:start w:val="8"/>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2022-02-12T01:01:45Z</dcterms:created>
  <dcterms:modified xsi:type="dcterms:W3CDTF">2022-02-12T01:01:45Z</dcterms:modified>
</cp:coreProperties>
</file>