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Seer,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81578P106</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1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SB Global Advisers Limited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England and Wales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5,135,383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2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SoftBank Vision Fund II-2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Jersey</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5,135,383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3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SVF II Aggregator (Jersey)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Jersey</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5,135,383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4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SVF II Holdings (DE) LLC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Delaware</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5,135,383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OO (Limited Liability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5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SVF II Oyster (DE) LLC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Delaware</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5,135,383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5,135,383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OO (Limited Liability Company)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6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SB Investment Advisers (UK) Limited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England and Wales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6"/>
              </w:rPr>
              <w:t>CO</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00" w:type="dxa"/>
            <w:vAlign w:val="bottom"/>
            <w:gridSpan w:val="2"/>
          </w:tcPr>
          <w:p>
            <w:pPr>
              <w:ind w:left="3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720" w:type="dxa"/>
            <w:vAlign w:val="bottom"/>
            <w:gridSpan w:val="7"/>
          </w:tcPr>
          <w:p>
            <w:pPr>
              <w:spacing w:after="0"/>
              <w:rPr>
                <w:sz w:val="20"/>
                <w:szCs w:val="20"/>
                <w:color w:val="auto"/>
              </w:rPr>
            </w:pPr>
            <w:r>
              <w:rPr>
                <w:rFonts w:ascii="Arial" w:cs="Arial" w:eastAsia="Arial" w:hAnsi="Arial"/>
                <w:sz w:val="18"/>
                <w:szCs w:val="18"/>
                <w:color w:val="auto"/>
                <w:w w:val="91"/>
              </w:rPr>
              <w:t>CUSIP No. 81578P106</w:t>
            </w:r>
          </w:p>
        </w:tc>
        <w:tc>
          <w:tcPr>
            <w:tcW w:w="9300" w:type="dxa"/>
            <w:vAlign w:val="bottom"/>
            <w:gridSpan w:val="2"/>
          </w:tcPr>
          <w:p>
            <w:pPr>
              <w:ind w:left="8380"/>
              <w:spacing w:after="0"/>
              <w:rPr>
                <w:sz w:val="20"/>
                <w:szCs w:val="20"/>
                <w:color w:val="auto"/>
              </w:rPr>
            </w:pPr>
            <w:r>
              <w:rPr>
                <w:rFonts w:ascii="Arial" w:cs="Arial" w:eastAsia="Arial" w:hAnsi="Arial"/>
                <w:sz w:val="18"/>
                <w:szCs w:val="18"/>
                <w:color w:val="auto"/>
                <w:w w:val="88"/>
              </w:rPr>
              <w:t>Page 7 of 13</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6"/>
          </w:tcPr>
          <w:p>
            <w:pPr>
              <w:ind w:left="180"/>
              <w:spacing w:after="0"/>
              <w:rPr>
                <w:sz w:val="20"/>
                <w:szCs w:val="20"/>
                <w:color w:val="auto"/>
              </w:rPr>
            </w:pPr>
            <w:r>
              <w:rPr>
                <w:rFonts w:ascii="Arial" w:cs="Arial" w:eastAsia="Arial" w:hAnsi="Arial"/>
                <w:sz w:val="18"/>
                <w:szCs w:val="18"/>
                <w:color w:val="auto"/>
              </w:rPr>
              <w:t>SVF II AIV-1 (DE)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280" w:type="dxa"/>
            <w:vAlign w:val="bottom"/>
            <w:gridSpan w:val="5"/>
          </w:tcPr>
          <w:p>
            <w:pPr>
              <w:ind w:left="180"/>
              <w:spacing w:after="0"/>
              <w:rPr>
                <w:sz w:val="20"/>
                <w:szCs w:val="20"/>
                <w:color w:val="auto"/>
              </w:rPr>
            </w:pPr>
            <w:r>
              <w:rPr>
                <w:rFonts w:ascii="Arial" w:cs="Arial" w:eastAsia="Arial" w:hAnsi="Arial"/>
                <w:sz w:val="18"/>
                <w:szCs w:val="18"/>
                <w:color w:val="auto"/>
                <w:w w:val="93"/>
              </w:rPr>
              <w:t>SEC Use Only</w:t>
            </w:r>
          </w:p>
        </w:tc>
        <w:tc>
          <w:tcPr>
            <w:tcW w:w="9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4"/>
              </w:rPr>
              <w:t>Delaware</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2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gridSpan w:val="2"/>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tcBorders>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0</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4"/>
                <w:szCs w:val="24"/>
                <w:color w:val="auto"/>
              </w:rPr>
            </w:pPr>
          </w:p>
        </w:tc>
        <w:tc>
          <w:tcPr>
            <w:tcW w:w="10480" w:type="dxa"/>
            <w:vAlign w:val="bottom"/>
            <w:tcBorders>
              <w:right w:val="single" w:sz="8" w:color="auto"/>
            </w:tcBorders>
            <w:gridSpan w:val="6"/>
          </w:tcPr>
          <w:p>
            <w:pPr>
              <w:ind w:left="1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93"/>
              </w:rPr>
              <w:t>Not Applicable</w:t>
            </w: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52"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CUSIP No. 81578P106</w:t>
      </w:r>
      <w:r>
        <w:rPr>
          <w:sz w:val="20"/>
          <w:szCs w:val="20"/>
          <w:color w:val="auto"/>
        </w:rPr>
        <w:tab/>
      </w:r>
      <w:r>
        <w:rPr>
          <w:rFonts w:ascii="Arial" w:cs="Arial" w:eastAsia="Arial" w:hAnsi="Arial"/>
          <w:sz w:val="16"/>
          <w:szCs w:val="16"/>
          <w:color w:val="auto"/>
        </w:rPr>
        <w:t>Page 8 of 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Seer, Inc. (the “Issuer”)</w:t>
      </w:r>
    </w:p>
    <w:p>
      <w:pPr>
        <w:spacing w:after="0" w:line="127" w:lineRule="exact"/>
        <w:rPr>
          <w:sz w:val="20"/>
          <w:szCs w:val="20"/>
          <w:color w:val="auto"/>
        </w:rPr>
      </w:pPr>
    </w:p>
    <w:p>
      <w:pPr>
        <w:ind w:left="1420" w:hanging="439"/>
        <w:spacing w:after="0"/>
        <w:tabs>
          <w:tab w:leader="none" w:pos="1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3800 Bridge Parkway, Suite 102</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Redwood City, California 94065</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 Name of Person Filing:</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Each of the following is hereinafter individually referred to as a “Reporting Person” and collectively as the “Reporting</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Persons.” This statement is filed on behalf of:</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SB Global Advisers Limited</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SoftBank Vision Fund II-2 L.P.</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II Aggregator (Jersey) L.P.</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II Holdings (DE) LLC</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II Oyster (DE) LLC</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SB Investment Advisers (UK) Limited (“SBIA UK”)</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II AIV-1 (DE) L.P. (“SVF”)</w:t>
      </w:r>
    </w:p>
    <w:p>
      <w:pPr>
        <w:spacing w:after="0" w:line="112" w:lineRule="exact"/>
        <w:rPr>
          <w:sz w:val="20"/>
          <w:szCs w:val="20"/>
          <w:color w:val="auto"/>
        </w:rPr>
      </w:pPr>
    </w:p>
    <w:p>
      <w:pPr>
        <w:ind w:left="1740" w:hanging="543"/>
        <w:spacing w:after="0"/>
        <w:tabs>
          <w:tab w:leader="none" w:pos="1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121" w:lineRule="exact"/>
        <w:rPr>
          <w:sz w:val="20"/>
          <w:szCs w:val="20"/>
          <w:color w:val="auto"/>
        </w:rPr>
      </w:pPr>
    </w:p>
    <w:p>
      <w:pPr>
        <w:ind w:left="1420" w:right="220" w:firstLine="383"/>
        <w:spacing w:after="0" w:line="259" w:lineRule="auto"/>
        <w:rPr>
          <w:sz w:val="20"/>
          <w:szCs w:val="20"/>
          <w:color w:val="auto"/>
        </w:rPr>
      </w:pPr>
      <w:r>
        <w:rPr>
          <w:rFonts w:ascii="Arial" w:cs="Arial" w:eastAsia="Arial" w:hAnsi="Arial"/>
          <w:sz w:val="18"/>
          <w:szCs w:val="18"/>
          <w:color w:val="auto"/>
        </w:rPr>
        <w:t>The address for each of SB Global Advisers Limited and SBIA UK is 69 Grosvenor Street, London W1K 3JP, United Kingdom. The address for each of SoftBank Vision Fund II-2 L.P. and SVF II Aggregator (Jersey) L.P. is Crestbridge Limited, 47 Esplanade, St. Helier, Jersey, JE1 0BD. The address for each of the other Reporting Persons is 251 Little Falls Drive, Wilmington, DE 19808.</w:t>
      </w:r>
    </w:p>
    <w:p>
      <w:pPr>
        <w:spacing w:after="0" w:line="88" w:lineRule="exact"/>
        <w:rPr>
          <w:sz w:val="20"/>
          <w:szCs w:val="20"/>
          <w:color w:val="auto"/>
        </w:rPr>
      </w:pPr>
    </w:p>
    <w:p>
      <w:pPr>
        <w:ind w:left="1740" w:hanging="543"/>
        <w:spacing w:after="0"/>
        <w:tabs>
          <w:tab w:leader="none" w:pos="1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121" w:lineRule="exact"/>
        <w:rPr>
          <w:sz w:val="20"/>
          <w:szCs w:val="20"/>
          <w:color w:val="auto"/>
        </w:rPr>
      </w:pPr>
    </w:p>
    <w:p>
      <w:pPr>
        <w:jc w:val="both"/>
        <w:ind w:left="1420" w:right="20" w:firstLine="383"/>
        <w:spacing w:after="0" w:line="263" w:lineRule="auto"/>
        <w:rPr>
          <w:sz w:val="20"/>
          <w:szCs w:val="20"/>
          <w:color w:val="auto"/>
        </w:rPr>
      </w:pPr>
      <w:r>
        <w:rPr>
          <w:rFonts w:ascii="Arial" w:cs="Arial" w:eastAsia="Arial" w:hAnsi="Arial"/>
          <w:sz w:val="18"/>
          <w:szCs w:val="18"/>
          <w:color w:val="auto"/>
        </w:rPr>
        <w:t>SB Global Advisers Limited and SBIA UK are organized under the laws of England and Wales. SoftBank Vision Fund II-2 L.P. and SVF II Aggregator (Jersey) L.P. are organized under the laws of Jersey. Each of the other reporting persons are organized under the laws of the State of Delaware.</w:t>
      </w:r>
    </w:p>
    <w:p>
      <w:pPr>
        <w:spacing w:after="0" w:line="85" w:lineRule="exact"/>
        <w:rPr>
          <w:sz w:val="20"/>
          <w:szCs w:val="20"/>
          <w:color w:val="auto"/>
        </w:rPr>
      </w:pPr>
    </w:p>
    <w:p>
      <w:pPr>
        <w:ind w:left="1740" w:hanging="543"/>
        <w:spacing w:after="0"/>
        <w:tabs>
          <w:tab w:leader="none" w:pos="1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Class A Common stock, par value $ 0.00001 per share (“Class A Common Stock”).</w:t>
      </w:r>
    </w:p>
    <w:p>
      <w:pPr>
        <w:spacing w:after="0" w:line="127" w:lineRule="exact"/>
        <w:rPr>
          <w:sz w:val="20"/>
          <w:szCs w:val="20"/>
          <w:color w:val="auto"/>
        </w:rPr>
      </w:pPr>
    </w:p>
    <w:p>
      <w:pPr>
        <w:ind w:left="1820" w:right="8000" w:hanging="623"/>
        <w:spacing w:after="0" w:line="445" w:lineRule="auto"/>
        <w:tabs>
          <w:tab w:leader="none" w:pos="174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81578P106</w:t>
      </w:r>
    </w:p>
    <w:p>
      <w:pPr>
        <w:sectPr>
          <w:pgSz w:w="11900" w:h="16838" w:orient="portrait"/>
          <w:cols w:equalWidth="0" w:num="1">
            <w:col w:w="11020"/>
          </w:cols>
          <w:pgMar w:left="440" w:top="274"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52"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CUSIP No. 81578P106</w:t>
      </w:r>
      <w:r>
        <w:rPr>
          <w:sz w:val="20"/>
          <w:szCs w:val="20"/>
          <w:color w:val="auto"/>
        </w:rPr>
        <w:tab/>
      </w:r>
      <w:r>
        <w:rPr>
          <w:rFonts w:ascii="Arial" w:cs="Arial" w:eastAsia="Arial" w:hAnsi="Arial"/>
          <w:sz w:val="16"/>
          <w:szCs w:val="16"/>
          <w:color w:val="auto"/>
        </w:rPr>
        <w:t>Page 9 of 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w:t>
      </w:r>
    </w:p>
    <w:p>
      <w:pPr>
        <w:spacing w:after="0" w:line="121" w:lineRule="exact"/>
        <w:rPr>
          <w:sz w:val="20"/>
          <w:szCs w:val="20"/>
          <w:color w:val="auto"/>
        </w:rPr>
      </w:pPr>
    </w:p>
    <w:p>
      <w:pPr>
        <w:ind w:left="980" w:right="340" w:firstLine="401"/>
        <w:spacing w:after="0" w:line="286" w:lineRule="auto"/>
        <w:rPr>
          <w:sz w:val="20"/>
          <w:szCs w:val="20"/>
          <w:color w:val="auto"/>
        </w:rPr>
      </w:pPr>
      <w:r>
        <w:rPr>
          <w:rFonts w:ascii="Arial" w:cs="Arial" w:eastAsia="Arial" w:hAnsi="Arial"/>
          <w:sz w:val="17"/>
          <w:szCs w:val="17"/>
          <w:color w:val="auto"/>
        </w:rPr>
        <w:t>The ownership information presented below represents beneficial ownership of Class A Common Stock of the Issuer as of December 31, 2021, based upon 57,022,436 shares of Class A Common Stock outstanding as of November 5, 2021, as disclosed in the Issuer’s Quarterly Report on Form 10-Q with the Securities and Exchange Commission on November 9,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Sole power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Sole power</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Shared</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to dispose</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160" w:type="dxa"/>
            <w:vAlign w:val="bottom"/>
            <w:vMerge w:val="restart"/>
          </w:tcPr>
          <w:p>
            <w:pPr>
              <w:jc w:val="center"/>
              <w:ind w:left="1055"/>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9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vote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160" w:type="dxa"/>
            <w:vAlign w:val="bottom"/>
          </w:tcPr>
          <w:p>
            <w:pPr>
              <w:jc w:val="center"/>
              <w:ind w:left="1055"/>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0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direct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direct the</w:t>
            </w:r>
          </w:p>
        </w:tc>
        <w:tc>
          <w:tcPr>
            <w:tcW w:w="98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rPr>
              <w:t>disposition</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5"/>
        </w:trPr>
        <w:tc>
          <w:tcPr>
            <w:tcW w:w="4060" w:type="dxa"/>
            <w:vAlign w:val="bottom"/>
            <w:vMerge w:val="continue"/>
          </w:tcPr>
          <w:p>
            <w:pPr>
              <w:spacing w:after="0"/>
              <w:rPr>
                <w:sz w:val="15"/>
                <w:szCs w:val="15"/>
                <w:color w:val="auto"/>
              </w:rPr>
            </w:pPr>
          </w:p>
        </w:tc>
        <w:tc>
          <w:tcPr>
            <w:tcW w:w="2160" w:type="dxa"/>
            <w:vAlign w:val="bottom"/>
          </w:tcPr>
          <w:p>
            <w:pPr>
              <w:jc w:val="center"/>
              <w:ind w:left="1035"/>
              <w:spacing w:after="0"/>
              <w:rPr>
                <w:sz w:val="20"/>
                <w:szCs w:val="20"/>
                <w:color w:val="auto"/>
              </w:rPr>
            </w:pPr>
            <w:r>
              <w:rPr>
                <w:rFonts w:ascii="Arial" w:cs="Arial" w:eastAsia="Arial" w:hAnsi="Arial"/>
                <w:sz w:val="14"/>
                <w:szCs w:val="14"/>
                <w:b w:val="1"/>
                <w:bCs w:val="1"/>
                <w:color w:val="auto"/>
                <w:w w:val="90"/>
              </w:rPr>
              <w:t>owned</w:t>
            </w:r>
          </w:p>
        </w:tc>
        <w:tc>
          <w:tcPr>
            <w:tcW w:w="900" w:type="dxa"/>
            <w:vAlign w:val="bottom"/>
          </w:tcPr>
          <w:p>
            <w:pPr>
              <w:jc w:val="right"/>
              <w:ind w:right="174"/>
              <w:spacing w:after="0"/>
              <w:rPr>
                <w:sz w:val="20"/>
                <w:szCs w:val="20"/>
                <w:color w:val="auto"/>
              </w:rPr>
            </w:pPr>
            <w:r>
              <w:rPr>
                <w:rFonts w:ascii="Arial" w:cs="Arial" w:eastAsia="Arial" w:hAnsi="Arial"/>
                <w:sz w:val="14"/>
                <w:szCs w:val="14"/>
                <w:b w:val="1"/>
                <w:bCs w:val="1"/>
                <w:color w:val="auto"/>
              </w:rPr>
              <w:t>of class: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the vote: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SB Global Advisers Limited</w:t>
            </w:r>
          </w:p>
        </w:tc>
        <w:tc>
          <w:tcPr>
            <w:tcW w:w="2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5,135,383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5,135,383</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5,135,383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SoftBank Vision Fund II-2, L.P.</w:t>
            </w: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5,135,383</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5,135,383</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5,135,383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SVF II Aggregator (Jersey) L.P.</w:t>
            </w:r>
          </w:p>
        </w:tc>
        <w:tc>
          <w:tcPr>
            <w:tcW w:w="2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5,135,383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5,135,383</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5,135,383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SVF II Holdings (DE) LLC</w:t>
            </w: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5,135,383</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5,135,383</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5,135,383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SVF II Oyster (DE) LLC</w:t>
            </w:r>
          </w:p>
        </w:tc>
        <w:tc>
          <w:tcPr>
            <w:tcW w:w="2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5,135,383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5,135,383</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5,135,383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SB Investment Advisers (UK) Limited</w:t>
            </w: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0.0%</w:t>
            </w:r>
          </w:p>
        </w:tc>
        <w:tc>
          <w:tcPr>
            <w:tcW w:w="980" w:type="dxa"/>
            <w:vAlign w:val="bottom"/>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0</w:t>
            </w:r>
          </w:p>
        </w:tc>
        <w:tc>
          <w:tcPr>
            <w:tcW w:w="98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SVF II AIV-1 LP</w:t>
            </w:r>
          </w:p>
        </w:tc>
        <w:tc>
          <w:tcPr>
            <w:tcW w:w="2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w:t>
            </w: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980" w:right="220" w:firstLine="401"/>
        <w:spacing w:after="0" w:line="263" w:lineRule="auto"/>
        <w:rPr>
          <w:sz w:val="20"/>
          <w:szCs w:val="20"/>
          <w:color w:val="auto"/>
        </w:rPr>
      </w:pPr>
      <w:r>
        <w:rPr>
          <w:rFonts w:ascii="Arial" w:cs="Arial" w:eastAsia="Arial" w:hAnsi="Arial"/>
          <w:sz w:val="18"/>
          <w:szCs w:val="18"/>
          <w:color w:val="auto"/>
        </w:rPr>
        <w:t>SVF II Oyster (DE) LLC is the record holder of the shares of Class A Common Stock reported herein. SoftBank Vision Fund II-2 L.P. is the sole limited partner of SVF II Aggregator (Jersey) L.P., which is the sole member of SVF II Holdings (DE) LLC, which is the sole member of SVF II Oyster (DE) LLC.</w:t>
      </w:r>
    </w:p>
    <w:p>
      <w:pPr>
        <w:spacing w:after="0" w:line="76" w:lineRule="exact"/>
        <w:rPr>
          <w:sz w:val="20"/>
          <w:szCs w:val="20"/>
          <w:color w:val="auto"/>
        </w:rPr>
      </w:pPr>
    </w:p>
    <w:p>
      <w:pPr>
        <w:ind w:left="980" w:right="100" w:firstLine="401"/>
        <w:spacing w:after="0" w:line="286" w:lineRule="auto"/>
        <w:rPr>
          <w:sz w:val="20"/>
          <w:szCs w:val="20"/>
          <w:color w:val="auto"/>
        </w:rPr>
      </w:pPr>
      <w:r>
        <w:rPr>
          <w:rFonts w:ascii="Arial" w:cs="Arial" w:eastAsia="Arial" w:hAnsi="Arial"/>
          <w:sz w:val="17"/>
          <w:szCs w:val="17"/>
          <w:color w:val="auto"/>
        </w:rPr>
        <w:t>SB Global Advisers Limited has been appointed as manager and is exclusively responsible for making all decisions related to the acquisition, structuring, financing and disposal of SoftBank Vision Fund II-2 L.P.’s investments. As a result of these relationships, each of the Reporting Persons may be deemed to share beneficial ownership of the securities reported herein.</w:t>
      </w:r>
    </w:p>
    <w:p>
      <w:pPr>
        <w:spacing w:after="0" w:line="57" w:lineRule="exact"/>
        <w:rPr>
          <w:sz w:val="20"/>
          <w:szCs w:val="20"/>
          <w:color w:val="auto"/>
        </w:rPr>
      </w:pPr>
    </w:p>
    <w:p>
      <w:pPr>
        <w:ind w:left="980" w:right="720" w:firstLine="401"/>
        <w:spacing w:after="0" w:line="277" w:lineRule="auto"/>
        <w:rPr>
          <w:sz w:val="20"/>
          <w:szCs w:val="20"/>
          <w:color w:val="auto"/>
        </w:rPr>
      </w:pPr>
      <w:r>
        <w:rPr>
          <w:rFonts w:ascii="Arial" w:cs="Arial" w:eastAsia="Arial" w:hAnsi="Arial"/>
          <w:sz w:val="18"/>
          <w:szCs w:val="18"/>
          <w:color w:val="auto"/>
        </w:rPr>
        <w:t>Following an internal reorganization, each of SBIA UK and SVF ceased to be the beneficial owner of any shares of Class A Common Stock.</w:t>
      </w:r>
    </w:p>
    <w:p>
      <w:pPr>
        <w:sectPr>
          <w:pgSz w:w="11900" w:h="16838" w:orient="portrait"/>
          <w:cols w:equalWidth="0" w:num="1">
            <w:col w:w="11020"/>
          </w:cols>
          <w:pgMar w:left="440" w:top="274"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CUSIP No. 81578P106</w:t>
      </w:r>
      <w:r>
        <w:rPr>
          <w:sz w:val="20"/>
          <w:szCs w:val="20"/>
          <w:color w:val="auto"/>
        </w:rPr>
        <w:tab/>
      </w:r>
      <w:r>
        <w:rPr>
          <w:rFonts w:ascii="Arial" w:cs="Arial" w:eastAsia="Arial" w:hAnsi="Arial"/>
          <w:sz w:val="16"/>
          <w:szCs w:val="16"/>
          <w:color w:val="auto"/>
        </w:rPr>
        <w:t>Page 10 of 13</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80" w:right="4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4" w:lineRule="exact"/>
        <w:rPr>
          <w:sz w:val="20"/>
          <w:szCs w:val="20"/>
          <w:color w:val="auto"/>
        </w:rPr>
      </w:pPr>
    </w:p>
    <w:p>
      <w:pPr>
        <w:ind w:left="1420" w:right="300" w:firstLine="383"/>
        <w:spacing w:after="0" w:line="277" w:lineRule="auto"/>
        <w:rPr>
          <w:sz w:val="20"/>
          <w:szCs w:val="20"/>
          <w:color w:val="auto"/>
        </w:rPr>
      </w:pPr>
      <w:r>
        <w:rPr>
          <w:rFonts w:ascii="Arial" w:cs="Arial" w:eastAsia="Arial" w:hAnsi="Arial"/>
          <w:sz w:val="18"/>
          <w:szCs w:val="18"/>
          <w:color w:val="auto"/>
        </w:rPr>
        <w:t>Following an internal reorganization, each of SBIA UK and SVF ceased to be the beneficial owner of any shares of Class A Common Stock.</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6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4"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CUSIP No. 81578P106</w:t>
      </w:r>
      <w:r>
        <w:rPr>
          <w:sz w:val="20"/>
          <w:szCs w:val="20"/>
          <w:color w:val="auto"/>
        </w:rPr>
        <w:tab/>
      </w:r>
      <w:r>
        <w:rPr>
          <w:rFonts w:ascii="Arial" w:cs="Arial" w:eastAsia="Arial" w:hAnsi="Arial"/>
          <w:sz w:val="16"/>
          <w:szCs w:val="16"/>
          <w:color w:val="auto"/>
        </w:rPr>
        <w:t>Page 11 of 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SB Global Advisers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Spencer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Spencer Collins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SoftBank Vision Fund II-2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SB Global Advisers Limited, its Manager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Spencer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Spencer Collins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Aggregator (Jersey)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SB Global Advisers Limited, its Manager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Spencer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Spencer Collins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Holdings (DE)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Ian McLean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Oyster (DE)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Ian McLean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1020"/>
          </w:cols>
          <w:pgMar w:left="440" w:top="274"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200" w:type="dxa"/>
            <w:vAlign w:val="bottom"/>
          </w:tcPr>
          <w:p>
            <w:pPr>
              <w:ind w:left="5000"/>
              <w:spacing w:after="0"/>
              <w:rPr>
                <w:sz w:val="20"/>
                <w:szCs w:val="20"/>
                <w:color w:val="auto"/>
              </w:rPr>
            </w:pPr>
            <w:r>
              <w:rPr>
                <w:rFonts w:ascii="Arial" w:cs="Arial" w:eastAsia="Arial" w:hAnsi="Arial"/>
                <w:sz w:val="18"/>
                <w:szCs w:val="18"/>
                <w:color w:val="auto"/>
              </w:rPr>
              <w:t>Schedule 13G</w:t>
            </w:r>
          </w:p>
        </w:tc>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7200" w:type="dxa"/>
            <w:vAlign w:val="bottom"/>
          </w:tcPr>
          <w:p>
            <w:pPr>
              <w:spacing w:after="0"/>
              <w:rPr>
                <w:sz w:val="20"/>
                <w:szCs w:val="20"/>
                <w:color w:val="auto"/>
              </w:rPr>
            </w:pPr>
            <w:r>
              <w:rPr>
                <w:rFonts w:ascii="Arial" w:cs="Arial" w:eastAsia="Arial" w:hAnsi="Arial"/>
                <w:sz w:val="18"/>
                <w:szCs w:val="18"/>
                <w:color w:val="auto"/>
              </w:rPr>
              <w:t>CUSIP No. 81578P106</w:t>
            </w:r>
          </w:p>
        </w:tc>
        <w:tc>
          <w:tcPr>
            <w:tcW w:w="3840" w:type="dxa"/>
            <w:vAlign w:val="bottom"/>
            <w:gridSpan w:val="2"/>
          </w:tcPr>
          <w:p>
            <w:pPr>
              <w:ind w:left="2820"/>
              <w:spacing w:after="0"/>
              <w:rPr>
                <w:sz w:val="20"/>
                <w:szCs w:val="20"/>
                <w:color w:val="auto"/>
              </w:rPr>
            </w:pPr>
            <w:r>
              <w:rPr>
                <w:rFonts w:ascii="Arial" w:cs="Arial" w:eastAsia="Arial" w:hAnsi="Arial"/>
                <w:sz w:val="18"/>
                <w:szCs w:val="18"/>
                <w:color w:val="auto"/>
                <w:w w:val="89"/>
              </w:rPr>
              <w:t>Page 12 of 13</w:t>
            </w:r>
          </w:p>
        </w:tc>
      </w:tr>
      <w:tr>
        <w:trPr>
          <w:trHeight w:val="364"/>
        </w:trPr>
        <w:tc>
          <w:tcPr>
            <w:tcW w:w="11040" w:type="dxa"/>
            <w:vAlign w:val="bottom"/>
            <w:gridSpan w:val="3"/>
          </w:tcPr>
          <w:p>
            <w:pPr>
              <w:ind w:left="6620"/>
              <w:spacing w:after="0"/>
              <w:rPr>
                <w:sz w:val="20"/>
                <w:szCs w:val="20"/>
                <w:color w:val="auto"/>
              </w:rPr>
            </w:pPr>
            <w:r>
              <w:rPr>
                <w:rFonts w:ascii="Arial" w:cs="Arial" w:eastAsia="Arial" w:hAnsi="Arial"/>
                <w:sz w:val="18"/>
                <w:szCs w:val="18"/>
                <w:b w:val="1"/>
                <w:bCs w:val="1"/>
                <w:color w:val="auto"/>
              </w:rPr>
              <w:t>SB Investment Advisers (UK) Limited</w:t>
            </w:r>
          </w:p>
        </w:tc>
      </w:tr>
      <w:tr>
        <w:trPr>
          <w:trHeight w:val="432"/>
        </w:trPr>
        <w:tc>
          <w:tcPr>
            <w:tcW w:w="7200" w:type="dxa"/>
            <w:vAlign w:val="bottom"/>
          </w:tcPr>
          <w:p>
            <w:pPr>
              <w:ind w:left="6620"/>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spacing w:after="0"/>
              <w:rPr>
                <w:sz w:val="20"/>
                <w:szCs w:val="20"/>
                <w:color w:val="auto"/>
              </w:rPr>
            </w:pPr>
            <w:r>
              <w:rPr>
                <w:rFonts w:ascii="Arial" w:cs="Arial" w:eastAsia="Arial" w:hAnsi="Arial"/>
                <w:sz w:val="18"/>
                <w:szCs w:val="18"/>
                <w:color w:val="auto"/>
              </w:rPr>
              <w:t>/s/ Spencer Collins</w:t>
            </w:r>
          </w:p>
        </w:tc>
      </w:tr>
      <w:tr>
        <w:trPr>
          <w:trHeight w:val="209"/>
        </w:trPr>
        <w:tc>
          <w:tcPr>
            <w:tcW w:w="7200" w:type="dxa"/>
            <w:vAlign w:val="bottom"/>
          </w:tcPr>
          <w:p>
            <w:pPr>
              <w:ind w:left="662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Spencer Collins</w:t>
            </w:r>
          </w:p>
        </w:tc>
        <w:tc>
          <w:tcPr>
            <w:tcW w:w="20" w:type="dxa"/>
            <w:vAlign w:val="bottom"/>
          </w:tcPr>
          <w:p>
            <w:pPr>
              <w:spacing w:after="0"/>
              <w:rPr>
                <w:sz w:val="18"/>
                <w:szCs w:val="18"/>
                <w:color w:val="auto"/>
              </w:rPr>
            </w:pPr>
          </w:p>
        </w:tc>
      </w:tr>
      <w:tr>
        <w:trPr>
          <w:trHeight w:val="230"/>
        </w:trPr>
        <w:tc>
          <w:tcPr>
            <w:tcW w:w="7200" w:type="dxa"/>
            <w:vAlign w:val="bottom"/>
          </w:tcPr>
          <w:p>
            <w:pPr>
              <w:ind w:left="6620"/>
              <w:spacing w:after="0"/>
              <w:rPr>
                <w:sz w:val="20"/>
                <w:szCs w:val="20"/>
                <w:color w:val="auto"/>
              </w:rPr>
            </w:pPr>
            <w:r>
              <w:rPr>
                <w:rFonts w:ascii="Arial" w:cs="Arial" w:eastAsia="Arial" w:hAnsi="Arial"/>
                <w:sz w:val="18"/>
                <w:szCs w:val="18"/>
                <w:color w:val="auto"/>
              </w:rPr>
              <w:t>Title:</w:t>
            </w:r>
          </w:p>
        </w:tc>
        <w:tc>
          <w:tcPr>
            <w:tcW w:w="384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11040" w:type="dxa"/>
            <w:vAlign w:val="bottom"/>
            <w:gridSpan w:val="3"/>
          </w:tcPr>
          <w:p>
            <w:pPr>
              <w:ind w:left="6620"/>
              <w:spacing w:after="0"/>
              <w:rPr>
                <w:sz w:val="20"/>
                <w:szCs w:val="20"/>
                <w:color w:val="auto"/>
              </w:rPr>
            </w:pPr>
            <w:r>
              <w:rPr>
                <w:rFonts w:ascii="Arial" w:cs="Arial" w:eastAsia="Arial" w:hAnsi="Arial"/>
                <w:sz w:val="18"/>
                <w:szCs w:val="18"/>
                <w:b w:val="1"/>
                <w:bCs w:val="1"/>
                <w:color w:val="auto"/>
              </w:rPr>
              <w:t>SVF II AIV-1 (DE) L.P.</w:t>
            </w:r>
          </w:p>
        </w:tc>
      </w:tr>
      <w:tr>
        <w:trPr>
          <w:trHeight w:val="432"/>
        </w:trPr>
        <w:tc>
          <w:tcPr>
            <w:tcW w:w="7200" w:type="dxa"/>
            <w:vAlign w:val="bottom"/>
          </w:tcPr>
          <w:p>
            <w:pPr>
              <w:ind w:left="6620"/>
              <w:spacing w:after="0"/>
              <w:rPr>
                <w:sz w:val="20"/>
                <w:szCs w:val="20"/>
                <w:color w:val="auto"/>
              </w:rPr>
            </w:pPr>
            <w:r>
              <w:rPr>
                <w:rFonts w:ascii="Arial" w:cs="Arial" w:eastAsia="Arial" w:hAnsi="Arial"/>
                <w:sz w:val="18"/>
                <w:szCs w:val="18"/>
                <w:color w:val="auto"/>
              </w:rPr>
              <w:t>By:</w:t>
            </w:r>
          </w:p>
        </w:tc>
        <w:tc>
          <w:tcPr>
            <w:tcW w:w="3840" w:type="dxa"/>
            <w:vAlign w:val="bottom"/>
            <w:gridSpan w:val="2"/>
          </w:tcPr>
          <w:p>
            <w:pPr>
              <w:spacing w:after="0"/>
              <w:rPr>
                <w:sz w:val="20"/>
                <w:szCs w:val="20"/>
                <w:color w:val="auto"/>
              </w:rPr>
            </w:pPr>
            <w:r>
              <w:rPr>
                <w:rFonts w:ascii="Arial" w:cs="Arial" w:eastAsia="Arial" w:hAnsi="Arial"/>
                <w:sz w:val="18"/>
                <w:szCs w:val="18"/>
                <w:color w:val="auto"/>
              </w:rPr>
              <w:t>/s/ Ian McLean</w:t>
            </w:r>
          </w:p>
        </w:tc>
      </w:tr>
      <w:tr>
        <w:trPr>
          <w:trHeight w:val="209"/>
        </w:trPr>
        <w:tc>
          <w:tcPr>
            <w:tcW w:w="7200" w:type="dxa"/>
            <w:vAlign w:val="bottom"/>
          </w:tcPr>
          <w:p>
            <w:pPr>
              <w:ind w:left="6620"/>
              <w:spacing w:after="0"/>
              <w:rPr>
                <w:sz w:val="20"/>
                <w:szCs w:val="20"/>
                <w:color w:val="auto"/>
              </w:rPr>
            </w:pPr>
            <w:r>
              <w:rPr>
                <w:rFonts w:ascii="Arial" w:cs="Arial" w:eastAsia="Arial" w:hAnsi="Arial"/>
                <w:sz w:val="18"/>
                <w:szCs w:val="18"/>
                <w:color w:val="auto"/>
              </w:rPr>
              <w:t>Name:</w:t>
            </w: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Ian McLean</w:t>
            </w:r>
          </w:p>
        </w:tc>
        <w:tc>
          <w:tcPr>
            <w:tcW w:w="20" w:type="dxa"/>
            <w:vAlign w:val="bottom"/>
          </w:tcPr>
          <w:p>
            <w:pPr>
              <w:spacing w:after="0"/>
              <w:rPr>
                <w:sz w:val="18"/>
                <w:szCs w:val="18"/>
                <w:color w:val="auto"/>
              </w:rPr>
            </w:pPr>
          </w:p>
        </w:tc>
      </w:tr>
      <w:tr>
        <w:trPr>
          <w:trHeight w:val="230"/>
        </w:trPr>
        <w:tc>
          <w:tcPr>
            <w:tcW w:w="7200" w:type="dxa"/>
            <w:vAlign w:val="bottom"/>
          </w:tcPr>
          <w:p>
            <w:pPr>
              <w:ind w:left="6620"/>
              <w:spacing w:after="0"/>
              <w:rPr>
                <w:sz w:val="20"/>
                <w:szCs w:val="20"/>
                <w:color w:val="auto"/>
              </w:rPr>
            </w:pPr>
            <w:r>
              <w:rPr>
                <w:rFonts w:ascii="Arial" w:cs="Arial" w:eastAsia="Arial" w:hAnsi="Arial"/>
                <w:sz w:val="18"/>
                <w:szCs w:val="18"/>
                <w:color w:val="auto"/>
              </w:rPr>
              <w:t>Title:</w:t>
            </w:r>
          </w:p>
        </w:tc>
        <w:tc>
          <w:tcPr>
            <w:tcW w:w="38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320" w:type="dxa"/>
            <w:vAlign w:val="bottom"/>
          </w:tcPr>
          <w:p>
            <w:pPr>
              <w:jc w:val="center"/>
              <w:ind w:right="3610"/>
              <w:spacing w:after="0"/>
              <w:rPr>
                <w:sz w:val="20"/>
                <w:szCs w:val="20"/>
                <w:color w:val="auto"/>
              </w:rPr>
            </w:pPr>
            <w:r>
              <w:rPr>
                <w:rFonts w:ascii="Arial" w:cs="Arial" w:eastAsia="Arial" w:hAnsi="Arial"/>
                <w:sz w:val="18"/>
                <w:szCs w:val="18"/>
                <w:color w:val="auto"/>
                <w:w w:val="89"/>
              </w:rPr>
              <w:t>Schedule 13G</w:t>
            </w:r>
          </w:p>
        </w:tc>
        <w:tc>
          <w:tcPr>
            <w:tcW w:w="0" w:type="dxa"/>
            <w:vAlign w:val="bottom"/>
          </w:tcPr>
          <w:p>
            <w:pPr>
              <w:spacing w:after="0"/>
              <w:rPr>
                <w:sz w:val="1"/>
                <w:szCs w:val="1"/>
                <w:color w:val="auto"/>
              </w:rPr>
            </w:pPr>
          </w:p>
        </w:tc>
      </w:tr>
      <w:tr>
        <w:trPr>
          <w:trHeight w:val="459"/>
        </w:trPr>
        <w:tc>
          <w:tcPr>
            <w:tcW w:w="3700" w:type="dxa"/>
            <w:vAlign w:val="bottom"/>
            <w:gridSpan w:val="4"/>
          </w:tcPr>
          <w:p>
            <w:pPr>
              <w:spacing w:after="0"/>
              <w:rPr>
                <w:sz w:val="20"/>
                <w:szCs w:val="20"/>
                <w:color w:val="auto"/>
              </w:rPr>
            </w:pPr>
            <w:r>
              <w:rPr>
                <w:rFonts w:ascii="Arial" w:cs="Arial" w:eastAsia="Arial" w:hAnsi="Arial"/>
                <w:sz w:val="18"/>
                <w:szCs w:val="18"/>
                <w:color w:val="auto"/>
              </w:rPr>
              <w:t>CUSIP No. 81578P106</w:t>
            </w:r>
          </w:p>
        </w:tc>
        <w:tc>
          <w:tcPr>
            <w:tcW w:w="7320" w:type="dxa"/>
            <w:vAlign w:val="bottom"/>
          </w:tcPr>
          <w:p>
            <w:pPr>
              <w:ind w:left="6320"/>
              <w:spacing w:after="0"/>
              <w:rPr>
                <w:sz w:val="20"/>
                <w:szCs w:val="20"/>
                <w:color w:val="auto"/>
              </w:rPr>
            </w:pPr>
            <w:r>
              <w:rPr>
                <w:rFonts w:ascii="Arial" w:cs="Arial" w:eastAsia="Arial" w:hAnsi="Arial"/>
                <w:sz w:val="18"/>
                <w:szCs w:val="18"/>
                <w:color w:val="auto"/>
                <w:w w:val="87"/>
              </w:rPr>
              <w:t>Page 13 of 13</w:t>
            </w:r>
          </w:p>
        </w:tc>
        <w:tc>
          <w:tcPr>
            <w:tcW w:w="0" w:type="dxa"/>
            <w:vAlign w:val="bottom"/>
          </w:tcPr>
          <w:p>
            <w:pPr>
              <w:spacing w:after="0"/>
              <w:rPr>
                <w:sz w:val="1"/>
                <w:szCs w:val="1"/>
                <w:color w:val="auto"/>
              </w:rPr>
            </w:pPr>
          </w:p>
        </w:tc>
      </w:tr>
      <w:tr>
        <w:trPr>
          <w:trHeight w:val="364"/>
        </w:trPr>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320" w:type="dxa"/>
            <w:vAlign w:val="bottom"/>
          </w:tcPr>
          <w:p>
            <w:pPr>
              <w:jc w:val="center"/>
              <w:ind w:right="3610"/>
              <w:spacing w:after="0"/>
              <w:rPr>
                <w:sz w:val="20"/>
                <w:szCs w:val="20"/>
                <w:color w:val="auto"/>
              </w:rPr>
            </w:pPr>
            <w:r>
              <w:rPr>
                <w:rFonts w:ascii="Arial" w:cs="Arial" w:eastAsia="Arial" w:hAnsi="Arial"/>
                <w:sz w:val="18"/>
                <w:szCs w:val="18"/>
                <w:b w:val="1"/>
                <w:bCs w:val="1"/>
                <w:color w:val="auto"/>
              </w:rPr>
              <w:t>LIST OF EXHIBITS</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00" w:type="dxa"/>
            <w:vAlign w:val="bottom"/>
            <w:vMerge w:val="restart"/>
          </w:tcPr>
          <w:p>
            <w:pPr>
              <w:spacing w:after="0"/>
              <w:rPr>
                <w:sz w:val="24"/>
                <w:szCs w:val="24"/>
                <w:color w:val="auto"/>
              </w:rPr>
            </w:pPr>
          </w:p>
        </w:tc>
        <w:tc>
          <w:tcPr>
            <w:tcW w:w="7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2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7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w:t>
            </w:r>
          </w:p>
        </w:tc>
        <w:tc>
          <w:tcPr>
            <w:tcW w:w="3240" w:type="dxa"/>
            <w:vAlign w:val="bottom"/>
            <w:gridSpan w:val="3"/>
          </w:tcPr>
          <w:p>
            <w:pPr>
              <w:ind w:left="520"/>
              <w:spacing w:after="0"/>
              <w:rPr>
                <w:sz w:val="20"/>
                <w:szCs w:val="20"/>
                <w:color w:val="auto"/>
              </w:rPr>
            </w:pPr>
            <w:r>
              <w:rPr>
                <w:rFonts w:ascii="Arial" w:cs="Arial" w:eastAsia="Arial" w:hAnsi="Arial"/>
                <w:sz w:val="18"/>
                <w:szCs w:val="18"/>
                <w:color w:val="auto"/>
              </w:rPr>
              <w:t>Joint Filing Agreement.</w:t>
            </w:r>
          </w:p>
        </w:tc>
        <w:tc>
          <w:tcPr>
            <w:tcW w:w="7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SB Global Advisers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Spencer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Spencer Collins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SoftBank Vision Fund II-2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SB Global Advisers Limited, its Manager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Spencer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Spencer Collins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Aggregator (Jersey)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SB Global Advisers Limited, its Manager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Spencer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Spencer Collins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Holdings (DE)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Ian McLean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1020"/>
          </w:cols>
          <w:pgMar w:left="440" w:top="121" w:right="43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SVF II Oyster (DE) LLC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Ian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Ian McLean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SB Investment Advisers (UK) Limited</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Collins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Spencer Collins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SVF II AIV-1 (DE) 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McLean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Ian McLean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2022-02-14T08:32:37Z</dcterms:created>
  <dcterms:modified xsi:type="dcterms:W3CDTF">2022-02-14T08:32:37Z</dcterms:modified>
</cp:coreProperties>
</file>