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997585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1031875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jc w:val="center"/>
        <w:ind w:right="-73"/>
        <w:spacing w:after="0"/>
        <w:rPr>
          <w:sz w:val="20"/>
          <w:szCs w:val="20"/>
          <w:color w:val="auto"/>
        </w:rPr>
      </w:pPr>
      <w:r>
        <w:rPr>
          <w:rFonts w:ascii="Arial" w:cs="Arial" w:eastAsia="Arial" w:hAnsi="Arial"/>
          <w:sz w:val="29"/>
          <w:szCs w:val="29"/>
          <w:b w:val="1"/>
          <w:bCs w:val="1"/>
          <w:color w:val="auto"/>
        </w:rPr>
        <w:t>UNITED STATES</w:t>
      </w:r>
    </w:p>
    <w:p>
      <w:pPr>
        <w:spacing w:after="0" w:line="126"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SECURITIES AND EXCHANGE COMMISSION</w:t>
      </w:r>
    </w:p>
    <w:p>
      <w:pPr>
        <w:spacing w:after="0" w:line="54" w:lineRule="exact"/>
        <w:rPr>
          <w:sz w:val="24"/>
          <w:szCs w:val="24"/>
          <w:color w:val="auto"/>
        </w:rPr>
      </w:pPr>
    </w:p>
    <w:p>
      <w:pPr>
        <w:jc w:val="center"/>
        <w:ind w:right="-73"/>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65405</wp:posOffset>
            </wp:positionV>
            <wp:extent cx="2297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67"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40005</wp:posOffset>
            </wp:positionV>
            <wp:extent cx="2297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99"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CURRENT REPORT</w:t>
      </w:r>
    </w:p>
    <w:p>
      <w:pPr>
        <w:spacing w:after="0" w:line="10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81"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July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62230</wp:posOffset>
            </wp:positionV>
            <wp:extent cx="2297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49"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Seer, Inc.</w:t>
      </w:r>
    </w:p>
    <w:p>
      <w:pPr>
        <w:spacing w:after="0" w:line="4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31750</wp:posOffset>
            </wp:positionV>
            <wp:extent cx="2297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04" w:lineRule="exact"/>
        <w:rPr>
          <w:sz w:val="24"/>
          <w:szCs w:val="24"/>
          <w:color w:val="auto"/>
        </w:rPr>
      </w:pPr>
    </w:p>
    <w:tbl>
      <w:tblPr>
        <w:tblLayout w:type="fixed"/>
        <w:tblInd w:w="894" w:type="dxa"/>
        <w:tblCellMar>
          <w:top w:w="0" w:type="dxa"/>
          <w:left w:w="0" w:type="dxa"/>
          <w:bottom w:w="0" w:type="dxa"/>
          <w:right w:w="0" w:type="dxa"/>
        </w:tblCellMar>
      </w:tblPr>
      <w:tr>
        <w:trPr>
          <w:trHeight w:val="186"/>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Delaware</w:t>
            </w:r>
          </w:p>
        </w:tc>
        <w:tc>
          <w:tcPr>
            <w:tcW w:w="3480" w:type="dxa"/>
            <w:vAlign w:val="bottom"/>
          </w:tcPr>
          <w:p>
            <w:pPr>
              <w:jc w:val="center"/>
              <w:ind w:right="108"/>
              <w:spacing w:after="0"/>
              <w:rPr>
                <w:sz w:val="20"/>
                <w:szCs w:val="20"/>
                <w:color w:val="auto"/>
              </w:rPr>
            </w:pPr>
            <w:r>
              <w:rPr>
                <w:rFonts w:ascii="Arial" w:cs="Arial" w:eastAsia="Arial" w:hAnsi="Arial"/>
                <w:sz w:val="14"/>
                <w:szCs w:val="14"/>
                <w:b w:val="1"/>
                <w:bCs w:val="1"/>
                <w:color w:val="auto"/>
                <w:w w:val="92"/>
              </w:rPr>
              <w:t>001-39747</w:t>
            </w:r>
          </w:p>
        </w:tc>
        <w:tc>
          <w:tcPr>
            <w:tcW w:w="2540" w:type="dxa"/>
            <w:vAlign w:val="bottom"/>
          </w:tcPr>
          <w:p>
            <w:pPr>
              <w:jc w:val="center"/>
              <w:ind w:left="1348"/>
              <w:spacing w:after="0"/>
              <w:rPr>
                <w:sz w:val="20"/>
                <w:szCs w:val="20"/>
                <w:color w:val="auto"/>
              </w:rPr>
            </w:pPr>
            <w:r>
              <w:rPr>
                <w:rFonts w:ascii="Arial" w:cs="Arial" w:eastAsia="Arial" w:hAnsi="Arial"/>
                <w:sz w:val="14"/>
                <w:szCs w:val="14"/>
                <w:b w:val="1"/>
                <w:bCs w:val="1"/>
                <w:color w:val="auto"/>
                <w:w w:val="90"/>
              </w:rPr>
              <w:t>82-1153150</w:t>
            </w:r>
          </w:p>
        </w:tc>
      </w:tr>
      <w:tr>
        <w:trPr>
          <w:trHeight w:val="203"/>
        </w:trPr>
        <w:tc>
          <w:tcPr>
            <w:tcW w:w="3020" w:type="dxa"/>
            <w:vAlign w:val="bottom"/>
          </w:tcPr>
          <w:p>
            <w:pPr>
              <w:jc w:val="center"/>
              <w:ind w:right="1148"/>
              <w:spacing w:after="0"/>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right="108"/>
              <w:spacing w:after="0"/>
              <w:rPr>
                <w:sz w:val="20"/>
                <w:szCs w:val="20"/>
                <w:color w:val="auto"/>
              </w:rPr>
            </w:pPr>
            <w:r>
              <w:rPr>
                <w:rFonts w:ascii="Arial" w:cs="Arial" w:eastAsia="Arial" w:hAnsi="Arial"/>
                <w:sz w:val="14"/>
                <w:szCs w:val="14"/>
                <w:b w:val="1"/>
                <w:bCs w:val="1"/>
                <w:color w:val="auto"/>
                <w:w w:val="92"/>
              </w:rPr>
              <w:t>(Commission</w:t>
            </w:r>
          </w:p>
        </w:tc>
        <w:tc>
          <w:tcPr>
            <w:tcW w:w="2540" w:type="dxa"/>
            <w:vAlign w:val="bottom"/>
          </w:tcPr>
          <w:p>
            <w:pPr>
              <w:jc w:val="center"/>
              <w:ind w:left="1348"/>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incorporation)</w:t>
            </w:r>
          </w:p>
        </w:tc>
        <w:tc>
          <w:tcPr>
            <w:tcW w:w="34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File Number)</w:t>
            </w:r>
          </w:p>
        </w:tc>
        <w:tc>
          <w:tcPr>
            <w:tcW w:w="2540" w:type="dxa"/>
            <w:vAlign w:val="bottom"/>
          </w:tcPr>
          <w:p>
            <w:pPr>
              <w:jc w:val="center"/>
              <w:ind w:left="1348"/>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10"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3800 Bridge Parkway, Suite 102</w:t>
      </w:r>
    </w:p>
    <w:p>
      <w:pPr>
        <w:spacing w:after="0" w:line="27"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Redwood City, California 94065</w:t>
      </w:r>
    </w:p>
    <w:p>
      <w:pPr>
        <w:spacing w:after="0" w:line="2"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650-453-0000</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46"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30480</wp:posOffset>
            </wp:positionV>
            <wp:extent cx="2297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75" w:lineRule="exact"/>
        <w:rPr>
          <w:sz w:val="24"/>
          <w:szCs w:val="24"/>
          <w:color w:val="auto"/>
        </w:rPr>
      </w:pPr>
    </w:p>
    <w:p>
      <w:pPr>
        <w:ind w:left="13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00" w:lineRule="exact"/>
        <w:rPr>
          <w:sz w:val="24"/>
          <w:szCs w:val="24"/>
          <w:color w:val="auto"/>
        </w:rPr>
      </w:pPr>
    </w:p>
    <w:p>
      <w:pPr>
        <w:ind w:left="314" w:hanging="314"/>
        <w:spacing w:after="0"/>
        <w:tabs>
          <w:tab w:leader="none" w:pos="31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6" w:lineRule="exact"/>
        <w:rPr>
          <w:rFonts w:ascii="MS PGothic" w:cs="MS PGothic" w:eastAsia="MS PGothic" w:hAnsi="MS PGothic"/>
          <w:sz w:val="16"/>
          <w:szCs w:val="16"/>
          <w:color w:val="auto"/>
        </w:rPr>
      </w:pPr>
    </w:p>
    <w:p>
      <w:pPr>
        <w:ind w:left="314" w:hanging="314"/>
        <w:spacing w:after="0"/>
        <w:tabs>
          <w:tab w:leader="none" w:pos="31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14" w:hanging="314"/>
        <w:spacing w:after="0"/>
        <w:tabs>
          <w:tab w:leader="none" w:pos="31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14" w:hanging="314"/>
        <w:spacing w:after="0"/>
        <w:tabs>
          <w:tab w:leader="none" w:pos="31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24" w:lineRule="exact"/>
        <w:rPr>
          <w:sz w:val="24"/>
          <w:szCs w:val="24"/>
          <w:color w:val="auto"/>
        </w:rPr>
      </w:pPr>
    </w:p>
    <w:tbl>
      <w:tblPr>
        <w:tblLayout w:type="fixed"/>
        <w:tblInd w:w="104" w:type="dxa"/>
        <w:tblCellMar>
          <w:top w:w="0" w:type="dxa"/>
          <w:left w:w="0" w:type="dxa"/>
          <w:bottom w:w="0" w:type="dxa"/>
          <w:right w:w="0" w:type="dxa"/>
        </w:tblCellMar>
      </w:tblPr>
      <w:tr>
        <w:trPr>
          <w:trHeight w:val="227"/>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43"/>
        </w:trPr>
        <w:tc>
          <w:tcPr>
            <w:tcW w:w="4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Class A Common Stock, par value $0.00001 per share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SEER</w:t>
            </w:r>
          </w:p>
        </w:tc>
        <w:tc>
          <w:tcPr>
            <w:tcW w:w="4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206"/>
        </w:trPr>
        <w:tc>
          <w:tcPr>
            <w:tcW w:w="4360" w:type="dxa"/>
            <w:vAlign w:val="bottom"/>
            <w:tcBorders>
              <w:left w:val="single" w:sz="8" w:color="auto"/>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4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(The NASDAQ Global Select Market)</w:t>
            </w:r>
          </w:p>
        </w:tc>
      </w:tr>
      <w:tr>
        <w:trPr>
          <w:trHeight w:val="47"/>
        </w:trPr>
        <w:tc>
          <w:tcPr>
            <w:tcW w:w="43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right w:val="single" w:sz="8" w:color="auto"/>
            </w:tcBorders>
          </w:tcPr>
          <w:p>
            <w:pPr>
              <w:spacing w:after="0"/>
              <w:rPr>
                <w:sz w:val="4"/>
                <w:szCs w:val="4"/>
                <w:color w:val="auto"/>
              </w:rPr>
            </w:pPr>
          </w:p>
        </w:tc>
      </w:tr>
    </w:tbl>
    <w:p>
      <w:pPr>
        <w:spacing w:after="0" w:line="188" w:lineRule="exact"/>
        <w:rPr>
          <w:sz w:val="24"/>
          <w:szCs w:val="24"/>
          <w:color w:val="auto"/>
        </w:rPr>
      </w:pPr>
    </w:p>
    <w:p>
      <w:pPr>
        <w:ind w:left="634" w:right="100"/>
        <w:spacing w:after="0" w:line="298"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4"/>
          <w:szCs w:val="24"/>
          <w:color w:val="auto"/>
        </w:rPr>
      </w:pPr>
    </w:p>
    <w:p>
      <w:pPr>
        <w:ind w:left="634"/>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21" w:lineRule="exact"/>
        <w:rPr>
          <w:sz w:val="24"/>
          <w:szCs w:val="24"/>
          <w:color w:val="auto"/>
        </w:rPr>
      </w:pPr>
    </w:p>
    <w:p>
      <w:pPr>
        <w:ind w:left="634" w:right="160"/>
        <w:spacing w:after="0" w:line="17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1065530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15240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49530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14"/>
          </w:cols>
          <w:pgMar w:left="346" w:top="1440" w:right="439" w:bottom="1440" w:gutter="0" w:footer="0" w:header="0"/>
        </w:sectPr>
      </w:pPr>
    </w:p>
    <w:bookmarkStart w:id="1" w:name="page2"/>
    <w:bookmarkEnd w:id="1"/>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940"/>
        <w:spacing w:after="0" w:line="250"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9" w:lineRule="exact"/>
        <w:rPr>
          <w:sz w:val="20"/>
          <w:szCs w:val="20"/>
          <w:color w:val="auto"/>
        </w:rPr>
      </w:pPr>
    </w:p>
    <w:p>
      <w:pPr>
        <w:sectPr>
          <w:pgSz w:w="11900" w:h="16838" w:orient="portrait"/>
          <w:cols w:equalWidth="0" w:num="2">
            <w:col w:w="860" w:space="660"/>
            <w:col w:w="9720"/>
          </w:cols>
          <w:pgMar w:left="320" w:top="1440" w:right="339" w:bottom="1440" w:gutter="0" w:footer="0" w:header="0"/>
        </w:sectPr>
      </w:pPr>
    </w:p>
    <w:p>
      <w:pPr>
        <w:jc w:val="both"/>
        <w:ind w:firstLine="648"/>
        <w:spacing w:after="0"/>
        <w:rPr>
          <w:sz w:val="20"/>
          <w:szCs w:val="20"/>
          <w:color w:val="auto"/>
        </w:rPr>
      </w:pPr>
      <w:r>
        <w:rPr>
          <w:rFonts w:ascii="Arial" w:cs="Arial" w:eastAsia="Arial" w:hAnsi="Arial"/>
          <w:sz w:val="18"/>
          <w:szCs w:val="18"/>
          <w:color w:val="auto"/>
        </w:rPr>
        <w:t>On July 18, 2023, Mostafa Ronaghi, Ph.D. informed Seer, Inc. (the “Company”) of his resignation as a member of the Company’s Board of Directors (the “Board”) and all committees thereof, effective immediately. In connection with Dr. Ronaghi’s resignation from the Board, the size of the Board was decreased from nine to eight members.</w:t>
      </w:r>
    </w:p>
    <w:p>
      <w:pPr>
        <w:spacing w:after="0" w:line="293"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released the following statements regarding Dr. Ronaghi’s resignation:</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Mostafa steps down from the Board, we recognize his exceptional contributions and the lasting impact he leaves behind. We want to thank him for his dedicated service and unwavering commitment to our shared vision,” said Omid Farokhzad, M.D., Chief Executive Officer, President, and Chair of the Board.</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“During my Board tenure, the Company has made significant accomplishments, and I take immense pride in the transformation. The dedication to excellence that pervades this organization has undoubtedly been instrumental to its success, and I want to thank Omid, the Board, and the management team,” said Dr. Ronaghi.</w:t>
      </w:r>
    </w:p>
    <w:p>
      <w:pPr>
        <w:spacing w:after="0" w:line="22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These statements contain “forward-looking statements” within the meaning of the Private Securities Litigation Reform Act of 1995, as amended, that reflect current views with respect to certain current and future events and financial performance. Words such as “expects,” “anticipates,” “projects,” “intends,” “plans,” “believes,” “estimates,” variations of such words, and similar expressions are also intended to identify such forward-looking statements. Such forward-looking statements are based on current beliefs and assumptions and on information currently available to it on the date of this press release. Forward-looking statements may involve known and unknown risks, uncertainties and other factors that may cause the Company’s actual results, performance or achievements to be materially different from those expressed or implied by the forward-looking statements. These and other risks are described more fully in the Company’s filings with the Securities and Exchange Commission (“SEC”). Except to the extent required by law, the Company undertakes no obligation to update such statements to reflect events that occur or circumstances that exist after the date on which they were made.</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information under Item 8.01 in this Current Report on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Date: July 21, 2023</w:t>
      </w:r>
    </w:p>
    <w:p>
      <w:pPr>
        <w:spacing w:after="0" w:line="35" w:lineRule="exact"/>
        <w:rPr>
          <w:sz w:val="20"/>
          <w:szCs w:val="20"/>
          <w:color w:val="auto"/>
        </w:rPr>
      </w:pPr>
    </w:p>
    <w:p>
      <w:pPr>
        <w:ind w:left="586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Horn</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David Horn</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2023-07-21T15:46:10Z</dcterms:created>
  <dcterms:modified xsi:type="dcterms:W3CDTF">2023-07-21T15:46:10Z</dcterms:modified>
</cp:coreProperties>
</file>