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1023620</wp:posOffset>
            </wp:positionV>
            <wp:extent cx="69862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997585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ind w:right="-73"/>
        <w:spacing w:after="0"/>
        <w:rPr>
          <w:sz w:val="20"/>
          <w:szCs w:val="20"/>
          <w:color w:val="auto"/>
        </w:rPr>
      </w:pPr>
      <w:r>
        <w:rPr>
          <w:rFonts w:ascii="Arial" w:cs="Arial" w:eastAsia="Arial" w:hAnsi="Arial"/>
          <w:sz w:val="29"/>
          <w:szCs w:val="29"/>
          <w:b w:val="1"/>
          <w:bCs w:val="1"/>
          <w:color w:val="auto"/>
        </w:rPr>
        <w:t>UNITED STATES</w:t>
      </w:r>
    </w:p>
    <w:p>
      <w:pPr>
        <w:spacing w:after="0" w:line="112"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SECURITIES AND EXCHANGE COMMISSION</w:t>
      </w:r>
    </w:p>
    <w:p>
      <w:pPr>
        <w:spacing w:after="0" w:line="67" w:lineRule="exact"/>
        <w:rPr>
          <w:sz w:val="24"/>
          <w:szCs w:val="24"/>
          <w:color w:val="auto"/>
        </w:rPr>
      </w:pPr>
    </w:p>
    <w:p>
      <w:pPr>
        <w:jc w:val="center"/>
        <w:ind w:right="-73"/>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65405</wp:posOffset>
            </wp:positionV>
            <wp:extent cx="2305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67"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40005</wp:posOffset>
            </wp:positionV>
            <wp:extent cx="2305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86"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CURRENT REPORT</w:t>
      </w:r>
    </w:p>
    <w:p>
      <w:pPr>
        <w:spacing w:after="0" w:line="10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94"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November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62230</wp:posOffset>
            </wp:positionV>
            <wp:extent cx="2305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49"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Seer, Inc.</w:t>
      </w:r>
    </w:p>
    <w:p>
      <w:pPr>
        <w:spacing w:after="0" w:line="4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31750</wp:posOffset>
            </wp:positionV>
            <wp:extent cx="2305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91" w:lineRule="exact"/>
        <w:rPr>
          <w:sz w:val="24"/>
          <w:szCs w:val="24"/>
          <w:color w:val="auto"/>
        </w:rPr>
      </w:pPr>
    </w:p>
    <w:tbl>
      <w:tblPr>
        <w:tblLayout w:type="fixed"/>
        <w:tblInd w:w="894" w:type="dxa"/>
        <w:tblCellMar>
          <w:top w:w="0" w:type="dxa"/>
          <w:left w:w="0" w:type="dxa"/>
          <w:bottom w:w="0" w:type="dxa"/>
          <w:right w:w="0" w:type="dxa"/>
        </w:tblCellMar>
      </w:tblPr>
      <w:tr>
        <w:trPr>
          <w:trHeight w:val="186"/>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Delaware</w:t>
            </w:r>
          </w:p>
        </w:tc>
        <w:tc>
          <w:tcPr>
            <w:tcW w:w="346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001-39747</w:t>
            </w:r>
          </w:p>
        </w:tc>
        <w:tc>
          <w:tcPr>
            <w:tcW w:w="2560" w:type="dxa"/>
            <w:vAlign w:val="bottom"/>
          </w:tcPr>
          <w:p>
            <w:pPr>
              <w:jc w:val="center"/>
              <w:ind w:left="1348"/>
              <w:spacing w:after="0"/>
              <w:rPr>
                <w:sz w:val="20"/>
                <w:szCs w:val="20"/>
                <w:color w:val="auto"/>
              </w:rPr>
            </w:pPr>
            <w:r>
              <w:rPr>
                <w:rFonts w:ascii="Arial" w:cs="Arial" w:eastAsia="Arial" w:hAnsi="Arial"/>
                <w:sz w:val="14"/>
                <w:szCs w:val="14"/>
                <w:b w:val="1"/>
                <w:bCs w:val="1"/>
                <w:color w:val="auto"/>
                <w:w w:val="93"/>
              </w:rPr>
              <w:t>82-1153150</w:t>
            </w:r>
          </w:p>
        </w:tc>
      </w:tr>
      <w:tr>
        <w:trPr>
          <w:trHeight w:val="203"/>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0"/>
              </w:rPr>
              <w:t>(Commission</w:t>
            </w:r>
          </w:p>
        </w:tc>
        <w:tc>
          <w:tcPr>
            <w:tcW w:w="2560" w:type="dxa"/>
            <w:vAlign w:val="bottom"/>
          </w:tcPr>
          <w:p>
            <w:pPr>
              <w:jc w:val="center"/>
              <w:ind w:left="1368"/>
              <w:spacing w:after="0"/>
              <w:rPr>
                <w:sz w:val="20"/>
                <w:szCs w:val="20"/>
                <w:color w:val="auto"/>
              </w:rPr>
            </w:pPr>
            <w:r>
              <w:rPr>
                <w:rFonts w:ascii="Arial" w:cs="Arial" w:eastAsia="Arial" w:hAnsi="Arial"/>
                <w:sz w:val="14"/>
                <w:szCs w:val="14"/>
                <w:b w:val="1"/>
                <w:bCs w:val="1"/>
                <w:color w:val="auto"/>
                <w:w w:val="96"/>
              </w:rPr>
              <w:t>(I.R.S. Employer</w:t>
            </w:r>
          </w:p>
        </w:tc>
      </w:tr>
      <w:tr>
        <w:trPr>
          <w:trHeight w:val="203"/>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incorporation)</w:t>
            </w:r>
          </w:p>
        </w:tc>
        <w:tc>
          <w:tcPr>
            <w:tcW w:w="3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File Number)</w:t>
            </w:r>
          </w:p>
        </w:tc>
        <w:tc>
          <w:tcPr>
            <w:tcW w:w="2560" w:type="dxa"/>
            <w:vAlign w:val="bottom"/>
          </w:tcPr>
          <w:p>
            <w:pPr>
              <w:jc w:val="center"/>
              <w:ind w:left="1348"/>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10"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3800 Bridge Parkway, Suite 102</w:t>
      </w:r>
    </w:p>
    <w:p>
      <w:pPr>
        <w:spacing w:after="0" w:line="27"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Redwood City, California 94065</w:t>
      </w:r>
    </w:p>
    <w:p>
      <w:pPr>
        <w:spacing w:after="0" w:line="2"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46"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650-453-0000</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46"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1" w:lineRule="exact"/>
        <w:rPr>
          <w:sz w:val="24"/>
          <w:szCs w:val="24"/>
          <w:color w:val="auto"/>
        </w:rPr>
      </w:pPr>
    </w:p>
    <w:p>
      <w:pPr>
        <w:ind w:left="13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14" w:lineRule="exact"/>
        <w:rPr>
          <w:sz w:val="24"/>
          <w:szCs w:val="24"/>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6"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274" w:right="3600" w:hanging="274"/>
        <w:spacing w:after="0" w:line="231" w:lineRule="auto"/>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202" w:lineRule="exact"/>
        <w:rPr>
          <w:sz w:val="24"/>
          <w:szCs w:val="24"/>
          <w:color w:val="auto"/>
        </w:rPr>
      </w:pPr>
    </w:p>
    <w:tbl>
      <w:tblPr>
        <w:tblLayout w:type="fixed"/>
        <w:tblInd w:w="104" w:type="dxa"/>
        <w:tblCellMar>
          <w:top w:w="0" w:type="dxa"/>
          <w:left w:w="0" w:type="dxa"/>
          <w:bottom w:w="0" w:type="dxa"/>
          <w:right w:w="0" w:type="dxa"/>
        </w:tblCellMar>
      </w:tblPr>
      <w:tr>
        <w:trPr>
          <w:trHeight w:val="227"/>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43"/>
        </w:trPr>
        <w:tc>
          <w:tcPr>
            <w:tcW w:w="4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 par value $0.00001 per share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SEER</w:t>
            </w:r>
          </w:p>
        </w:tc>
        <w:tc>
          <w:tcPr>
            <w:tcW w:w="4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206"/>
        </w:trPr>
        <w:tc>
          <w:tcPr>
            <w:tcW w:w="4360" w:type="dxa"/>
            <w:vAlign w:val="bottom"/>
            <w:tcBorders>
              <w:left w:val="single" w:sz="8" w:color="auto"/>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4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(The NASDAQ Global Select Market)</w:t>
            </w:r>
          </w:p>
        </w:tc>
      </w:tr>
      <w:tr>
        <w:trPr>
          <w:trHeight w:val="47"/>
        </w:trPr>
        <w:tc>
          <w:tcPr>
            <w:tcW w:w="436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476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left="634" w:right="80"/>
        <w:spacing w:after="0" w:line="298"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9" w:lineRule="exact"/>
        <w:rPr>
          <w:sz w:val="24"/>
          <w:szCs w:val="24"/>
          <w:color w:val="auto"/>
        </w:rPr>
      </w:pPr>
    </w:p>
    <w:p>
      <w:pPr>
        <w:ind w:left="634"/>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21" w:lineRule="exact"/>
        <w:rPr>
          <w:sz w:val="24"/>
          <w:szCs w:val="24"/>
          <w:color w:val="auto"/>
        </w:rPr>
      </w:pPr>
    </w:p>
    <w:p>
      <w:pPr>
        <w:ind w:left="634" w:right="160"/>
        <w:spacing w:after="0" w:line="17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1056640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40640</wp:posOffset>
            </wp:positionV>
            <wp:extent cx="69862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15240</wp:posOffset>
            </wp:positionV>
            <wp:extent cx="6986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114"/>
          </w:cols>
          <w:pgMar w:left="346" w:top="1440" w:right="439" w:bottom="1440" w:gutter="0" w:footer="0" w:header="0"/>
        </w:sectPr>
      </w:pPr>
    </w:p>
    <w:bookmarkStart w:id="1" w:name="page2"/>
    <w:bookmarkEnd w:id="1"/>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5.02</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940"/>
        <w:spacing w:after="0" w:line="237"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81" w:lineRule="exact"/>
        <w:rPr>
          <w:sz w:val="20"/>
          <w:szCs w:val="20"/>
          <w:color w:val="auto"/>
        </w:rPr>
      </w:pPr>
    </w:p>
    <w:p>
      <w:pPr>
        <w:sectPr>
          <w:pgSz w:w="11900" w:h="16838" w:orient="portrait"/>
          <w:cols w:equalWidth="0" w:num="2">
            <w:col w:w="860" w:space="620"/>
            <w:col w:w="9740"/>
          </w:cols>
          <w:pgMar w:left="320" w:top="1440" w:right="359" w:bottom="1440" w:gutter="0" w:footer="0" w:header="0"/>
        </w:sectPr>
      </w:pPr>
    </w:p>
    <w:p>
      <w:pPr>
        <w:ind w:right="100" w:firstLine="648"/>
        <w:spacing w:after="0" w:line="248" w:lineRule="auto"/>
        <w:rPr>
          <w:sz w:val="20"/>
          <w:szCs w:val="20"/>
          <w:color w:val="auto"/>
        </w:rPr>
      </w:pPr>
      <w:r>
        <w:rPr>
          <w:rFonts w:ascii="Arial" w:cs="Arial" w:eastAsia="Arial" w:hAnsi="Arial"/>
          <w:sz w:val="18"/>
          <w:szCs w:val="18"/>
          <w:color w:val="auto"/>
        </w:rPr>
        <w:t>On November 17, 2023, in connection with the promotion of David Horn to the office of President of Seer, Inc. (the “Company”), in addition to his current position as Chief Financial Officer, Omid Farokhzad, M.D. resigned from the position of President of the Company; he will retain his positions as Chief Executive Officer and Chair of the Board of Directors (the “Board”).</w:t>
      </w:r>
    </w:p>
    <w:p>
      <w:pPr>
        <w:spacing w:after="0" w:line="195" w:lineRule="exact"/>
        <w:rPr>
          <w:sz w:val="20"/>
          <w:szCs w:val="20"/>
          <w:color w:val="auto"/>
        </w:rPr>
      </w:pPr>
    </w:p>
    <w:p>
      <w:pPr>
        <w:ind w:right="100" w:firstLine="648"/>
        <w:spacing w:after="0" w:line="248" w:lineRule="auto"/>
        <w:rPr>
          <w:sz w:val="20"/>
          <w:szCs w:val="20"/>
          <w:color w:val="auto"/>
        </w:rPr>
      </w:pPr>
      <w:r>
        <w:rPr>
          <w:rFonts w:ascii="Arial" w:cs="Arial" w:eastAsia="Arial" w:hAnsi="Arial"/>
          <w:sz w:val="18"/>
          <w:szCs w:val="18"/>
          <w:color w:val="auto"/>
        </w:rPr>
        <w:t>On November 14, 2023, effective upon the promotion of Mr. Horn by the Board, the Talent and Compensation Committee of the Board approved increases to Mr. Horn’s base salary to $510,000 and his target bonus opportunity to 55% of his base salary. The increased bonus opportunity will be pro-rated for fiscal year 2023.</w:t>
      </w:r>
    </w:p>
    <w:p>
      <w:pPr>
        <w:spacing w:after="0" w:line="209"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Mr. Horn has served as the Company’s Chief Financial Officer and Treasurer since May 2020. Prior to joining the Company, Mr. Horn was with Morgan Stanley, an investment bank and financial services company, from May 2007 to May 2020, where he served as a Managing Director in the Global Healthcare Group within the Investment Banking Department. From May 2003 to May 2007, Mr. Horn served as a Principal at Montgomery &amp; Co., LLC, a provider of merger and acquisition and private placement services. He holds an A.B. in Politics from Princeton University and an M.B.A. from Stanford University Graduate School of Business.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on November 17, 2023, the Board appointed Elona Kogan to the office of Chief Legal Officer of the Company.</w:t>
      </w:r>
    </w:p>
    <w:p>
      <w:pPr>
        <w:spacing w:after="0" w:line="239"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color w:val="auto"/>
        </w:rPr>
        <w:t>Ms. Kogan has served as the Company’s General Counsel and Corporate Secretary since November 2020. Prior to joining the Company, Ms. Kogan served as General Counsel and Corporate Secretary of Selecta Biosciences, Inc., a clinical-stage biotechnology company, from March 2019 to August 2020. From July 2016 to April 2017, Ms. Kogan served as General Counsel and Head of Government Relations at ARIAD Pharmaceuticals, Inc., a rare disease oncology company, where she was a key executive through the acquisition of the company by Takeda Pharmaceuticals Company Limited. Ms. Kogan led the legal and government affairs functions of Avanir Pharmaceuticals, Inc., a publicly traded pharmaceutical company, from May 2011 to August 2015, until its acquisition by Otsuka Pharmaceutical Co. Ltd. Prior roles included positions of increasing responsibility at King Pharmaceuticals, Inc., Bristol-Myers Squibb, and Bergen Brunswig Corporation. Ms. Kogan is a graduate of the SCALE program at Southwestern University School of Law. Ms. Kogan graduated cum laude from Columbia University, Barnard College, with a B.A. in Economics.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4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9"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SEER, INC.</w:t>
      </w:r>
    </w:p>
    <w:p>
      <w:pPr>
        <w:spacing w:after="0" w:line="27"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Date: November 17, 2023</w:t>
      </w:r>
    </w:p>
    <w:p>
      <w:pPr>
        <w:spacing w:after="0" w:line="23" w:lineRule="exact"/>
        <w:rPr>
          <w:sz w:val="20"/>
          <w:szCs w:val="20"/>
          <w:color w:val="auto"/>
        </w:rPr>
      </w:pPr>
    </w:p>
    <w:p>
      <w:pPr>
        <w:ind w:left="5880"/>
        <w:spacing w:after="0"/>
        <w:tabs>
          <w:tab w:leader="none" w:pos="6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David Horn</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David Horn</w:t>
      </w:r>
    </w:p>
    <w:p>
      <w:pPr>
        <w:spacing w:after="0" w:line="2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President and Chief Financial Officer</w:t>
      </w:r>
    </w:p>
    <w:sectPr>
      <w:pgSz w:w="11900" w:h="16838" w:orient="portrait"/>
      <w:cols w:equalWidth="0" w:num="1">
        <w:col w:w="11220"/>
      </w:cols>
      <w:pgMar w:left="320" w:top="144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2023-11-17T16:04:55Z</dcterms:created>
  <dcterms:modified xsi:type="dcterms:W3CDTF">2023-11-17T16:04:55Z</dcterms:modified>
</cp:coreProperties>
</file>