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orm_8-a_2026_rights_pla.htm"/>
      <w:bookmarkStart w:id="1" w:name="ksform_8a_2026_rights_pla"/>
      <w:bookmarkEnd w:id="0"/>
      <w:bookmarkEnd w:id="1"/>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WASHINGTON, D.C. 20549</w:t>
      </w:r>
    </w:p>
    <w:p>
      <w:pPr>
        <w:pStyle w:val="TextBody"/>
        <w:bidi w:val="0"/>
        <w:spacing w:before="0" w:after="240"/>
        <w:jc w:val="center"/>
        <w:rPr>
          <w:rFonts w:ascii="Times New Roman" w:hAnsi="Times New Roman"/>
          <w:b/>
          <w:color w:val="000000"/>
          <w:sz w:val="32"/>
        </w:rPr>
      </w:pPr>
      <w:r>
        <w:rPr>
          <w:rFonts w:ascii="Times New Roman" w:hAnsi="Times New Roman"/>
          <w:b/>
          <w:color w:val="000000"/>
          <w:sz w:val="32"/>
        </w:rPr>
        <w:t>FORM 8-A</w:t>
      </w:r>
    </w:p>
    <w:p>
      <w:pPr>
        <w:pStyle w:val="TextBody"/>
        <w:bidi w:val="0"/>
        <w:jc w:val="center"/>
        <w:rPr>
          <w:rFonts w:ascii="Times New Roman" w:hAnsi="Times New Roman"/>
          <w:b/>
          <w:color w:val="000000"/>
          <w:sz w:val="28"/>
        </w:rPr>
      </w:pPr>
      <w:r>
        <w:rPr>
          <w:rFonts w:ascii="Times New Roman" w:hAnsi="Times New Roman"/>
          <w:b/>
          <w:color w:val="000000"/>
          <w:sz w:val="28"/>
        </w:rPr>
        <w:t>FOR REGISTRATION OF CERTAIN CLASSES OF SECURITIES</w:t>
      </w:r>
    </w:p>
    <w:p>
      <w:pPr>
        <w:pStyle w:val="TextBody"/>
        <w:bidi w:val="0"/>
        <w:jc w:val="center"/>
        <w:rPr>
          <w:rFonts w:ascii="Times New Roman" w:hAnsi="Times New Roman"/>
          <w:b/>
          <w:color w:val="000000"/>
          <w:sz w:val="28"/>
        </w:rPr>
      </w:pPr>
      <w:r>
        <w:rPr>
          <w:rFonts w:ascii="Times New Roman" w:hAnsi="Times New Roman"/>
          <w:b/>
          <w:color w:val="000000"/>
          <w:sz w:val="28"/>
        </w:rPr>
        <w:t>PURSUANT TO SECTION 12(b) OR (g) OF THE</w:t>
      </w:r>
    </w:p>
    <w:p>
      <w:pPr>
        <w:pStyle w:val="TextBody"/>
        <w:bidi w:val="0"/>
        <w:spacing w:before="0" w:after="240"/>
        <w:jc w:val="center"/>
        <w:rPr>
          <w:rFonts w:ascii="Times New Roman" w:hAnsi="Times New Roman"/>
          <w:b/>
          <w:color w:val="000000"/>
          <w:sz w:val="28"/>
        </w:rPr>
      </w:pPr>
      <w:r>
        <w:rPr>
          <w:rFonts w:ascii="Times New Roman" w:hAnsi="Times New Roman"/>
          <w:b/>
          <w:color w:val="000000"/>
          <w:sz w:val="28"/>
        </w:rPr>
        <w:t>SECURITIES EXCHANGE ACT OF 1934</w:t>
      </w:r>
    </w:p>
    <w:p>
      <w:pPr>
        <w:pStyle w:val="TextBody"/>
        <w:bidi w:val="0"/>
        <w:jc w:val="center"/>
        <w:rPr>
          <w:rFonts w:ascii="Times New Roman" w:hAnsi="Times New Roman"/>
          <w:b/>
          <w:color w:val="000000"/>
          <w:sz w:val="44"/>
        </w:rPr>
      </w:pPr>
      <w:r>
        <w:rPr>
          <w:rFonts w:ascii="Times New Roman" w:hAnsi="Times New Roman"/>
          <w:b/>
          <w:color w:val="000000"/>
          <w:sz w:val="44"/>
        </w:rPr>
        <w:t>SEER, INC.</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center"/>
        <w:rPr/>
      </w:pPr>
      <w:r>
        <w:rPr/>
        <w:t> </w:t>
      </w:r>
    </w:p>
    <w:tbl>
      <w:tblPr>
        <w:tblW w:w="5597" w:type="dxa"/>
        <w:jc w:val="left"/>
        <w:tblInd w:w="0" w:type="dxa"/>
        <w:tblLayout w:type="fixed"/>
        <w:tblCellMar>
          <w:top w:w="28" w:type="dxa"/>
          <w:left w:w="28" w:type="dxa"/>
          <w:bottom w:w="28" w:type="dxa"/>
          <w:right w:w="28" w:type="dxa"/>
        </w:tblCellMar>
      </w:tblPr>
      <w:tblGrid>
        <w:gridCol w:w="2881"/>
        <w:gridCol w:w="2716"/>
      </w:tblGrid>
      <w:tr>
        <w:trPr/>
        <w:tc>
          <w:tcPr>
            <w:tcW w:w="2881"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881"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71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82-1153150</w:t>
            </w:r>
          </w:p>
        </w:tc>
      </w:tr>
      <w:tr>
        <w:trPr/>
        <w:tc>
          <w:tcPr>
            <w:tcW w:w="2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of incorporation or organization)</w:t>
            </w:r>
          </w:p>
        </w:tc>
        <w:tc>
          <w:tcPr>
            <w:tcW w:w="27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5597" w:type="dxa"/>
            <w:gridSpan w:val="2"/>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3800 Bridge Parkway, Suite 102</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Redwood City, California 94065</w:t>
            </w:r>
          </w:p>
        </w:tc>
      </w:tr>
      <w:tr>
        <w:trPr/>
        <w:tc>
          <w:tcPr>
            <w:tcW w:w="5597"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 including zip code)</w:t>
            </w:r>
          </w:p>
        </w:tc>
      </w:tr>
      <w:tr>
        <w:trPr/>
        <w:tc>
          <w:tcPr>
            <w:tcW w:w="5597" w:type="dxa"/>
            <w:gridSpan w:val="2"/>
            <w:tcBorders/>
            <w:tcMar>
              <w:top w:w="0" w:type="dxa"/>
              <w:left w:w="0" w:type="dxa"/>
              <w:bottom w:w="0" w:type="dxa"/>
              <w:right w:w="0" w:type="dxa"/>
            </w:tcMar>
            <w:vAlign w:val="center"/>
          </w:tcPr>
          <w:p>
            <w:pPr>
              <w:pStyle w:val="TableContents"/>
              <w:pBdr>
                <w:top w:val="single" w:sz="6" w:space="1" w:color="000000"/>
              </w:pBdr>
              <w:bidi w:val="0"/>
              <w:spacing w:before="0" w:after="283"/>
              <w:jc w:val="center"/>
              <w:rPr/>
            </w:pPr>
            <w:r>
              <w:rPr/>
              <w:t> </w:t>
            </w:r>
          </w:p>
        </w:tc>
      </w:tr>
    </w:tbl>
    <w:p>
      <w:pPr>
        <w:pStyle w:val="TextBody"/>
        <w:bidi w:val="0"/>
        <w:spacing w:before="0" w:after="160"/>
        <w:jc w:val="left"/>
        <w:rPr>
          <w:rFonts w:ascii="Times New Roman" w:hAnsi="Times New Roman"/>
          <w:sz w:val="20"/>
        </w:rPr>
      </w:pPr>
      <w:r>
        <w:rPr>
          <w:rFonts w:ascii="Times New Roman" w:hAnsi="Times New Roman"/>
          <w:color w:val="000000"/>
          <w:sz w:val="18"/>
        </w:rPr>
        <w:t>Securities to be registered pursuant to Section 12(b) of the Act:</w:t>
      </w:r>
      <w:r>
        <w:rPr>
          <w:rFonts w:ascii="Times New Roman" w:hAnsi="Times New Roman"/>
          <w:color w:val="000000"/>
          <w:sz w:val="20"/>
        </w:rPr>
        <w:t xml:space="preserve"> </w:t>
      </w:r>
    </w:p>
    <w:tbl>
      <w:tblPr>
        <w:tblW w:w="6870" w:type="dxa"/>
        <w:jc w:val="left"/>
        <w:tblInd w:w="0" w:type="dxa"/>
        <w:tblLayout w:type="fixed"/>
        <w:tblCellMar>
          <w:top w:w="28" w:type="dxa"/>
          <w:left w:w="28" w:type="dxa"/>
          <w:bottom w:w="28" w:type="dxa"/>
          <w:right w:w="28" w:type="dxa"/>
        </w:tblCellMar>
      </w:tblPr>
      <w:tblGrid>
        <w:gridCol w:w="1514"/>
        <w:gridCol w:w="1371"/>
        <w:gridCol w:w="1375"/>
        <w:gridCol w:w="788"/>
        <w:gridCol w:w="788"/>
        <w:gridCol w:w="1034"/>
      </w:tblGrid>
      <w:tr>
        <w:trPr/>
        <w:tc>
          <w:tcPr>
            <w:tcW w:w="151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r>
      <w:tr>
        <w:trPr/>
        <w:tc>
          <w:tcPr>
            <w:tcW w:w="1514" w:type="dxa"/>
            <w:tcBorders/>
            <w:tcMar>
              <w:top w:w="0" w:type="dxa"/>
              <w:left w:w="0" w:type="dxa"/>
              <w:bottom w:w="0" w:type="dxa"/>
              <w:right w:w="0" w:type="dxa"/>
            </w:tcMar>
            <w:vAlign w:val="center"/>
          </w:tcPr>
          <w:p>
            <w:pPr>
              <w:pStyle w:val="TableContents"/>
              <w:bidi w:val="0"/>
              <w:spacing w:before="0" w:after="283"/>
              <w:jc w:val="left"/>
              <w:rPr/>
            </w:pPr>
            <w:r>
              <w:rPr/>
              <w:t> </w:t>
            </w:r>
          </w:p>
        </w:tc>
        <w:tc>
          <w:tcPr>
            <w:tcW w:w="137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tcMar>
              <w:top w:w="0" w:type="dxa"/>
              <w:left w:w="0" w:type="dxa"/>
              <w:bottom w:w="0" w:type="dxa"/>
              <w:right w:w="0" w:type="dxa"/>
            </w:tcMar>
            <w:vAlign w:val="center"/>
          </w:tcPr>
          <w:p>
            <w:pPr>
              <w:pStyle w:val="TableContents"/>
              <w:bidi w:val="0"/>
              <w:spacing w:before="0" w:after="283"/>
              <w:jc w:val="left"/>
              <w:rPr/>
            </w:pPr>
            <w:r>
              <w:rPr/>
              <w:t> </w:t>
            </w:r>
          </w:p>
        </w:tc>
        <w:tc>
          <w:tcPr>
            <w:tcW w:w="10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60" w:type="dxa"/>
            <w:gridSpan w:val="3"/>
            <w:tcBorders/>
            <w:tcMar>
              <w:top w:w="0" w:type="dxa"/>
              <w:left w:w="0" w:type="dxa"/>
              <w:bottom w:w="0" w:type="dxa"/>
              <w:right w:w="0" w:type="dxa"/>
            </w:tcMar>
            <w:vAlign w:val="center"/>
          </w:tcPr>
          <w:p>
            <w:pPr>
              <w:pStyle w:val="TableContents"/>
              <w:bidi w:val="0"/>
              <w:spacing w:before="2" w:after="283"/>
              <w:jc w:val="center"/>
              <w:rPr>
                <w:rFonts w:ascii="Times New Roman" w:hAnsi="Times New Roman"/>
                <w:color w:val="000000"/>
                <w:sz w:val="18"/>
              </w:rPr>
            </w:pPr>
            <w:r>
              <w:rPr>
                <w:rFonts w:ascii="Times New Roman" w:hAnsi="Times New Roman"/>
                <w:color w:val="000000"/>
                <w:sz w:val="18"/>
              </w:rPr>
              <w:t>Title of each class</w:t>
            </w:r>
          </w:p>
          <w:p>
            <w:pPr>
              <w:pStyle w:val="TableContents"/>
              <w:bidi w:val="0"/>
              <w:spacing w:before="2" w:after="283"/>
              <w:jc w:val="center"/>
              <w:rPr>
                <w:rFonts w:ascii="Times New Roman" w:hAnsi="Times New Roman"/>
                <w:color w:val="000000"/>
                <w:sz w:val="18"/>
              </w:rPr>
            </w:pPr>
            <w:r>
              <w:rPr>
                <w:rFonts w:ascii="Times New Roman" w:hAnsi="Times New Roman"/>
                <w:color w:val="000000"/>
                <w:sz w:val="18"/>
              </w:rPr>
              <w:t>to be so registered</w:t>
            </w:r>
          </w:p>
        </w:tc>
        <w:tc>
          <w:tcPr>
            <w:tcW w:w="2610" w:type="dxa"/>
            <w:gridSpan w:val="3"/>
            <w:tcBorders/>
            <w:tcMar>
              <w:top w:w="0" w:type="dxa"/>
              <w:left w:w="0" w:type="dxa"/>
              <w:bottom w:w="0" w:type="dxa"/>
              <w:right w:w="0" w:type="dxa"/>
            </w:tcMar>
            <w:vAlign w:val="center"/>
          </w:tcPr>
          <w:p>
            <w:pPr>
              <w:pStyle w:val="TableContents"/>
              <w:bidi w:val="0"/>
              <w:spacing w:before="2" w:after="283"/>
              <w:jc w:val="center"/>
              <w:rPr>
                <w:rFonts w:ascii="Times New Roman" w:hAnsi="Times New Roman"/>
                <w:color w:val="000000"/>
                <w:sz w:val="18"/>
              </w:rPr>
            </w:pPr>
            <w:r>
              <w:rPr>
                <w:rFonts w:ascii="Times New Roman" w:hAnsi="Times New Roman"/>
                <w:color w:val="000000"/>
                <w:sz w:val="18"/>
              </w:rPr>
              <w:t>Name of each exchange on which</w:t>
            </w:r>
          </w:p>
          <w:p>
            <w:pPr>
              <w:pStyle w:val="TableContents"/>
              <w:bidi w:val="0"/>
              <w:spacing w:before="2" w:after="283"/>
              <w:jc w:val="center"/>
              <w:rPr>
                <w:rFonts w:ascii="Times New Roman" w:hAnsi="Times New Roman"/>
                <w:color w:val="000000"/>
                <w:sz w:val="18"/>
              </w:rPr>
            </w:pPr>
            <w:r>
              <w:rPr>
                <w:rFonts w:ascii="Times New Roman" w:hAnsi="Times New Roman"/>
                <w:color w:val="000000"/>
                <w:sz w:val="18"/>
              </w:rPr>
              <w:t>each class is to be registered</w:t>
            </w:r>
          </w:p>
        </w:tc>
      </w:tr>
      <w:tr>
        <w:trPr/>
        <w:tc>
          <w:tcPr>
            <w:tcW w:w="4260"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Class A Common Stock, $0.00001 par value per share</w:t>
            </w:r>
          </w:p>
        </w:tc>
        <w:tc>
          <w:tcPr>
            <w:tcW w:w="2610"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this form relates to the registration of a class of securities pursuant to Section 12(b) of the Exchange Act and is effective pursuant to General Instruction A.(c), check the following box. ☒</w:t>
      </w:r>
    </w:p>
    <w:p>
      <w:pPr>
        <w:pStyle w:val="TextBody"/>
        <w:bidi w:val="0"/>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If this form relates to the registration of a class of securities pursuant to Section 12(g) of the Exchange Act and is effective pursuant to General Instruction A.(d) or (e), check the following box. ☐</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If this form relates to the registration of a class of securities concurrently with a Regulation A offering, check the following box.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18"/>
        </w:rPr>
        <w:t xml:space="preserve">Securities Act registration statement file number to which this form relates: </w:t>
      </w:r>
      <w:r>
        <w:rPr>
          <w:rFonts w:ascii="Times New Roman" w:hAnsi="Times New Roman"/>
          <w:b/>
          <w:color w:val="000000"/>
          <w:sz w:val="18"/>
        </w:rPr>
        <w:t>Not Applicable</w:t>
      </w:r>
    </w:p>
    <w:p>
      <w:pPr>
        <w:pStyle w:val="TextBody"/>
        <w:bidi w:val="0"/>
        <w:spacing w:before="0" w:after="240"/>
        <w:jc w:val="left"/>
        <w:rPr>
          <w:rFonts w:ascii="Times New Roman" w:hAnsi="Times New Roman"/>
          <w:sz w:val="20"/>
        </w:rPr>
      </w:pPr>
      <w:r>
        <w:rPr>
          <w:rFonts w:ascii="Times New Roman" w:hAnsi="Times New Roman"/>
          <w:color w:val="000000"/>
          <w:sz w:val="18"/>
        </w:rPr>
        <w:t xml:space="preserve">Securities to be registered pursuant to Section 12(g) of the Act: </w:t>
      </w:r>
      <w:r>
        <w:rPr>
          <w:rFonts w:ascii="Times New Roman" w:hAnsi="Times New Roman"/>
          <w:b/>
          <w:color w:val="000000"/>
          <w:sz w:val="18"/>
        </w:rPr>
        <w:t>None</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doub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1. Description of Registrant’s Securities to be Registered</w:t>
      </w:r>
    </w:p>
    <w:p>
      <w:pPr>
        <w:pStyle w:val="TextBody"/>
        <w:bidi w:val="0"/>
        <w:jc w:val="both"/>
        <w:rPr>
          <w:rFonts w:ascii="Times New Roman" w:hAnsi="Times New Roman"/>
          <w:color w:val="000000"/>
          <w:sz w:val="20"/>
        </w:rPr>
      </w:pPr>
      <w:r>
        <w:rPr>
          <w:rFonts w:ascii="Times New Roman" w:hAnsi="Times New Roman"/>
          <w:color w:val="000000"/>
          <w:sz w:val="20"/>
        </w:rPr>
        <w:t>As of February 26, 2026, the Board of Directors (the “Board”) of Seer, Inc. (the “Company”) authorized and declared a dividend distribution of one right (a “Right”) for each outstanding share of Class A Common Stock, par value $0.00001 per share (the “Common Stock”), of the Company to stockholders of record as of the close of business on March 9, 2026 (the “Record Date”). Each Right entitles the registered holder to purchase from the Company one one-thousandth of a share of Series A Participating Preferred Stock, par value $0.00001 per share (the “Preferred Stock”), of the Company at an exercise price of $11.00 (the “Exercise Price”), subject to adjustment. The complete terms of the Rights are set forth in a Tax Benefit Preservation Plan (the “Plan”), dated as of February 26, 2026, between the Company and Computershare Trust Company, N.A., as rights agent.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By adopting the Plan, the Board is seeking to protect the Company’s ability to use its net operating losses and other tax attributes (collectively, “Tax Benefits”). The Company views its Tax Benefits as highly valuable assets of the Company that are likely to inure to the benefit of the Company and its stockholders. However, if the Company experiences an “ownership change,” as defined in Section 382 of the Internal Revenue Code (the “Code”), its ability to use the Tax Benefits could be substantially limited, and the timing of the usage of the Tax Benefits could be substantially delayed; these could significantly impair the value of the Tax Benefits. Generally, an “ownership change” occurs if the percentage of the Company’s stock owned by one or more “five percent stockholders” increases by more than 50 percentage points over the lowest percentage of stock owned by such stockholders at any time during the prior three-year period or, if sooner, since the last “ownership change” experienced by the Company. The Plan is intended to deter acquisitions of 4.9 percent or more of the outstanding Common Stock by any person without the approval of the Board. This would protect the Tax Benefits because changes in ownership by a person owning less than 4.9 percent of the Common Stock are not included in the calculation of “ownership change” for purposes of Section 382 of the Code. The Board believes that it is in the best interests of the Company and its stockholders that the Company provide for the protection of the Tax Benefits by adopting the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is a summary of the terms of the Plan. The summary does not purport to be complete and is qualified in its entirety by reference to the Plan, a copy of which is attached as Exhibit 4.1 and is incorporated herein by reference. Unless the context requires otherwise, any capitalized terms used in the following summary that are not otherwise defined will have the meaning given to such terms in the Plan.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95"/>
        <w:gridCol w:w="7810"/>
      </w:tblGrid>
      <w:tr>
        <w:trPr/>
        <w:tc>
          <w:tcPr>
            <w:tcW w:w="2395" w:type="dxa"/>
            <w:tcBorders/>
            <w:vAlign w:val="center"/>
          </w:tcPr>
          <w:p>
            <w:pPr>
              <w:pStyle w:val="TableContents"/>
              <w:bidi w:val="0"/>
              <w:spacing w:before="0" w:after="283"/>
              <w:jc w:val="left"/>
              <w:rPr>
                <w:sz w:val="4"/>
                <w:szCs w:val="4"/>
              </w:rPr>
            </w:pPr>
            <w:r>
              <w:rPr>
                <w:sz w:val="4"/>
                <w:szCs w:val="4"/>
              </w:rPr>
            </w:r>
          </w:p>
        </w:tc>
        <w:tc>
          <w:tcPr>
            <w:tcW w:w="7810" w:type="dxa"/>
            <w:tcBorders/>
            <w:vAlign w:val="center"/>
          </w:tcPr>
          <w:p>
            <w:pPr>
              <w:pStyle w:val="TableContents"/>
              <w:bidi w:val="0"/>
              <w:spacing w:before="0" w:after="283"/>
              <w:jc w:val="left"/>
              <w:rPr>
                <w:sz w:val="4"/>
                <w:szCs w:val="4"/>
              </w:rPr>
            </w:pPr>
            <w:r>
              <w:rPr>
                <w:sz w:val="4"/>
                <w:szCs w:val="4"/>
              </w:rPr>
            </w:r>
          </w:p>
        </w:tc>
      </w:tr>
      <w:tr>
        <w:trPr/>
        <w:tc>
          <w:tcPr>
            <w:tcW w:w="2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Distribution and Transfer of Rights; Rights Certificates:</w:t>
            </w:r>
          </w:p>
        </w:tc>
        <w:tc>
          <w:tcPr>
            <w:tcW w:w="7810"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The Board has declared a dividend of one Right for each outstanding share of Common Stock. Prior to the Distribution Date referred to below:</w:t>
            </w:r>
          </w:p>
          <w:p>
            <w:pPr>
              <w:pStyle w:val="TableContents"/>
              <w:bidi w:val="0"/>
              <w:spacing w:before="240" w:after="283"/>
              <w:jc w:val="both"/>
              <w:rPr>
                <w:color w:val="000000"/>
              </w:rPr>
            </w:pPr>
            <w:r>
              <w:rPr>
                <w:color w:val="000000"/>
              </w:rPr>
              <w:t>•</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the Rights will be evidenced by and trade with the certificates for the Common Stock (or, with respect to any uncertificated Common Stock registered in book entry form, by notation in book entry), and no separate rights certificates will be distributed;</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new Common Stock certificates issued after the Record Date will contain a legend incorporating the Plan by reference (for uncertificated Common Stock registered in book entry form, this legend will be contained in a notation in book entry); and</w:t>
            </w:r>
          </w:p>
          <w:p>
            <w:pPr>
              <w:pStyle w:val="TableContents"/>
              <w:bidi w:val="0"/>
              <w:spacing w:before="0" w:after="0"/>
              <w:jc w:val="both"/>
              <w:rPr>
                <w:color w:val="000000"/>
              </w:rPr>
            </w:pPr>
            <w:r>
              <w:rPr>
                <w:color w:val="000000"/>
              </w:rPr>
              <w:t>•</w:t>
            </w:r>
          </w:p>
          <w:p>
            <w:pPr>
              <w:pStyle w:val="TableContents"/>
              <w:bidi w:val="0"/>
              <w:jc w:val="both"/>
              <w:rPr>
                <w:rFonts w:ascii="Times New Roman" w:hAnsi="Times New Roman"/>
                <w:color w:val="000000"/>
                <w:sz w:val="20"/>
              </w:rPr>
            </w:pPr>
            <w:r>
              <w:rPr>
                <w:rFonts w:ascii="Times New Roman" w:hAnsi="Times New Roman"/>
                <w:color w:val="000000"/>
                <w:sz w:val="20"/>
              </w:rPr>
              <w:t xml:space="preserve">the surrender for transfer of any certificates for Common Stock (or the surrender for transfer of any uncertificated Common Stock registered in book entry form) will also constitute the transfer of the Rights associated with such Common Stock.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Rights will accompany any new shares of Common Stock that are issued after the Record Date.</w:t>
            </w:r>
          </w:p>
          <w:p>
            <w:pPr>
              <w:pStyle w:val="TableContents"/>
              <w:bidi w:val="0"/>
              <w:spacing w:before="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8"/>
        <w:gridCol w:w="8657"/>
      </w:tblGrid>
      <w:tr>
        <w:trPr/>
        <w:tc>
          <w:tcPr>
            <w:tcW w:w="1548" w:type="dxa"/>
            <w:tcBorders/>
            <w:vAlign w:val="center"/>
          </w:tcPr>
          <w:p>
            <w:pPr>
              <w:pStyle w:val="TableContents"/>
              <w:bidi w:val="0"/>
              <w:spacing w:before="0" w:after="283"/>
              <w:jc w:val="left"/>
              <w:rPr>
                <w:sz w:val="4"/>
                <w:szCs w:val="4"/>
              </w:rPr>
            </w:pPr>
            <w:r>
              <w:rPr>
                <w:sz w:val="4"/>
                <w:szCs w:val="4"/>
              </w:rPr>
            </w:r>
          </w:p>
        </w:tc>
        <w:tc>
          <w:tcPr>
            <w:tcW w:w="8657" w:type="dxa"/>
            <w:tcBorders/>
            <w:vAlign w:val="center"/>
          </w:tcPr>
          <w:p>
            <w:pPr>
              <w:pStyle w:val="TableContents"/>
              <w:bidi w:val="0"/>
              <w:spacing w:before="0" w:after="283"/>
              <w:jc w:val="left"/>
              <w:rPr>
                <w:sz w:val="4"/>
                <w:szCs w:val="4"/>
              </w:rPr>
            </w:pPr>
            <w:r>
              <w:rPr>
                <w:sz w:val="4"/>
                <w:szCs w:val="4"/>
              </w:rPr>
            </w:r>
          </w:p>
        </w:tc>
      </w:tr>
      <w:tr>
        <w:trPr/>
        <w:tc>
          <w:tcPr>
            <w:tcW w:w="15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Distribution Date:</w:t>
            </w:r>
          </w:p>
        </w:tc>
        <w:tc>
          <w:tcPr>
            <w:tcW w:w="8657"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Subject to certain exceptions specified in the Plan, the Rights will separate from the Common Stock and become exercisable following (1) the 10th business day (or such later date as may be determined by the Board) after the public announcement that a person or group of affiliated or associated persons (such person or group, an “</w:t>
            </w:r>
            <w:r>
              <w:rPr>
                <w:rFonts w:ascii="Times New Roman" w:hAnsi="Times New Roman"/>
                <w:b/>
                <w:color w:val="000000"/>
                <w:sz w:val="20"/>
              </w:rPr>
              <w:t>Acquiring Person</w:t>
            </w:r>
            <w:r>
              <w:rPr>
                <w:rFonts w:ascii="Times New Roman" w:hAnsi="Times New Roman"/>
                <w:color w:val="000000"/>
                <w:sz w:val="20"/>
              </w:rPr>
              <w:t>”) has acquired beneficial ownership of 4.9 percent or more of the Common Stock or (2) the 10th business day (or such later date as may be determined by the Board) after a person or group announces a tender or exchange offer that would result in ownership by a person or group of 4.9 percent or more of the Common Stock. For purposes of the Plan, beneficial ownership is defined to include the ownership of derivative securities as well as ownership of securities pursuant to Section 382 of the Code.</w:t>
            </w:r>
          </w:p>
          <w:p>
            <w:pPr>
              <w:pStyle w:val="TableContents"/>
              <w:bidi w:val="0"/>
              <w:jc w:val="both"/>
              <w:rPr/>
            </w:pPr>
            <w:r>
              <w:rPr/>
              <w:t> </w:t>
            </w:r>
          </w:p>
          <w:p>
            <w:pPr>
              <w:pStyle w:val="TableContents"/>
              <w:bidi w:val="0"/>
              <w:jc w:val="both"/>
              <w:rPr>
                <w:rFonts w:ascii="Times New Roman" w:hAnsi="Times New Roman"/>
                <w:sz w:val="20"/>
              </w:rPr>
            </w:pPr>
            <w:r>
              <w:rPr>
                <w:rFonts w:ascii="Times New Roman" w:hAnsi="Times New Roman"/>
                <w:color w:val="000000"/>
                <w:sz w:val="20"/>
              </w:rPr>
              <w:t>The date on which the Rights separate from the Common Stock and become exercisable is referred to as the “</w:t>
            </w:r>
            <w:r>
              <w:rPr>
                <w:rFonts w:ascii="Times New Roman" w:hAnsi="Times New Roman"/>
                <w:b/>
                <w:color w:val="000000"/>
                <w:sz w:val="20"/>
              </w:rPr>
              <w:t>Distribution Date</w:t>
            </w:r>
            <w:r>
              <w:rPr>
                <w:rFonts w:ascii="Times New Roman" w:hAnsi="Times New Roman"/>
                <w:color w:val="000000"/>
                <w:sz w:val="20"/>
              </w:rPr>
              <w:t>.”</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After the Distribution Date, the Company will mail Rights certificates to the Company’s stockholders as of the close of business on the Distribution Date and the Rights will become transferable apart from the Common Stock. Thereafter, such Rights certificates alone will represent the Rights.</w:t>
            </w:r>
          </w:p>
          <w:p>
            <w:pPr>
              <w:pStyle w:val="TableContents"/>
              <w:bidi w:val="0"/>
              <w:spacing w:before="0" w:after="283"/>
              <w:jc w:val="both"/>
              <w:rPr/>
            </w:pPr>
            <w:r>
              <w:rPr/>
              <w:t> </w:t>
            </w:r>
          </w:p>
        </w:tc>
      </w:tr>
      <w:tr>
        <w:trPr/>
        <w:tc>
          <w:tcPr>
            <w:tcW w:w="15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Preferred Stock Purchasable Upon Exercise of Rights:</w:t>
            </w:r>
          </w:p>
        </w:tc>
        <w:tc>
          <w:tcPr>
            <w:tcW w:w="8657"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After the Distribution Date, each Right will entitle the holder to purchase, for the Exercise Price, one one-thousandth of a share of Preferred Stock having economic and other terms similar to that of one share of Common Stock. This portion of a share of Preferred Stock is intended to give the stockholder approximately the same dividend, voting and liquidation rights as would one share of Common Stock, and should approximate the value of one share of Common Stock.</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More specifically, each one one-thousandth of a share of Preferred Stock, if issued, will:</w:t>
            </w:r>
          </w:p>
          <w:p>
            <w:pPr>
              <w:pStyle w:val="TableContents"/>
              <w:bidi w:val="0"/>
              <w:spacing w:before="240" w:after="283"/>
              <w:jc w:val="both"/>
              <w:rPr>
                <w:color w:val="000000"/>
              </w:rPr>
            </w:pPr>
            <w:r>
              <w:rPr>
                <w:color w:val="000000"/>
              </w:rPr>
              <w:t>•</w:t>
            </w:r>
          </w:p>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not be redeemable;</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entitle holders to quarterly dividend payments of $0.001 per one one-thousandth of a share of Preferred Stock, or an amount equal to the dividend paid on one share of Common Stock, whichever is greater;</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entitle holders upon liquidation either to receive $1 per one one-thousandth of a share of Preferred Stock or an amount equal to the payment made on one share of Common Stock, whichever is greater;</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have the same voting power as one share of Common Stock; and</w:t>
            </w:r>
          </w:p>
          <w:p>
            <w:pPr>
              <w:pStyle w:val="TableContents"/>
              <w:bidi w:val="0"/>
              <w:spacing w:before="0" w:after="0"/>
              <w:jc w:val="both"/>
              <w:rPr>
                <w:color w:val="000000"/>
              </w:rPr>
            </w:pPr>
            <w:r>
              <w:rPr>
                <w:color w:val="000000"/>
              </w:rPr>
              <w:t>•</w:t>
            </w:r>
          </w:p>
          <w:p>
            <w:pPr>
              <w:pStyle w:val="TableContents"/>
              <w:bidi w:val="0"/>
              <w:jc w:val="both"/>
              <w:rPr>
                <w:rFonts w:ascii="Times New Roman" w:hAnsi="Times New Roman"/>
                <w:color w:val="000000"/>
                <w:sz w:val="20"/>
              </w:rPr>
            </w:pPr>
            <w:r>
              <w:rPr>
                <w:rFonts w:ascii="Times New Roman" w:hAnsi="Times New Roman"/>
                <w:color w:val="000000"/>
                <w:sz w:val="20"/>
              </w:rPr>
              <w:t>entitle holders to a payment per one one-thousandth of a share of Preferred Stock equal to the payment made on one share of Common Stock if the Common Stock is exchanged via merger, consolidation or a similar transaction.</w:t>
            </w:r>
          </w:p>
          <w:p>
            <w:pPr>
              <w:pStyle w:val="TableContents"/>
              <w:bidi w:val="0"/>
              <w:spacing w:before="0" w:after="283"/>
              <w:jc w:val="both"/>
              <w:rPr/>
            </w:pPr>
            <w:r>
              <w:rPr/>
              <w:t> </w:t>
            </w:r>
          </w:p>
        </w:tc>
      </w:tr>
      <w:tr>
        <w:trPr/>
        <w:tc>
          <w:tcPr>
            <w:tcW w:w="15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Flip-In Trigger:</w:t>
            </w:r>
          </w:p>
        </w:tc>
        <w:tc>
          <w:tcPr>
            <w:tcW w:w="8657"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 xml:space="preserve">If an Acquiring Person obtains beneficial ownership of 4.9 percent or more of the Common Stock, </w:t>
            </w:r>
            <w:r>
              <w:rPr>
                <w:rFonts w:ascii="Times New Roman" w:hAnsi="Times New Roman"/>
                <w:i/>
                <w:color w:val="000000"/>
                <w:sz w:val="20"/>
              </w:rPr>
              <w:t>then</w:t>
            </w:r>
            <w:r>
              <w:rPr>
                <w:rFonts w:ascii="Times New Roman" w:hAnsi="Times New Roman"/>
                <w:color w:val="000000"/>
                <w:sz w:val="20"/>
              </w:rPr>
              <w:t> each Right will entitle the holder thereof to purchase, for the Exercise Price, a number of shares of Common Stock (or, in certain circumstances, cash, property or other securities of the Company) having a then-current market value of twice the Exercise Price. However, the Rights are not exercisable following the occurrence of the foregoing event until such time as the Rights are no longer redeemable by the Company, as further described below.</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Following the occurrence of an event set forth in preceding paragraph, all Rights that are or, under certain circumstances specified in the Plan, were beneficially owned by an Acquiring Person or certain of its transferees will be void.</w:t>
            </w:r>
          </w:p>
          <w:p>
            <w:pPr>
              <w:pStyle w:val="TableContents"/>
              <w:bidi w:val="0"/>
              <w:spacing w:before="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9"/>
        <w:gridCol w:w="8626"/>
      </w:tblGrid>
      <w:tr>
        <w:trPr/>
        <w:tc>
          <w:tcPr>
            <w:tcW w:w="1579" w:type="dxa"/>
            <w:tcBorders/>
            <w:vAlign w:val="center"/>
          </w:tcPr>
          <w:p>
            <w:pPr>
              <w:pStyle w:val="TableContents"/>
              <w:bidi w:val="0"/>
              <w:spacing w:before="0" w:after="283"/>
              <w:jc w:val="left"/>
              <w:rPr>
                <w:sz w:val="4"/>
                <w:szCs w:val="4"/>
              </w:rPr>
            </w:pPr>
            <w:r>
              <w:rPr>
                <w:sz w:val="4"/>
                <w:szCs w:val="4"/>
              </w:rPr>
            </w:r>
          </w:p>
        </w:tc>
        <w:tc>
          <w:tcPr>
            <w:tcW w:w="8626" w:type="dxa"/>
            <w:tcBorders/>
            <w:vAlign w:val="center"/>
          </w:tcPr>
          <w:p>
            <w:pPr>
              <w:pStyle w:val="TableContents"/>
              <w:bidi w:val="0"/>
              <w:spacing w:before="0" w:after="283"/>
              <w:jc w:val="left"/>
              <w:rPr>
                <w:sz w:val="4"/>
                <w:szCs w:val="4"/>
              </w:rPr>
            </w:pPr>
            <w:r>
              <w:rPr>
                <w:sz w:val="4"/>
                <w:szCs w:val="4"/>
              </w:rPr>
            </w:r>
          </w:p>
        </w:tc>
      </w:tr>
      <w:tr>
        <w:trPr/>
        <w:tc>
          <w:tcPr>
            <w:tcW w:w="15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Flip-Over Trigger:</w:t>
            </w:r>
          </w:p>
        </w:tc>
        <w:tc>
          <w:tcPr>
            <w:tcW w:w="8626" w:type="dxa"/>
            <w:tcBorders/>
            <w:tcMar>
              <w:top w:w="0" w:type="dxa"/>
              <w:left w:w="0" w:type="dxa"/>
              <w:bottom w:w="0" w:type="dxa"/>
              <w:right w:w="0" w:type="dxa"/>
            </w:tcMar>
            <w:vAlign w:val="center"/>
          </w:tcPr>
          <w:p>
            <w:pPr>
              <w:pStyle w:val="TableContents"/>
              <w:bidi w:val="0"/>
              <w:jc w:val="both"/>
              <w:rPr>
                <w:rFonts w:ascii="Times New Roman" w:hAnsi="Times New Roman"/>
                <w:sz w:val="20"/>
              </w:rPr>
            </w:pPr>
            <w:r>
              <w:rPr>
                <w:rFonts w:ascii="Times New Roman" w:hAnsi="Times New Roman"/>
                <w:color w:val="000000"/>
                <w:sz w:val="20"/>
              </w:rPr>
              <w:t xml:space="preserve">If, after an Acquiring Person obtains 4.9 percent or more of the Common Stock, (1) the Company merges into another entity, (2) an acquiring entity merges into the Company or (3) the Company sells or transfers 50 percent or more of its assets, cash flow or earning power, </w:t>
            </w:r>
            <w:r>
              <w:rPr>
                <w:rFonts w:ascii="Times New Roman" w:hAnsi="Times New Roman"/>
                <w:i/>
                <w:color w:val="000000"/>
                <w:sz w:val="20"/>
              </w:rPr>
              <w:t>then</w:t>
            </w:r>
            <w:r>
              <w:rPr>
                <w:rFonts w:ascii="Times New Roman" w:hAnsi="Times New Roman"/>
                <w:color w:val="000000"/>
                <w:sz w:val="20"/>
              </w:rPr>
              <w:t> each Right (except for Rights that have previously been voided as set forth above) will entitle the holder thereof to purchase, for the Exercise Price, a number of shares of common stock of the person engaging in the transaction having a then-current market value of twice the Exercise Price.</w:t>
            </w:r>
          </w:p>
          <w:p>
            <w:pPr>
              <w:pStyle w:val="TableContents"/>
              <w:bidi w:val="0"/>
              <w:spacing w:before="0" w:after="283"/>
              <w:jc w:val="both"/>
              <w:rPr/>
            </w:pPr>
            <w:r>
              <w:rPr/>
              <w:t> </w:t>
            </w:r>
          </w:p>
        </w:tc>
      </w:tr>
      <w:tr>
        <w:trPr/>
        <w:tc>
          <w:tcPr>
            <w:tcW w:w="15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Redemption of the Rights:</w:t>
            </w:r>
          </w:p>
        </w:tc>
        <w:tc>
          <w:tcPr>
            <w:tcW w:w="862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The Rights will be redeemable at the Company’s option for $0.001 per Right (payable in cash, Common Stock or other consideration deemed appropriate by the Board) at any time on or prior to the 10th business day (or such later date as may be determined by the Board) after the public announcement that an Acquiring Person has acquired beneficial ownership of 4.9 percent or more of the Common Stock. Immediately upon the action of the Board ordering redemption, the Rights will terminate and the only right of the holders of the Rights will be to receive the $0.001 redemption price. The redemption price will be adjusted if the Company undertakes a stock dividend or a stock split.</w:t>
            </w:r>
          </w:p>
          <w:p>
            <w:pPr>
              <w:pStyle w:val="TableContents"/>
              <w:bidi w:val="0"/>
              <w:spacing w:before="0" w:after="283"/>
              <w:jc w:val="both"/>
              <w:rPr/>
            </w:pPr>
            <w:r>
              <w:rPr/>
              <w:t> </w:t>
            </w:r>
          </w:p>
        </w:tc>
      </w:tr>
      <w:tr>
        <w:trPr/>
        <w:tc>
          <w:tcPr>
            <w:tcW w:w="15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Exchange Provision:</w:t>
            </w:r>
          </w:p>
        </w:tc>
        <w:tc>
          <w:tcPr>
            <w:tcW w:w="862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At any time after the date on which an Acquiring Person beneficially owns 4.9 percent or more of the Common Stock and prior to the acquisition by the Acquiring Person of 50 percent of the Common Stock, the Board may exchange the Rights (except for Rights that have previously been voided as set forth above), in whole or in part, for Common Stock at an exchange ratio of one share of Common Stock per Right (subject to adjustment). In certain circumstances, the Company may elect to exchange the Rights for cash or other securities of the Company having a value approximately equal to one share of Common Stock.</w:t>
            </w:r>
          </w:p>
          <w:p>
            <w:pPr>
              <w:pStyle w:val="TableContents"/>
              <w:bidi w:val="0"/>
              <w:spacing w:before="0" w:after="283"/>
              <w:jc w:val="both"/>
              <w:rPr/>
            </w:pPr>
            <w:r>
              <w:rPr/>
              <w:t> </w:t>
            </w:r>
          </w:p>
        </w:tc>
      </w:tr>
      <w:tr>
        <w:trPr/>
        <w:tc>
          <w:tcPr>
            <w:tcW w:w="15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Expiration of the Rights:</w:t>
            </w:r>
          </w:p>
        </w:tc>
        <w:tc>
          <w:tcPr>
            <w:tcW w:w="862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The Rights expire on the earliest of (1) 5:00 p.m., New York City time, on February 25, 2029 (unless such date is extended); (2) the redemption or exchange of the Rights as described above; (3) 5:00 p.m., New York City time, on February 25, 2027, if the Company’s stockholders do not ratify the Plan; or (4) when the Board, its sole discretion, determines that (a) the Plan is no longer necessary or desirable for the preservation of the Tax Benefits, (b) the Tax Benefits are fully utilized or no longer available pursuant to Section 382 or Section 383 of the Code, (c) no Tax Benefits may be carried forward or (d) the Plan and the Rights are no longer in the best interests of the Company and its stockholders.</w:t>
            </w:r>
          </w:p>
          <w:p>
            <w:pPr>
              <w:pStyle w:val="TableContents"/>
              <w:bidi w:val="0"/>
              <w:spacing w:before="0" w:after="283"/>
              <w:jc w:val="both"/>
              <w:rPr/>
            </w:pPr>
            <w:r>
              <w:rPr/>
              <w:t> </w:t>
            </w:r>
          </w:p>
        </w:tc>
      </w:tr>
      <w:tr>
        <w:trPr/>
        <w:tc>
          <w:tcPr>
            <w:tcW w:w="15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Amendment of Terms of the Plan and Rights:</w:t>
            </w:r>
          </w:p>
        </w:tc>
        <w:tc>
          <w:tcPr>
            <w:tcW w:w="8626"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The terms of the Rights and the Plan may be amended in any respect without the consent of the holders of the Rights on or prior to the Distribution Date. Thereafter, the terms of the Rights and the Plan may be amended without the consent of the holders of Rights in order to (1) cure any ambiguities, (2) shorten or lengthen any time period pursuant to the Plan or (3) make changes that do not adversely affect the interests of holders of the Rights.</w:t>
            </w:r>
          </w:p>
          <w:p>
            <w:pPr>
              <w:pStyle w:val="TableContents"/>
              <w:bidi w:val="0"/>
              <w:spacing w:before="0" w:after="283"/>
              <w:jc w:val="both"/>
              <w:rPr/>
            </w:pPr>
            <w:r>
              <w:rPr/>
              <w:t> </w:t>
            </w:r>
          </w:p>
        </w:tc>
      </w:tr>
      <w:tr>
        <w:trPr/>
        <w:tc>
          <w:tcPr>
            <w:tcW w:w="15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Voting Rights; Other Stockholder Rights:</w:t>
            </w:r>
          </w:p>
        </w:tc>
        <w:tc>
          <w:tcPr>
            <w:tcW w:w="86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Rights will not have any voting rights. Until a Right is exercised, the holder thereof, as such, will have no separate rights as stockholder of the Company.</w:t>
            </w:r>
          </w:p>
        </w:tc>
      </w:tr>
      <w:tr>
        <w:trPr/>
        <w:tc>
          <w:tcPr>
            <w:tcW w:w="1579"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Anti-Dilution Provisions:</w:t>
            </w:r>
          </w:p>
        </w:tc>
        <w:tc>
          <w:tcPr>
            <w:tcW w:w="8626" w:type="dxa"/>
            <w:tcBorders/>
            <w:tcMar>
              <w:top w:w="0" w:type="dxa"/>
              <w:left w:w="0" w:type="dxa"/>
              <w:bottom w:w="0" w:type="dxa"/>
              <w:right w:w="0" w:type="dxa"/>
            </w:tcMar>
            <w:vAlign w:val="center"/>
          </w:tcPr>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The Board may adjust the Exercise Price, the number of shares of Preferred Stock issuable and the number of outstanding Rights to prevent dilution that may occur from a stock dividend, a stock split or a reclassification of the Preferred Stock or Common Stock.</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With certain exceptions, no adjustments to the Exercise Price will be made until the cumulative adjustments amount to at least one percent of the Exercise Price. No fractional shares of Preferred Stock will be issued and, in lieu thereof, an adjustment in cash will be made based on the current market price of the Preferred Stock.</w:t>
            </w:r>
          </w:p>
          <w:p>
            <w:pPr>
              <w:pStyle w:val="TableContents"/>
              <w:bidi w:val="0"/>
              <w:spacing w:before="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
        <w:gridCol w:w="9545"/>
      </w:tblGrid>
      <w:tr>
        <w:trPr/>
        <w:tc>
          <w:tcPr>
            <w:tcW w:w="660" w:type="dxa"/>
            <w:tcBorders/>
            <w:vAlign w:val="center"/>
          </w:tcPr>
          <w:p>
            <w:pPr>
              <w:pStyle w:val="TableContents"/>
              <w:bidi w:val="0"/>
              <w:spacing w:before="0" w:after="283"/>
              <w:jc w:val="left"/>
              <w:rPr>
                <w:sz w:val="4"/>
                <w:szCs w:val="4"/>
              </w:rPr>
            </w:pPr>
            <w:r>
              <w:rPr>
                <w:sz w:val="4"/>
                <w:szCs w:val="4"/>
              </w:rPr>
            </w:r>
          </w:p>
        </w:tc>
        <w:tc>
          <w:tcPr>
            <w:tcW w:w="9545" w:type="dxa"/>
            <w:tcBorders/>
            <w:vAlign w:val="center"/>
          </w:tcPr>
          <w:p>
            <w:pPr>
              <w:pStyle w:val="TableContents"/>
              <w:bidi w:val="0"/>
              <w:spacing w:before="0" w:after="283"/>
              <w:jc w:val="left"/>
              <w:rPr>
                <w:sz w:val="4"/>
                <w:szCs w:val="4"/>
              </w:rPr>
            </w:pPr>
            <w:r>
              <w:rPr>
                <w:sz w:val="4"/>
                <w:szCs w:val="4"/>
              </w:rPr>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Taxes:</w:t>
            </w:r>
          </w:p>
        </w:tc>
        <w:tc>
          <w:tcPr>
            <w:tcW w:w="95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distribution of Rights should not be taxable for federal income tax purposes. However, following an event that renders the Rights exercisable or upon redemption of the Rights, stockholders may recognize taxable income.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2. Exhibits</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9829"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Certificate of Designation of Rights, Powers and Preferences of Series A Participating Preferred Stock (incorporated by reference to Exhibit 3.1 to the Current Report on Form 8-K filed by the Company with the Securities and Exchange Commission on February 26, 2026).</w:t>
              </w:r>
            </w:hyperlink>
          </w:p>
        </w:tc>
      </w:tr>
      <w:tr>
        <w:trPr/>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9829"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982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Tax Benefit Preservation Plan, dated as of February 26, 2026, by and between Seer, Inc. and Computershare Trust Company, N.A., as rights agent (incorporated by reference to Exhibit 4.1 to the Current Report on Form 8-K filed by the Company with the Securities and Exchange Commission on February 26, 2026).</w:t>
              </w:r>
            </w:hyperlink>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Pursuant to the requirements of Section 12 of the Securities Exchange Act of 1934, the registrant has duly caused this registration statement to be signed on its behalf by the undersigned, thereto duly authorized.</w:t>
      </w:r>
    </w:p>
    <w:tbl>
      <w:tblPr>
        <w:tblW w:w="5935" w:type="dxa"/>
        <w:jc w:val="left"/>
        <w:tblInd w:w="0" w:type="dxa"/>
        <w:tblLayout w:type="fixed"/>
        <w:tblCellMar>
          <w:top w:w="28" w:type="dxa"/>
          <w:left w:w="28" w:type="dxa"/>
          <w:bottom w:w="28" w:type="dxa"/>
          <w:right w:w="28" w:type="dxa"/>
        </w:tblCellMar>
      </w:tblPr>
      <w:tblGrid>
        <w:gridCol w:w="2086"/>
        <w:gridCol w:w="146"/>
        <w:gridCol w:w="406"/>
        <w:gridCol w:w="146"/>
        <w:gridCol w:w="315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Horn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26445/000119312526076684/ck0001726445-ex3_1.htm" TargetMode="External"/><Relationship Id="rId3" Type="http://schemas.openxmlformats.org/officeDocument/2006/relationships/hyperlink" Target="https://www.sec.gov/Archives/edgar/data/1726445/000119312526076684/ck0001726445-ex4_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2326</Words>
  <Characters>11615</Characters>
  <CharactersWithSpaces>13925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