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38735</wp:posOffset>
            </wp:positionV>
            <wp:extent cx="6972935" cy="1684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4020"/>
                    </a:xfrm>
                    <a:prstGeom prst="rect">
                      <a:avLst/>
                    </a:prstGeom>
                    <a:noFill/>
                  </pic:spPr>
                </pic:pic>
              </a:graphicData>
            </a:graphic>
          </wp:anchor>
        </w:drawing>
      </w:r>
    </w:p>
    <w:p>
      <w:pPr>
        <w:spacing w:after="0" w:line="114" w:lineRule="exact"/>
        <w:rPr>
          <w:sz w:val="24"/>
          <w:szCs w:val="24"/>
          <w:color w:val="auto"/>
        </w:rPr>
      </w:pPr>
    </w:p>
    <w:p>
      <w:pPr>
        <w:sectPr>
          <w:pgSz w:w="11900" w:h="16953" w:orient="portrait"/>
          <w:cols w:equalWidth="0" w:num="2">
            <w:col w:w="2180" w:space="48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Invus Public Equities, L.P.</w:t>
        </w:r>
      </w:hyperlink>
    </w:p>
    <w:p>
      <w:pPr>
        <w:spacing w:after="0" w:line="2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750 LEXINGTON AVENUE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12/08/2020</w:t>
      </w:r>
    </w:p>
    <w:p>
      <w:pPr>
        <w:spacing w:after="0" w:line="20" w:lineRule="exact"/>
        <w:rPr>
          <w:sz w:val="24"/>
          <w:szCs w:val="24"/>
          <w:color w:val="auto"/>
        </w:rPr>
      </w:pPr>
      <w:r>
        <w:rPr>
          <w:sz w:val="24"/>
          <w:szCs w:val="24"/>
          <w:color w:val="auto"/>
        </w:rPr>
        <w:br w:type="column"/>
      </w:r>
    </w:p>
    <w:p>
      <w:pPr>
        <w:ind w:left="-3" w:right="720" w:firstLine="3"/>
        <w:spacing w:after="0" w:line="273"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7"/>
        <w:spacing w:after="0"/>
        <w:tabs>
          <w:tab w:leader="none" w:pos="1756" w:val="left"/>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5"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50" w:lineRule="exact"/>
        <w:rPr>
          <w:sz w:val="24"/>
          <w:szCs w:val="24"/>
          <w:color w:val="auto"/>
        </w:rPr>
      </w:pPr>
    </w:p>
    <w:p>
      <w:pPr>
        <w:sectPr>
          <w:pgSz w:w="11900" w:h="16953" w:orient="portrait"/>
          <w:cols w:equalWidth="0" w:num="3">
            <w:col w:w="3180" w:space="720"/>
            <w:col w:w="3123" w:space="720"/>
            <w:col w:w="3337"/>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600" w:type="dxa"/>
            <w:vAlign w:val="bottom"/>
            <w:gridSpan w:val="9"/>
          </w:tcPr>
          <w:p>
            <w:pPr>
              <w:jc w:val="center"/>
              <w:ind w:right="95"/>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10"/>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2"/>
                <w:szCs w:val="12"/>
                <w:color w:val="auto"/>
              </w:rPr>
              <w:t>Line)</w:t>
            </w:r>
          </w:p>
        </w:tc>
        <w:tc>
          <w:tcPr>
            <w:tcW w:w="296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10022</w:t>
            </w: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720" w:type="dxa"/>
            <w:vAlign w:val="bottom"/>
            <w:gridSpan w:val="10"/>
            <w:vMerge w:val="restart"/>
          </w:tcPr>
          <w:p>
            <w:pPr>
              <w:ind w:left="5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7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60" w:type="dxa"/>
            <w:vAlign w:val="bottom"/>
          </w:tcPr>
          <w:p>
            <w:pPr>
              <w:ind w:left="4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5"/>
          </w:tcPr>
          <w:p>
            <w:pPr>
              <w:jc w:val="center"/>
              <w:ind w:left="65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line="120"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2060" w:type="dxa"/>
            <w:vAlign w:val="bottom"/>
            <w:gridSpan w:val="5"/>
          </w:tcPr>
          <w:p>
            <w:pPr>
              <w:jc w:val="right"/>
              <w:ind w:right="1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3"/>
          </w:tcPr>
          <w:p>
            <w:pPr>
              <w:jc w:val="center"/>
              <w:ind w:left="713"/>
              <w:spacing w:after="0"/>
              <w:rPr>
                <w:sz w:val="20"/>
                <w:szCs w:val="20"/>
                <w:color w:val="auto"/>
              </w:rPr>
            </w:pPr>
            <w:r>
              <w:rPr>
                <w:rFonts w:ascii="Times New Roman" w:cs="Times New Roman" w:eastAsia="Times New Roman" w:hAnsi="Times New Roman"/>
                <w:sz w:val="16"/>
                <w:szCs w:val="16"/>
                <w:color w:val="0000FF"/>
              </w:rPr>
              <w:t>12/08/2020</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5,050,911</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0"/>
                <w:szCs w:val="10"/>
                <w:color w:val="008000"/>
              </w:rPr>
              <w:t>(1)(2)(3)(4)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5,050,911</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40"/>
              <w:spacing w:after="0" w:line="298"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(5)(6)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3"/>
          </w:tcPr>
          <w:p>
            <w:pPr>
              <w:jc w:val="center"/>
              <w:ind w:left="713"/>
              <w:spacing w:after="0"/>
              <w:rPr>
                <w:sz w:val="20"/>
                <w:szCs w:val="20"/>
                <w:color w:val="auto"/>
              </w:rPr>
            </w:pPr>
            <w:r>
              <w:rPr>
                <w:rFonts w:ascii="Times New Roman" w:cs="Times New Roman" w:eastAsia="Times New Roman" w:hAnsi="Times New Roman"/>
                <w:sz w:val="16"/>
                <w:szCs w:val="16"/>
                <w:color w:val="0000FF"/>
              </w:rPr>
              <w:t>12/08/2020</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790,000</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right="7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5,840,911</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40"/>
              <w:spacing w:after="0" w:line="298"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(5)(6)</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560" w:type="dxa"/>
            <w:vAlign w:val="bottom"/>
            <w:gridSpan w:val="5"/>
          </w:tcPr>
          <w:p>
            <w:pPr>
              <w:ind w:left="2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00" w:type="dxa"/>
            <w:vAlign w:val="bottom"/>
          </w:tcPr>
          <w:p>
            <w:pPr>
              <w:spacing w:after="0"/>
              <w:rPr>
                <w:sz w:val="10"/>
                <w:szCs w:val="10"/>
                <w:color w:val="auto"/>
              </w:rPr>
            </w:pPr>
          </w:p>
        </w:tc>
        <w:tc>
          <w:tcPr>
            <w:tcW w:w="740" w:type="dxa"/>
            <w:vAlign w:val="bottom"/>
          </w:tcPr>
          <w:p>
            <w:pPr>
              <w:ind w:left="2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560" w:type="dxa"/>
            <w:vAlign w:val="bottom"/>
            <w:gridSpan w:val="5"/>
          </w:tcPr>
          <w:p>
            <w:pPr>
              <w:ind w:left="2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6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0"/>
                <w:szCs w:val="10"/>
                <w:color w:val="auto"/>
              </w:rPr>
            </w:pPr>
          </w:p>
        </w:tc>
        <w:tc>
          <w:tcPr>
            <w:tcW w:w="9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jc w:val="right"/>
              <w:ind w:right="1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3,953,381</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restart"/>
          </w:tcPr>
          <w:p>
            <w:pPr>
              <w:ind w:left="320"/>
              <w:spacing w:after="0" w:line="200"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(5)(6)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6"/>
                <w:szCs w:val="6"/>
                <w:color w:val="auto"/>
              </w:rPr>
            </w:pPr>
          </w:p>
        </w:tc>
        <w:tc>
          <w:tcPr>
            <w:tcW w:w="7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2"/>
                <w:szCs w:val="12"/>
                <w:color w:val="0000FF"/>
                <w:w w:val="99"/>
              </w:rPr>
              <w:t>C</w:t>
            </w:r>
          </w:p>
        </w:tc>
        <w:tc>
          <w:tcPr>
            <w:tcW w:w="940" w:type="dxa"/>
            <w:vAlign w:val="bottom"/>
            <w:gridSpan w:val="2"/>
            <w:vMerge w:val="restart"/>
          </w:tcPr>
          <w:p>
            <w:pPr>
              <w:jc w:val="center"/>
              <w:ind w:left="181"/>
              <w:spacing w:after="0"/>
              <w:rPr>
                <w:sz w:val="20"/>
                <w:szCs w:val="20"/>
                <w:color w:val="auto"/>
              </w:rPr>
            </w:pPr>
            <w:r>
              <w:rPr>
                <w:rFonts w:ascii="Times New Roman" w:cs="Times New Roman" w:eastAsia="Times New Roman" w:hAnsi="Times New Roman"/>
                <w:sz w:val="12"/>
                <w:szCs w:val="12"/>
                <w:color w:val="0000FF"/>
              </w:rPr>
              <w:t>3,953,381</w:t>
            </w: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373,831</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restart"/>
          </w:tcPr>
          <w:p>
            <w:pPr>
              <w:ind w:left="320"/>
              <w:spacing w:after="0" w:line="200"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(5)(6)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6"/>
                <w:szCs w:val="6"/>
                <w:color w:val="auto"/>
              </w:rPr>
            </w:pPr>
          </w:p>
        </w:tc>
        <w:tc>
          <w:tcPr>
            <w:tcW w:w="7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2"/>
                <w:szCs w:val="12"/>
                <w:color w:val="0000FF"/>
                <w:w w:val="99"/>
              </w:rPr>
              <w:t>C</w:t>
            </w:r>
          </w:p>
        </w:tc>
        <w:tc>
          <w:tcPr>
            <w:tcW w:w="940" w:type="dxa"/>
            <w:vAlign w:val="bottom"/>
            <w:gridSpan w:val="2"/>
            <w:vMerge w:val="restart"/>
          </w:tcPr>
          <w:p>
            <w:pPr>
              <w:jc w:val="center"/>
              <w:ind w:left="201"/>
              <w:spacing w:after="0"/>
              <w:rPr>
                <w:sz w:val="20"/>
                <w:szCs w:val="20"/>
                <w:color w:val="auto"/>
              </w:rPr>
            </w:pPr>
            <w:r>
              <w:rPr>
                <w:rFonts w:ascii="Times New Roman" w:cs="Times New Roman" w:eastAsia="Times New Roman" w:hAnsi="Times New Roman"/>
                <w:sz w:val="12"/>
                <w:szCs w:val="12"/>
                <w:color w:val="0000FF"/>
              </w:rPr>
              <w:t>373,831</w:t>
            </w: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474,478</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restart"/>
          </w:tcPr>
          <w:p>
            <w:pPr>
              <w:ind w:left="320"/>
              <w:spacing w:after="0" w:line="200"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(5)(6)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6"/>
                <w:szCs w:val="6"/>
                <w:color w:val="auto"/>
              </w:rPr>
            </w:pPr>
          </w:p>
        </w:tc>
        <w:tc>
          <w:tcPr>
            <w:tcW w:w="7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2"/>
                <w:szCs w:val="12"/>
                <w:color w:val="0000FF"/>
                <w:w w:val="99"/>
              </w:rPr>
              <w:t>C</w:t>
            </w:r>
          </w:p>
        </w:tc>
        <w:tc>
          <w:tcPr>
            <w:tcW w:w="940" w:type="dxa"/>
            <w:vAlign w:val="bottom"/>
            <w:gridSpan w:val="2"/>
            <w:vMerge w:val="restart"/>
          </w:tcPr>
          <w:p>
            <w:pPr>
              <w:jc w:val="center"/>
              <w:ind w:left="201"/>
              <w:spacing w:after="0"/>
              <w:rPr>
                <w:sz w:val="20"/>
                <w:szCs w:val="20"/>
                <w:color w:val="auto"/>
              </w:rPr>
            </w:pPr>
            <w:r>
              <w:rPr>
                <w:rFonts w:ascii="Times New Roman" w:cs="Times New Roman" w:eastAsia="Times New Roman" w:hAnsi="Times New Roman"/>
                <w:sz w:val="12"/>
                <w:szCs w:val="12"/>
                <w:color w:val="0000FF"/>
              </w:rPr>
              <w:t>474,478</w:t>
            </w: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D-1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249,221</w:t>
            </w:r>
          </w:p>
        </w:tc>
        <w:tc>
          <w:tcPr>
            <w:tcW w:w="40" w:type="dxa"/>
            <w:vAlign w:val="bottom"/>
          </w:tcPr>
          <w:p>
            <w:pPr>
              <w:spacing w:after="0"/>
              <w:rPr>
                <w:sz w:val="5"/>
                <w:szCs w:val="5"/>
                <w:color w:val="auto"/>
              </w:rPr>
            </w:pP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restart"/>
          </w:tcPr>
          <w:p>
            <w:pPr>
              <w:ind w:left="320"/>
              <w:spacing w:after="0" w:line="200"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(5)(6)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12/08/2020</w:t>
            </w:r>
          </w:p>
        </w:tc>
        <w:tc>
          <w:tcPr>
            <w:tcW w:w="1060" w:type="dxa"/>
            <w:vAlign w:val="bottom"/>
          </w:tcPr>
          <w:p>
            <w:pPr>
              <w:spacing w:after="0"/>
              <w:rPr>
                <w:sz w:val="6"/>
                <w:szCs w:val="6"/>
                <w:color w:val="auto"/>
              </w:rPr>
            </w:pPr>
          </w:p>
        </w:tc>
        <w:tc>
          <w:tcPr>
            <w:tcW w:w="7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2"/>
                <w:szCs w:val="12"/>
                <w:color w:val="0000FF"/>
                <w:w w:val="99"/>
              </w:rPr>
              <w:t>C</w:t>
            </w:r>
          </w:p>
        </w:tc>
        <w:tc>
          <w:tcPr>
            <w:tcW w:w="940" w:type="dxa"/>
            <w:vAlign w:val="bottom"/>
            <w:gridSpan w:val="2"/>
            <w:vMerge w:val="restart"/>
          </w:tcPr>
          <w:p>
            <w:pPr>
              <w:jc w:val="center"/>
              <w:ind w:left="201"/>
              <w:spacing w:after="0"/>
              <w:rPr>
                <w:sz w:val="20"/>
                <w:szCs w:val="20"/>
                <w:color w:val="auto"/>
              </w:rPr>
            </w:pPr>
            <w:r>
              <w:rPr>
                <w:rFonts w:ascii="Times New Roman" w:cs="Times New Roman" w:eastAsia="Times New Roman" w:hAnsi="Times New Roman"/>
                <w:sz w:val="12"/>
                <w:szCs w:val="12"/>
                <w:color w:val="0000FF"/>
              </w:rPr>
              <w:t>249,221</w:t>
            </w: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Preferred</w:t>
            </w: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Invus Public Equities, L.P.</w:t>
              </w:r>
            </w:hyperlink>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750 LEXINGTON AVENUE</w:t>
            </w: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30TH FLOOR</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9"/>
                <w:szCs w:val="19"/>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10022</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40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00" w:type="dxa"/>
            <w:vAlign w:val="bottom"/>
            <w:tcBorders>
              <w:bottom w:val="single" w:sz="8" w:color="2C2C2C"/>
            </w:tcBorders>
            <w:gridSpan w:val="5"/>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80" w:type="dxa"/>
            <w:vAlign w:val="bottom"/>
            <w:gridSpan w:val="5"/>
          </w:tcPr>
          <w:p>
            <w:pPr>
              <w:ind w:left="20"/>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Invus Public Equities Advisors, LLC</w:t>
              </w:r>
            </w:hyperlink>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Pr>
          <w:p>
            <w:pPr>
              <w:ind w:left="400"/>
              <w:spacing w:after="0"/>
              <w:rPr>
                <w:sz w:val="20"/>
                <w:szCs w:val="20"/>
                <w:color w:val="auto"/>
              </w:rPr>
            </w:pPr>
            <w:r>
              <w:rPr>
                <w:rFonts w:ascii="Arial" w:cs="Arial" w:eastAsia="Arial" w:hAnsi="Arial"/>
                <w:sz w:val="12"/>
                <w:szCs w:val="12"/>
                <w:color w:val="auto"/>
              </w:rPr>
              <w:t>(Middle)</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750 LEXINGTON AVENUE</w:t>
            </w: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30TH FLOOR</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9"/>
                <w:szCs w:val="19"/>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10022</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40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-7534910</wp:posOffset>
            </wp:positionV>
            <wp:extent cx="7035800" cy="7739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5800" cy="773938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sz w:val="1"/>
          <w:szCs w:val="1"/>
          <w:color w:val="auto"/>
        </w:rPr>
        <w:drawing>
          <wp:inline distT="0" distB="0" distL="0" distR="0">
            <wp:extent cx="7620" cy="1504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620" cy="150495"/>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-168275</wp:posOffset>
            </wp:positionV>
            <wp:extent cx="7620" cy="142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620" cy="142240"/>
                    </a:xfrm>
                    <a:prstGeom prst="rect">
                      <a:avLst/>
                    </a:prstGeom>
                    <a:noFill/>
                  </pic:spPr>
                </pic:pic>
              </a:graphicData>
            </a:graphic>
          </wp:anchor>
        </w:drawing>
      </w:r>
    </w:p>
    <w:p>
      <w:pPr>
        <w:sectPr>
          <w:pgSz w:w="11900" w:h="16953" w:orient="portrait"/>
          <w:cols w:equalWidth="0" w:num="1">
            <w:col w:w="11080"/>
          </w:cols>
          <w:pgMar w:left="460" w:top="214"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drawing>
          <wp:anchor simplePos="0" relativeHeight="251657728" behindDoc="1" locked="0" layoutInCell="0" allowOverlap="1">
            <wp:simplePos x="0" y="0"/>
            <wp:positionH relativeFrom="page">
              <wp:posOffset>292100</wp:posOffset>
            </wp:positionH>
            <wp:positionV relativeFrom="page">
              <wp:posOffset>88900</wp:posOffset>
            </wp:positionV>
            <wp:extent cx="2782570" cy="10522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782570" cy="10522585"/>
                    </a:xfrm>
                    <a:prstGeom prst="rect">
                      <a:avLst/>
                    </a:prstGeom>
                    <a:noFill/>
                  </pic:spPr>
                </pic:pic>
              </a:graphicData>
            </a:graphic>
          </wp:anchor>
        </w:drawing>
      </w:r>
      <w:hyperlink r:id="rId20">
        <w:r>
          <w:rPr>
            <w:rFonts w:ascii="Times New Roman" w:cs="Times New Roman" w:eastAsia="Times New Roman" w:hAnsi="Times New Roman"/>
            <w:sz w:val="20"/>
            <w:szCs w:val="20"/>
            <w:u w:val="single" w:color="auto"/>
            <w:color w:val="0000EE"/>
          </w:rPr>
          <w:t>Artal Treasury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99060</wp:posOffset>
            </wp:positionV>
            <wp:extent cx="265620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656205" cy="15875"/>
                    </a:xfrm>
                    <a:prstGeom prst="rect">
                      <a:avLst/>
                    </a:prstGeom>
                    <a:noFill/>
                  </pic:spPr>
                </pic:pic>
              </a:graphicData>
            </a:graphic>
          </wp:anchor>
        </w:drawing>
      </w:r>
    </w:p>
    <w:p>
      <w:pPr>
        <w:spacing w:after="0" w:line="281"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P.O. BOX 165</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SUITE 4, BOROUGH HOUSE, RUE DU 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104775</wp:posOffset>
            </wp:positionV>
            <wp:extent cx="265620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656205" cy="15875"/>
                    </a:xfrm>
                    <a:prstGeom prst="rect">
                      <a:avLst/>
                    </a:prstGeom>
                    <a:noFill/>
                  </pic:spPr>
                </pic:pic>
              </a:graphicData>
            </a:graphic>
          </wp:anchor>
        </w:drawing>
      </w:r>
    </w:p>
    <w:p>
      <w:pPr>
        <w:spacing w:after="0" w:line="253"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ST. PETER PORT</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GYI 3JJ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97790</wp:posOffset>
            </wp:positionV>
            <wp:extent cx="265620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656205" cy="1587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(City)</w:t>
            </w:r>
          </w:p>
        </w:tc>
        <w:tc>
          <w:tcPr>
            <w:tcW w:w="1180" w:type="dxa"/>
            <w:vAlign w:val="bottom"/>
          </w:tcPr>
          <w:p>
            <w:pPr>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258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24">
              <w:r>
                <w:rPr>
                  <w:rFonts w:ascii="Times New Roman" w:cs="Times New Roman" w:eastAsia="Times New Roman" w:hAnsi="Times New Roman"/>
                  <w:sz w:val="20"/>
                  <w:szCs w:val="20"/>
                  <w:u w:val="single" w:color="auto"/>
                  <w:color w:val="0000EE"/>
                </w:rPr>
                <w:t>Artal International S.C.A.</w:t>
              </w:r>
            </w:hyperlink>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9"/>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(Last)</w:t>
            </w:r>
          </w:p>
        </w:tc>
        <w:tc>
          <w:tcPr>
            <w:tcW w:w="1180" w:type="dxa"/>
            <w:vAlign w:val="bottom"/>
          </w:tcPr>
          <w:p>
            <w:pPr>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8"/>
              </w:rPr>
              <w:t>VALLEY PARK, 44,</w:t>
            </w:r>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RUE DE LA VALLEE</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N4</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L-2661</w:t>
            </w:r>
          </w:p>
        </w:tc>
      </w:tr>
      <w:tr>
        <w:trPr>
          <w:trHeight w:val="144"/>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(City)</w:t>
            </w:r>
          </w:p>
        </w:tc>
        <w:tc>
          <w:tcPr>
            <w:tcW w:w="1180" w:type="dxa"/>
            <w:vAlign w:val="bottom"/>
          </w:tcPr>
          <w:p>
            <w:pPr>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-1613535</wp:posOffset>
            </wp:positionV>
            <wp:extent cx="2766695" cy="3336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766695" cy="3336290"/>
                    </a:xfrm>
                    <a:prstGeom prst="rect">
                      <a:avLst/>
                    </a:prstGeom>
                    <a:noFill/>
                  </pic:spPr>
                </pic:pic>
              </a:graphicData>
            </a:graphic>
          </wp:anchor>
        </w:drawing>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6">
        <w:r>
          <w:rPr>
            <w:rFonts w:ascii="Times New Roman" w:cs="Times New Roman" w:eastAsia="Times New Roman" w:hAnsi="Times New Roman"/>
            <w:sz w:val="20"/>
            <w:szCs w:val="20"/>
            <w:u w:val="single" w:color="auto"/>
            <w:color w:val="0000EE"/>
          </w:rPr>
          <w:t>Artal International Management S.A.</w:t>
        </w:r>
      </w:hyperlink>
    </w:p>
    <w:p>
      <w:pPr>
        <w:spacing w:after="0" w:line="279"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VALLEY PARK, 44,</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RUE DE LA VALLEE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0"/>
        </w:trPr>
        <w:tc>
          <w:tcPr>
            <w:tcW w:w="8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N4</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L-2661</w:t>
            </w:r>
          </w:p>
        </w:tc>
      </w:tr>
      <w:tr>
        <w:trPr>
          <w:trHeight w:val="144"/>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(City)</w:t>
            </w:r>
          </w:p>
        </w:tc>
        <w:tc>
          <w:tcPr>
            <w:tcW w:w="1180" w:type="dxa"/>
            <w:vAlign w:val="bottom"/>
          </w:tcPr>
          <w:p>
            <w:pPr>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1400" w:type="dxa"/>
            <w:vAlign w:val="bottom"/>
          </w:tcPr>
          <w:p>
            <w:pPr>
              <w:ind w:left="20"/>
              <w:spacing w:after="0"/>
              <w:rPr>
                <w:rFonts w:ascii="Times New Roman" w:cs="Times New Roman" w:eastAsia="Times New Roman" w:hAnsi="Times New Roman"/>
                <w:sz w:val="20"/>
                <w:szCs w:val="20"/>
                <w:u w:val="single" w:color="auto"/>
                <w:color w:val="0000EE"/>
                <w:w w:val="98"/>
              </w:rPr>
            </w:pPr>
            <w:hyperlink r:id="rId27">
              <w:r>
                <w:rPr>
                  <w:rFonts w:ascii="Times New Roman" w:cs="Times New Roman" w:eastAsia="Times New Roman" w:hAnsi="Times New Roman"/>
                  <w:sz w:val="20"/>
                  <w:szCs w:val="20"/>
                  <w:u w:val="single" w:color="auto"/>
                  <w:color w:val="0000EE"/>
                  <w:w w:val="98"/>
                </w:rPr>
                <w:t>Artal Group S.A.</w:t>
              </w:r>
            </w:hyperlink>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9"/>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(Last)</w:t>
            </w:r>
          </w:p>
        </w:tc>
        <w:tc>
          <w:tcPr>
            <w:tcW w:w="1180" w:type="dxa"/>
            <w:vAlign w:val="bottom"/>
          </w:tcPr>
          <w:p>
            <w:pPr>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8"/>
              </w:rPr>
              <w:t>VALLEY PARK, 44,</w:t>
            </w:r>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RUE DE LA VALLEE</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N4</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L-2661</w:t>
            </w:r>
          </w:p>
        </w:tc>
      </w:tr>
      <w:tr>
        <w:trPr>
          <w:trHeight w:val="144"/>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(City)</w:t>
            </w:r>
          </w:p>
        </w:tc>
        <w:tc>
          <w:tcPr>
            <w:tcW w:w="1180" w:type="dxa"/>
            <w:vAlign w:val="bottom"/>
          </w:tcPr>
          <w:p>
            <w:pPr>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2660" w:type="dxa"/>
            <w:vAlign w:val="bottom"/>
            <w:tcBorders>
              <w:bottom w:val="single" w:sz="8" w:color="2C2C2C"/>
            </w:tcBorders>
            <w:gridSpan w:val="3"/>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1400" w:type="dxa"/>
            <w:vAlign w:val="bottom"/>
          </w:tcPr>
          <w:p>
            <w:pPr>
              <w:ind w:left="20"/>
              <w:spacing w:after="0"/>
              <w:rPr>
                <w:rFonts w:ascii="Times New Roman" w:cs="Times New Roman" w:eastAsia="Times New Roman" w:hAnsi="Times New Roman"/>
                <w:sz w:val="20"/>
                <w:szCs w:val="20"/>
                <w:u w:val="single" w:color="auto"/>
                <w:color w:val="0000EE"/>
              </w:rPr>
            </w:pPr>
            <w:hyperlink r:id="rId28">
              <w:r>
                <w:rPr>
                  <w:rFonts w:ascii="Times New Roman" w:cs="Times New Roman" w:eastAsia="Times New Roman" w:hAnsi="Times New Roman"/>
                  <w:sz w:val="20"/>
                  <w:szCs w:val="20"/>
                  <w:u w:val="single" w:color="auto"/>
                  <w:color w:val="0000EE"/>
                </w:rPr>
                <w:t>Westend S.A.</w:t>
              </w:r>
            </w:hyperlink>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9"/>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(Last)</w:t>
            </w:r>
          </w:p>
        </w:tc>
        <w:tc>
          <w:tcPr>
            <w:tcW w:w="1180" w:type="dxa"/>
            <w:vAlign w:val="bottom"/>
          </w:tcPr>
          <w:p>
            <w:pPr>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8"/>
              </w:rPr>
              <w:t>VALLEY PARK, 44,</w:t>
            </w:r>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RUE DE LA VALLEE</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LUXEMBOURG</w:t>
            </w:r>
          </w:p>
        </w:tc>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N4</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L-2661</w:t>
            </w:r>
          </w:p>
        </w:tc>
      </w:tr>
      <w:tr>
        <w:trPr>
          <w:trHeight w:val="144"/>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2"/>
                <w:szCs w:val="12"/>
                <w:color w:val="auto"/>
              </w:rPr>
              <w:t>(City)</w:t>
            </w:r>
          </w:p>
        </w:tc>
        <w:tc>
          <w:tcPr>
            <w:tcW w:w="1180" w:type="dxa"/>
            <w:vAlign w:val="bottom"/>
          </w:tcPr>
          <w:p>
            <w:pPr>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-3281680</wp:posOffset>
            </wp:positionV>
            <wp:extent cx="2766695" cy="513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766695" cy="5130800"/>
                    </a:xfrm>
                    <a:prstGeom prst="rect">
                      <a:avLst/>
                    </a:prstGeom>
                    <a:noFill/>
                  </pic:spPr>
                </pic:pic>
              </a:graphicData>
            </a:graphic>
          </wp:anchor>
        </w:drawing>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30">
        <w:r>
          <w:rPr>
            <w:rFonts w:ascii="Times New Roman" w:cs="Times New Roman" w:eastAsia="Times New Roman" w:hAnsi="Times New Roman"/>
            <w:sz w:val="20"/>
            <w:szCs w:val="20"/>
            <w:u w:val="single" w:color="auto"/>
            <w:color w:val="0000EE"/>
          </w:rPr>
          <w:t>Stichting Administratiekantoor Westend</w:t>
        </w:r>
      </w:hyperlink>
    </w:p>
    <w:p>
      <w:pPr>
        <w:spacing w:after="0" w:line="279"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CLAUDE DEBUSSYLAAN, 46</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1082 MD AMSTERDAM</w:t>
      </w:r>
    </w:p>
    <w:p>
      <w:pPr>
        <w:spacing w:after="0" w:line="273"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ind w:left="100"/>
        <w:spacing w:after="0" w:line="185" w:lineRule="auto"/>
        <w:tabs>
          <w:tab w:leader="none" w:pos="1460" w:val="left"/>
        </w:tabs>
        <w:rPr>
          <w:sz w:val="20"/>
          <w:szCs w:val="20"/>
          <w:color w:val="auto"/>
        </w:rPr>
      </w:pPr>
      <w:r>
        <w:rPr>
          <w:rFonts w:ascii="Times New Roman" w:cs="Times New Roman" w:eastAsia="Times New Roman" w:hAnsi="Times New Roman"/>
          <w:sz w:val="15"/>
          <w:szCs w:val="15"/>
          <w:color w:val="0000FF"/>
        </w:rPr>
        <w:t>THE</w:t>
      </w:r>
      <w:r>
        <w:rPr>
          <w:sz w:val="20"/>
          <w:szCs w:val="20"/>
          <w:color w:val="auto"/>
        </w:rPr>
        <w:tab/>
      </w:r>
      <w:r>
        <w:rPr>
          <w:rFonts w:ascii="Times New Roman" w:cs="Times New Roman" w:eastAsia="Times New Roman" w:hAnsi="Times New Roman"/>
          <w:sz w:val="29"/>
          <w:szCs w:val="29"/>
          <w:color w:val="0000FF"/>
          <w:vertAlign w:val="subscript"/>
        </w:rPr>
        <w:t>P7</w:t>
      </w:r>
    </w:p>
    <w:p>
      <w:pPr>
        <w:ind w:left="100"/>
        <w:spacing w:after="0"/>
        <w:rPr>
          <w:sz w:val="20"/>
          <w:szCs w:val="20"/>
          <w:color w:val="auto"/>
        </w:rPr>
      </w:pPr>
      <w:r>
        <w:rPr>
          <w:rFonts w:ascii="Times New Roman" w:cs="Times New Roman" w:eastAsia="Times New Roman" w:hAnsi="Times New Roman"/>
          <w:sz w:val="16"/>
          <w:szCs w:val="16"/>
          <w:color w:val="0000FF"/>
        </w:rPr>
        <w:t>NETHERLANDS</w:t>
      </w:r>
    </w:p>
    <w:p>
      <w:pPr>
        <w:spacing w:after="0" w:line="292"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2766695" cy="410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766695" cy="410845"/>
                    </a:xfrm>
                    <a:prstGeom prst="rect">
                      <a:avLst/>
                    </a:prstGeom>
                    <a:noFill/>
                  </pic:spPr>
                </pic:pic>
              </a:graphicData>
            </a:graphic>
          </wp:anchor>
        </w:drawing>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9979"/>
          </w:cols>
          <w:pgMar w:left="480" w:top="152" w:right="1440" w:bottom="0" w:gutter="0" w:footer="0" w:header="0"/>
        </w:sectPr>
      </w:pPr>
    </w:p>
    <w:p>
      <w:pPr>
        <w:ind w:left="100"/>
        <w:spacing w:after="0"/>
        <w:rPr>
          <w:rFonts w:ascii="Times New Roman" w:cs="Times New Roman" w:eastAsia="Times New Roman" w:hAnsi="Times New Roman"/>
          <w:sz w:val="19"/>
          <w:szCs w:val="19"/>
          <w:u w:val="single" w:color="auto"/>
          <w:color w:val="0000EE"/>
        </w:rPr>
      </w:pPr>
      <w:hyperlink r:id="rId32">
        <w:r>
          <w:rPr>
            <w:rFonts w:ascii="Times New Roman" w:cs="Times New Roman" w:eastAsia="Times New Roman" w:hAnsi="Times New Roman"/>
            <w:sz w:val="19"/>
            <w:szCs w:val="19"/>
            <w:u w:val="single" w:color="auto"/>
            <w:color w:val="0000EE"/>
          </w:rPr>
          <w:t>Minne Pascal</w:t>
        </w:r>
      </w:hyperlink>
    </w:p>
    <w:p>
      <w:pPr>
        <w:sectPr>
          <w:pgSz w:w="11900" w:h="16838" w:orient="portrait"/>
          <w:cols w:equalWidth="0" w:num="1">
            <w:col w:w="9979"/>
          </w:cols>
          <w:pgMar w:left="480" w:top="152" w:right="1440" w:bottom="0" w:gutter="0" w:footer="0" w:header="0"/>
          <w:type w:val="continuous"/>
        </w:sectPr>
      </w:pPr>
    </w:p>
    <w:bookmarkStart w:id="2" w:name="page3"/>
    <w:bookmarkEnd w:id="2"/>
    <w:p>
      <w:pPr>
        <w:ind w:left="83"/>
        <w:spacing w:after="0"/>
        <w:tabs>
          <w:tab w:leader="none" w:pos="1443" w:val="left"/>
          <w:tab w:leader="none" w:pos="2863"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82570" cy="113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2782570" cy="1138555"/>
                    </a:xfrm>
                    <a:prstGeom prst="rect">
                      <a:avLst/>
                    </a:prstGeom>
                    <a:noFill/>
                  </pic:spPr>
                </pic:pic>
              </a:graphicData>
            </a:graphic>
          </wp:anchor>
        </w:drawing>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0"/>
          <w:szCs w:val="20"/>
          <w:color w:val="auto"/>
        </w:rPr>
      </w:pPr>
    </w:p>
    <w:p>
      <w:pPr>
        <w:ind w:left="83"/>
        <w:spacing w:after="0"/>
        <w:rPr>
          <w:sz w:val="20"/>
          <w:szCs w:val="20"/>
          <w:color w:val="auto"/>
        </w:rPr>
      </w:pPr>
      <w:r>
        <w:rPr>
          <w:rFonts w:ascii="Times New Roman" w:cs="Times New Roman" w:eastAsia="Times New Roman" w:hAnsi="Times New Roman"/>
          <w:sz w:val="16"/>
          <w:szCs w:val="16"/>
          <w:color w:val="0000FF"/>
        </w:rPr>
        <w:t>8 CLOS DU BOCAGE, B-1332</w:t>
      </w:r>
    </w:p>
    <w:p>
      <w:pPr>
        <w:spacing w:after="0" w:line="323" w:lineRule="exact"/>
        <w:rPr>
          <w:sz w:val="20"/>
          <w:szCs w:val="20"/>
          <w:color w:val="auto"/>
        </w:rPr>
      </w:pPr>
    </w:p>
    <w:p>
      <w:pPr>
        <w:ind w:left="43"/>
        <w:spacing w:after="0"/>
        <w:rPr>
          <w:sz w:val="20"/>
          <w:szCs w:val="20"/>
          <w:color w:val="auto"/>
        </w:rPr>
      </w:pPr>
      <w:r>
        <w:rPr>
          <w:rFonts w:ascii="Arial" w:cs="Arial" w:eastAsia="Arial" w:hAnsi="Arial"/>
          <w:sz w:val="12"/>
          <w:szCs w:val="12"/>
          <w:color w:val="auto"/>
        </w:rPr>
        <w:t>(Street)</w:t>
      </w:r>
    </w:p>
    <w:p>
      <w:pPr>
        <w:spacing w:after="0" w:line="40" w:lineRule="exact"/>
        <w:rPr>
          <w:sz w:val="20"/>
          <w:szCs w:val="20"/>
          <w:color w:val="auto"/>
        </w:rPr>
      </w:pPr>
    </w:p>
    <w:p>
      <w:pPr>
        <w:ind w:left="83"/>
        <w:spacing w:after="0"/>
        <w:tabs>
          <w:tab w:leader="none" w:pos="1443" w:val="left"/>
        </w:tabs>
        <w:rPr>
          <w:sz w:val="20"/>
          <w:szCs w:val="20"/>
          <w:color w:val="auto"/>
        </w:rPr>
      </w:pPr>
      <w:r>
        <w:rPr>
          <w:rFonts w:ascii="Times New Roman" w:cs="Times New Roman" w:eastAsia="Times New Roman" w:hAnsi="Times New Roman"/>
          <w:sz w:val="16"/>
          <w:szCs w:val="16"/>
          <w:color w:val="0000FF"/>
        </w:rPr>
        <w:t>GENVAL</w:t>
      </w:r>
      <w:r>
        <w:rPr>
          <w:sz w:val="20"/>
          <w:szCs w:val="20"/>
          <w:color w:val="auto"/>
        </w:rPr>
        <w:tab/>
      </w:r>
      <w:r>
        <w:rPr>
          <w:rFonts w:ascii="Times New Roman" w:cs="Times New Roman" w:eastAsia="Times New Roman" w:hAnsi="Times New Roman"/>
          <w:sz w:val="16"/>
          <w:szCs w:val="16"/>
          <w:color w:val="0000FF"/>
        </w:rPr>
        <w:t>C9</w:t>
      </w:r>
    </w:p>
    <w:p>
      <w:pPr>
        <w:spacing w:after="0" w:line="310" w:lineRule="exact"/>
        <w:rPr>
          <w:sz w:val="20"/>
          <w:szCs w:val="20"/>
          <w:color w:val="auto"/>
        </w:rPr>
      </w:pPr>
    </w:p>
    <w:p>
      <w:pPr>
        <w:ind w:left="83"/>
        <w:spacing w:after="0"/>
        <w:tabs>
          <w:tab w:leader="none" w:pos="1443" w:val="left"/>
          <w:tab w:leader="none" w:pos="2863"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48"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3" w:right="200" w:hanging="3"/>
        <w:spacing w:after="0" w:line="281"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B Convertible Preferred Stock automatically converted into Class A Common Stock on a one-to-one basis without payment of further consideration immediately prior to the completion of the Issuer's initial public offering of Class A Common Stock and had no expiration date.</w:t>
      </w:r>
    </w:p>
    <w:p>
      <w:pPr>
        <w:ind w:left="3" w:right="200" w:hanging="3"/>
        <w:spacing w:after="0" w:line="281"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C Convertible Preferred Stock automatically converted into Class A Common Stock on a one-to-one basis without payment of further consideration immediately prior to the completion of the Issuer's initial public offering of Class A Common Stock and had no expiration date.</w:t>
      </w:r>
    </w:p>
    <w:p>
      <w:pPr>
        <w:ind w:left="3" w:right="200" w:hanging="3"/>
        <w:spacing w:after="0" w:line="281"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D Convertible Preferred Stock automatically converted into Class A Common Stock on a one-to-one basis without payment of further consideration immediately prior to the completion of the Issuer's initial public offering of Class A Common Stock and had no expiration date.</w:t>
      </w:r>
    </w:p>
    <w:p>
      <w:pPr>
        <w:ind w:left="3" w:right="80" w:hanging="3"/>
        <w:spacing w:after="0" w:line="281"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D-1 Convertible Preferred Stock automatically converted into Class A Common Stock on a one-to-one basis without payment of further consideration immediately prior to the completion of the Issuer's initial public offering of Class A Common Stock and had no expiration date.</w:t>
      </w:r>
    </w:p>
    <w:p>
      <w:pPr>
        <w:ind w:left="3" w:hanging="3"/>
        <w:spacing w:after="0" w:line="259"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directly by Invus Public Equities, L.P. The general partner of Invus Public Equities, L.P. is Invus Public Equities Advisors, LLC. Artal Treasury Ltd is the managing member of Invus Public Equities Advisors, LLC. Artal Treasury Ltd is a wholly owned subsidiary of the Geneva branch of Artal International S.C.A. The managing partner of Artal International S.C.A. is Artal International Management S.A., which is a wholly owned subsidiary of Artal Group S.A. Westend S.A. is the parent company of Artal Group, S.A., and the majority stockholder of Westend S.A. is Stichting Administratiekantoor Westend ("Stichting").</w:t>
      </w:r>
    </w:p>
    <w:p>
      <w:pPr>
        <w:spacing w:after="0" w:line="13" w:lineRule="exact"/>
        <w:rPr>
          <w:rFonts w:ascii="Times New Roman" w:cs="Times New Roman" w:eastAsia="Times New Roman" w:hAnsi="Times New Roman"/>
          <w:sz w:val="12"/>
          <w:szCs w:val="12"/>
          <w:color w:val="008000"/>
        </w:rPr>
      </w:pPr>
    </w:p>
    <w:p>
      <w:pPr>
        <w:ind w:left="3" w:right="20" w:hanging="3"/>
        <w:spacing w:after="0" w:line="252"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Mr. Pascal Minne is the sole member of the board of Stichting. Each of the Reporting Persons, other than Invus Public Equities L.P., disclaims beneficial ownership of the securities held by the other Reporting Persons, except to the extent of such reporting person's pecuniary interest therein, and, pursuant to Rule 16a-1(a)(4) under the Exchange Act,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of the Exchange Act or for any other purpose.</w:t>
      </w:r>
    </w:p>
    <w:p>
      <w:pPr>
        <w:spacing w:after="0" w:line="1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883"/>
          </w:cols>
          <w:pgMar w:left="497" w:top="272" w:right="519" w:bottom="1440" w:gutter="0" w:footer="0" w:header="0"/>
        </w:sectPr>
      </w:pPr>
    </w:p>
    <w:p>
      <w:pPr>
        <w:spacing w:after="0" w:line="1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Invus Public Equities,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1163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1633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By:Invus Public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0274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2743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Advisors,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1163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1633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Partner, By: /s/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0407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407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Debbane,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7988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Invus Public Equities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3017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0175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LLC, By: /s/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3589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38227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82270"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Artal Treasury Ltd, By: /s/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3436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4366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LePoidevin,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8674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867410"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Artal International S.C.A.,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642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Artal International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3239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S.A., its Managing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2915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 Anne Goffard,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1626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6268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3422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4226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Artal International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3239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S.A., By: /s/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128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2839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784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84860"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Artal Group S.A.,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788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Goffard,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14236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Westend S.A., By: /s/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1709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7094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Minne,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6623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62305" cy="7620"/>
                    </a:xfrm>
                    <a:prstGeom prst="rect">
                      <a:avLst/>
                    </a:prstGeom>
                    <a:noFill/>
                  </pic:spPr>
                </pic:pic>
              </a:graphicData>
            </a:graphic>
          </wp:anchor>
        </w:drawing>
      </w:r>
    </w:p>
    <w:p>
      <w:pPr>
        <w:spacing w:after="0" w:line="3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Stitching Administratiekantoor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2757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7571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Westend, By: /s/ Pascal Minne,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2820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Sole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0960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8703" w:space="60"/>
            <w:col w:w="2120"/>
          </w:cols>
          <w:pgMar w:left="497" w:top="272" w:right="519" w:bottom="1440" w:gutter="0" w:footer="0" w:header="0"/>
          <w:type w:val="continuous"/>
        </w:sectPr>
      </w:pPr>
    </w:p>
    <w:tbl>
      <w:tblPr>
        <w:tblLayout w:type="fixed"/>
        <w:tblInd w:w="6563"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Pascal Minne</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12/10/2020</w:t>
            </w:r>
          </w:p>
        </w:tc>
      </w:tr>
      <w:tr>
        <w:trPr>
          <w:trHeight w:val="20"/>
        </w:trPr>
        <w:tc>
          <w:tcPr>
            <w:tcW w:w="10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9"/>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1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3"/>
      </w:cols>
      <w:pgMar w:left="497" w:top="27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5" Type="http://schemas.openxmlformats.org/officeDocument/2006/relationships/image" Target="media/image13.png"/><Relationship Id="rId29" Type="http://schemas.openxmlformats.org/officeDocument/2006/relationships/image" Target="media/image14.png"/><Relationship Id="rId31"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13" Type="http://schemas.openxmlformats.org/officeDocument/2006/relationships/hyperlink" Target="http://www.sec.gov/cgi-bin/browse-edgar?action=getcompany&amp;CIK=0001340097" TargetMode="External"/><Relationship Id="rId14" Type="http://schemas.openxmlformats.org/officeDocument/2006/relationships/hyperlink" Target="http://www.sec.gov/cgi-bin/browse-edgar?action=getcompany&amp;CIK=0001726445" TargetMode="External"/><Relationship Id="rId15" Type="http://schemas.openxmlformats.org/officeDocument/2006/relationships/hyperlink" Target="http://www.sec.gov/cgi-bin/browse-edgar?action=getcompany&amp;CIK=0001340096" TargetMode="External"/><Relationship Id="rId20" Type="http://schemas.openxmlformats.org/officeDocument/2006/relationships/hyperlink" Target="http://www.sec.gov/cgi-bin/browse-edgar?action=getcompany&amp;CIK=0001766952" TargetMode="External"/><Relationship Id="rId24" Type="http://schemas.openxmlformats.org/officeDocument/2006/relationships/hyperlink" Target="http://www.sec.gov/cgi-bin/browse-edgar?action=getcompany&amp;CIK=0001218180" TargetMode="External"/><Relationship Id="rId26" Type="http://schemas.openxmlformats.org/officeDocument/2006/relationships/hyperlink" Target="http://www.sec.gov/cgi-bin/browse-edgar?action=getcompany&amp;CIK=0001522131" TargetMode="External"/><Relationship Id="rId27" Type="http://schemas.openxmlformats.org/officeDocument/2006/relationships/hyperlink" Target="http://www.sec.gov/cgi-bin/browse-edgar?action=getcompany&amp;CIK=0001053906" TargetMode="External"/><Relationship Id="rId28" Type="http://schemas.openxmlformats.org/officeDocument/2006/relationships/hyperlink" Target="http://www.sec.gov/cgi-bin/browse-edgar?action=getcompany&amp;CIK=0001283968" TargetMode="External"/><Relationship Id="rId30" Type="http://schemas.openxmlformats.org/officeDocument/2006/relationships/hyperlink" Target="http://www.sec.gov/cgi-bin/browse-edgar?action=getcompany&amp;CIK=0001460840" TargetMode="External"/><Relationship Id="rId32" Type="http://schemas.openxmlformats.org/officeDocument/2006/relationships/hyperlink" Target="http://www.sec.gov/cgi-bin/browse-edgar?action=getcompany&amp;CIK=0001460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2020-12-10T15:20:17Z</dcterms:created>
  <dcterms:modified xsi:type="dcterms:W3CDTF">2020-12-10T15:20:17Z</dcterms:modified>
</cp:coreProperties>
</file>