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bookmarkStart w:id="0" w:name="ck0001726445-20251231.htm"/>
      <w:bookmarkStart w:id="1" w:name="ksck0001726445202512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180"/>
        <w:jc w:val="center"/>
        <w:rPr>
          <w:rFonts w:ascii="Times New Roman" w:hAnsi="Times New Roman"/>
          <w:b/>
          <w:color w:val="000000"/>
          <w:sz w:val="30"/>
        </w:rPr>
      </w:pPr>
      <w:r>
        <w:rPr>
          <w:rFonts w:ascii="Times New Roman" w:hAnsi="Times New Roman"/>
          <w:b/>
          <w:color w:val="000000"/>
          <w:sz w:val="30"/>
        </w:rPr>
        <w:t>FORM 10-K</w:t>
      </w:r>
    </w:p>
    <w:p>
      <w:pPr>
        <w:pStyle w:val="TextBody"/>
        <w:bidi w:val="0"/>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ANNUAL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fiscal year ended December 31, 2025</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i/>
          <w:color w:val="000000"/>
          <w:sz w:val="16"/>
        </w:rPr>
      </w:pPr>
      <w:r>
        <w:rPr>
          <w:rFonts w:ascii="Times New Roman" w:hAnsi="Times New Roman"/>
          <w:i/>
          <w:color w:val="000000"/>
          <w:sz w:val="16"/>
        </w:rPr>
        <w:t>Copies to:</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based on the closing price of the shares of common stock on The Nasdaq Stock Market on June 30, 2025, was approximately $113.8</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As of February 23, 2026, the registrant had 56,420,772</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outstanding.</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2026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2025.</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2"/>
        <w:gridCol w:w="8936"/>
        <w:gridCol w:w="467"/>
      </w:tblGrid>
      <w:tr>
        <w:trPr/>
        <w:tc>
          <w:tcPr>
            <w:tcW w:w="802"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
              <w:r>
                <w:rPr>
                  <w:rStyle w:val="InternetLink"/>
                  <w:rFonts w:ascii="Times New Roman" w:hAnsi="Times New Roman"/>
                  <w:color w:val="0000FF"/>
                  <w:sz w:val="20"/>
                  <w:u w:val="single"/>
                </w:rPr>
                <w:t>Part I.</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_business">
              <w:r>
                <w:rPr>
                  <w:rStyle w:val="InternetLink"/>
                  <w:rFonts w:ascii="Times New Roman" w:hAnsi="Times New Roman"/>
                  <w:color w:val="0000FF"/>
                  <w:sz w:val="20"/>
                  <w:u w:val="single"/>
                </w:rPr>
                <w:t>Business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_business">
              <w:r>
                <w:rPr>
                  <w:rStyle w:val="InternetLink"/>
                  <w:rFonts w:ascii="Times New Roman" w:hAnsi="Times New Roman"/>
                  <w:color w:val="0000FF"/>
                  <w:sz w:val="20"/>
                  <w:u w:val="single"/>
                </w:rPr>
                <w:t>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1A.</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a_risk_factors">
              <w:r>
                <w:rPr>
                  <w:rStyle w:val="InternetLink"/>
                  <w:rFonts w:ascii="Times New Roman" w:hAnsi="Times New Roman"/>
                  <w:color w:val="0000FF"/>
                  <w:sz w:val="20"/>
                  <w:u w:val="single"/>
                </w:rPr>
                <w:t>Risk Factors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a_risk_factors">
              <w:r>
                <w:rPr>
                  <w:rStyle w:val="InternetLink"/>
                  <w:rFonts w:ascii="Times New Roman" w:hAnsi="Times New Roman"/>
                  <w:color w:val="0000FF"/>
                  <w:sz w:val="20"/>
                  <w:u w:val="single"/>
                </w:rPr>
                <w:t>31</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1B.</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b_unresolved_staff_comments">
              <w:r>
                <w:rPr>
                  <w:rStyle w:val="InternetLink"/>
                  <w:rFonts w:ascii="Times New Roman" w:hAnsi="Times New Roman"/>
                  <w:color w:val="0000FF"/>
                  <w:sz w:val="20"/>
                  <w:u w:val="single"/>
                </w:rPr>
                <w:t>Unresolved Staff Comments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b_unresolved_staff_comments">
              <w:r>
                <w:rPr>
                  <w:rStyle w:val="InternetLink"/>
                  <w:rFonts w:ascii="Times New Roman" w:hAnsi="Times New Roman"/>
                  <w:color w:val="0000FF"/>
                  <w:sz w:val="20"/>
                  <w:u w:val="single"/>
                </w:rPr>
                <w:t>85</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1C.</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c_cybersecurity">
              <w:r>
                <w:rPr>
                  <w:rStyle w:val="InternetLink"/>
                  <w:rFonts w:ascii="Times New Roman" w:hAnsi="Times New Roman"/>
                  <w:color w:val="0000FF"/>
                  <w:sz w:val="20"/>
                  <w:u w:val="single"/>
                </w:rPr>
                <w:t>Cybersecurity</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c_cybersecurity">
              <w:r>
                <w:rPr>
                  <w:rStyle w:val="InternetLink"/>
                  <w:rFonts w:ascii="Times New Roman" w:hAnsi="Times New Roman"/>
                  <w:color w:val="0000FF"/>
                  <w:sz w:val="20"/>
                  <w:u w:val="single"/>
                </w:rPr>
                <w:t>85</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2.</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2_properties">
              <w:r>
                <w:rPr>
                  <w:rStyle w:val="InternetLink"/>
                  <w:rFonts w:ascii="Times New Roman" w:hAnsi="Times New Roman"/>
                  <w:color w:val="0000FF"/>
                  <w:sz w:val="20"/>
                  <w:u w:val="single"/>
                </w:rPr>
                <w:t>Properties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2_properties">
              <w:r>
                <w:rPr>
                  <w:rStyle w:val="InternetLink"/>
                  <w:rFonts w:ascii="Times New Roman" w:hAnsi="Times New Roman"/>
                  <w:color w:val="0000FF"/>
                  <w:sz w:val="20"/>
                  <w:u w:val="single"/>
                </w:rPr>
                <w:t>87</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3.</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3_legal_proceedings">
              <w:r>
                <w:rPr>
                  <w:rStyle w:val="InternetLink"/>
                  <w:rFonts w:ascii="Times New Roman" w:hAnsi="Times New Roman"/>
                  <w:color w:val="0000FF"/>
                  <w:sz w:val="20"/>
                  <w:u w:val="single"/>
                </w:rPr>
                <w:t>Legal Proceedings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3_legal_proceedings">
              <w:r>
                <w:rPr>
                  <w:rStyle w:val="InternetLink"/>
                  <w:rFonts w:ascii="Times New Roman" w:hAnsi="Times New Roman"/>
                  <w:color w:val="0000FF"/>
                  <w:sz w:val="20"/>
                  <w:u w:val="single"/>
                </w:rPr>
                <w:t>87</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4.</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4_mine_safety_disclosures">
              <w:r>
                <w:rPr>
                  <w:rStyle w:val="InternetLink"/>
                  <w:rFonts w:ascii="Times New Roman" w:hAnsi="Times New Roman"/>
                  <w:color w:val="0000FF"/>
                  <w:sz w:val="20"/>
                  <w:u w:val="single"/>
                </w:rPr>
                <w:t>Mine Safety Disclosures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4_mine_safety_disclosures">
              <w:r>
                <w:rPr>
                  <w:rStyle w:val="InternetLink"/>
                  <w:rFonts w:ascii="Times New Roman" w:hAnsi="Times New Roman"/>
                  <w:color w:val="0000FF"/>
                  <w:sz w:val="20"/>
                  <w:u w:val="single"/>
                </w:rPr>
                <w:t>87</w:t>
              </w:r>
            </w:hyperlink>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i">
              <w:r>
                <w:rPr>
                  <w:rStyle w:val="InternetLink"/>
                  <w:rFonts w:ascii="Times New Roman" w:hAnsi="Times New Roman"/>
                  <w:color w:val="0000FF"/>
                  <w:sz w:val="20"/>
                  <w:u w:val="single"/>
                </w:rPr>
                <w:t>Part II.</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5.</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5_market_for_registrants_common_equ">
              <w:r>
                <w:rPr>
                  <w:rStyle w:val="InternetLink"/>
                  <w:rFonts w:ascii="Times New Roman" w:hAnsi="Times New Roman"/>
                  <w:color w:val="0000FF"/>
                  <w:sz w:val="20"/>
                  <w:u w:val="single"/>
                </w:rPr>
                <w:t>88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6.</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6_reserved">
              <w:r>
                <w:rPr>
                  <w:rStyle w:val="InternetLink"/>
                  <w:rFonts w:ascii="Times New Roman" w:hAnsi="Times New Roman"/>
                  <w:color w:val="0000FF"/>
                  <w:sz w:val="20"/>
                  <w:u w:val="single"/>
                </w:rPr>
                <w:t>[Reserved]</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6_reserved">
              <w:r>
                <w:rPr>
                  <w:rStyle w:val="InternetLink"/>
                  <w:rFonts w:ascii="Times New Roman" w:hAnsi="Times New Roman"/>
                  <w:color w:val="0000FF"/>
                  <w:sz w:val="20"/>
                  <w:u w:val="single"/>
                </w:rPr>
                <w:t>88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7.</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7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7_managements_discussion_and_analys">
              <w:r>
                <w:rPr>
                  <w:rStyle w:val="InternetLink"/>
                  <w:rFonts w:ascii="Times New Roman" w:hAnsi="Times New Roman"/>
                  <w:color w:val="0000FF"/>
                  <w:sz w:val="20"/>
                  <w:u w:val="single"/>
                </w:rPr>
                <w:t>89</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7A.</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7a_quantitative_and_qualitative_dis">
              <w:r>
                <w:rPr>
                  <w:rStyle w:val="InternetLink"/>
                  <w:rFonts w:ascii="Times New Roman" w:hAnsi="Times New Roman"/>
                  <w:color w:val="0000FF"/>
                  <w:sz w:val="20"/>
                  <w:u w:val="single"/>
                </w:rPr>
                <w:t>Quantitative and Qualitative Disclosures About Market Risk</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7a_quantitative_and_qualitative_dis">
              <w:r>
                <w:rPr>
                  <w:rStyle w:val="InternetLink"/>
                  <w:rFonts w:ascii="Times New Roman" w:hAnsi="Times New Roman"/>
                  <w:color w:val="0000FF"/>
                  <w:sz w:val="20"/>
                  <w:u w:val="single"/>
                </w:rPr>
                <w:t>98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8.</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8_financial_statements_and_suppleme">
              <w:r>
                <w:rPr>
                  <w:rStyle w:val="InternetLink"/>
                  <w:rFonts w:ascii="Times New Roman" w:hAnsi="Times New Roman"/>
                  <w:color w:val="0000FF"/>
                  <w:sz w:val="20"/>
                  <w:u w:val="single"/>
                </w:rPr>
                <w:t>Financial Statements and Supplementary Data</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8_financial_statements_and_suppleme">
              <w:r>
                <w:rPr>
                  <w:rStyle w:val="InternetLink"/>
                  <w:rFonts w:ascii="Times New Roman" w:hAnsi="Times New Roman"/>
                  <w:color w:val="0000FF"/>
                  <w:sz w:val="20"/>
                  <w:u w:val="single"/>
                </w:rPr>
                <w:t>98</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_changes_in_and_disagreements">
              <w:r>
                <w:rPr>
                  <w:rStyle w:val="InternetLink"/>
                  <w:rFonts w:ascii="Times New Roman" w:hAnsi="Times New Roman"/>
                  <w:color w:val="0000FF"/>
                  <w:sz w:val="20"/>
                  <w:u w:val="single"/>
                </w:rPr>
                <w:t>132</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9A.</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a_controls_and_procedures">
              <w:r>
                <w:rPr>
                  <w:rStyle w:val="InternetLink"/>
                  <w:rFonts w:ascii="Times New Roman" w:hAnsi="Times New Roman"/>
                  <w:color w:val="0000FF"/>
                  <w:sz w:val="20"/>
                  <w:u w:val="single"/>
                </w:rPr>
                <w:t>Controls and Procedures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a_controls_and_procedures">
              <w:r>
                <w:rPr>
                  <w:rStyle w:val="InternetLink"/>
                  <w:rFonts w:ascii="Times New Roman" w:hAnsi="Times New Roman"/>
                  <w:color w:val="0000FF"/>
                  <w:sz w:val="20"/>
                  <w:u w:val="single"/>
                </w:rPr>
                <w:t>132</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9B.</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b_other_information">
              <w:r>
                <w:rPr>
                  <w:rStyle w:val="InternetLink"/>
                  <w:rFonts w:ascii="Times New Roman" w:hAnsi="Times New Roman"/>
                  <w:color w:val="0000FF"/>
                  <w:sz w:val="20"/>
                  <w:u w:val="single"/>
                </w:rPr>
                <w:t>Other Information</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b_other_information">
              <w:r>
                <w:rPr>
                  <w:rStyle w:val="InternetLink"/>
                  <w:rFonts w:ascii="Times New Roman" w:hAnsi="Times New Roman"/>
                  <w:color w:val="0000FF"/>
                  <w:sz w:val="20"/>
                  <w:u w:val="single"/>
                </w:rPr>
                <w:t>133</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9C.</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9c_disclosure_regarding_foreign">
              <w:r>
                <w:rPr>
                  <w:rStyle w:val="InternetLink"/>
                  <w:rFonts w:ascii="Times New Roman" w:hAnsi="Times New Roman"/>
                  <w:color w:val="0000FF"/>
                  <w:sz w:val="20"/>
                  <w:u w:val="single"/>
                </w:rPr>
                <w:t>133</w:t>
              </w:r>
            </w:hyperlink>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ii">
              <w:r>
                <w:rPr>
                  <w:rStyle w:val="InternetLink"/>
                  <w:rFonts w:ascii="Times New Roman" w:hAnsi="Times New Roman"/>
                  <w:color w:val="0000FF"/>
                  <w:sz w:val="20"/>
                  <w:u w:val="single"/>
                </w:rPr>
                <w:t>Part III.</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10.</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0_directors_executive">
              <w:r>
                <w:rPr>
                  <w:rStyle w:val="InternetLink"/>
                  <w:rFonts w:ascii="Times New Roman" w:hAnsi="Times New Roman"/>
                  <w:color w:val="0000FF"/>
                  <w:sz w:val="20"/>
                  <w:u w:val="single"/>
                </w:rPr>
                <w:t>Directors, Executive Officers and Corporate Governance</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0_directors_executive">
              <w:r>
                <w:rPr>
                  <w:rStyle w:val="InternetLink"/>
                  <w:rFonts w:ascii="Times New Roman" w:hAnsi="Times New Roman"/>
                  <w:color w:val="0000FF"/>
                  <w:sz w:val="20"/>
                  <w:u w:val="single"/>
                </w:rPr>
                <w:t>134</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11.</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1_executive_compensation">
              <w:r>
                <w:rPr>
                  <w:rStyle w:val="InternetLink"/>
                  <w:rFonts w:ascii="Times New Roman" w:hAnsi="Times New Roman"/>
                  <w:color w:val="0000FF"/>
                  <w:sz w:val="20"/>
                  <w:u w:val="single"/>
                </w:rPr>
                <w:t>Executive Compensation</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1_executive_compensation">
              <w:r>
                <w:rPr>
                  <w:rStyle w:val="InternetLink"/>
                  <w:rFonts w:ascii="Times New Roman" w:hAnsi="Times New Roman"/>
                  <w:color w:val="0000FF"/>
                  <w:sz w:val="20"/>
                  <w:u w:val="single"/>
                </w:rPr>
                <w:t>134</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12.</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2_security_ownership_of_certain">
              <w:r>
                <w:rPr>
                  <w:rStyle w:val="InternetLink"/>
                  <w:rFonts w:ascii="Times New Roman" w:hAnsi="Times New Roman"/>
                  <w:color w:val="0000FF"/>
                  <w:sz w:val="20"/>
                  <w:u w:val="single"/>
                </w:rPr>
                <w:t>134</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13.</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3_certain_relationships">
              <w:r>
                <w:rPr>
                  <w:rStyle w:val="InternetLink"/>
                  <w:rFonts w:ascii="Times New Roman" w:hAnsi="Times New Roman"/>
                  <w:color w:val="0000FF"/>
                  <w:sz w:val="20"/>
                  <w:u w:val="single"/>
                </w:rPr>
                <w:t>134</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14.</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4_principal_accounting">
              <w:r>
                <w:rPr>
                  <w:rStyle w:val="InternetLink"/>
                  <w:rFonts w:ascii="Times New Roman" w:hAnsi="Times New Roman"/>
                  <w:color w:val="0000FF"/>
                  <w:sz w:val="20"/>
                  <w:u w:val="single"/>
                </w:rPr>
                <w:t>Principal Accounting Fees and Services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4_principal_accounting">
              <w:r>
                <w:rPr>
                  <w:rStyle w:val="InternetLink"/>
                  <w:rFonts w:ascii="Times New Roman" w:hAnsi="Times New Roman"/>
                  <w:color w:val="0000FF"/>
                  <w:sz w:val="20"/>
                  <w:u w:val="single"/>
                </w:rPr>
                <w:t>134</w:t>
              </w:r>
            </w:hyperlink>
          </w:p>
        </w:tc>
      </w:tr>
      <w:tr>
        <w:trPr/>
        <w:tc>
          <w:tcPr>
            <w:tcW w:w="10205" w:type="dxa"/>
            <w:gridSpan w:val="3"/>
            <w:tcBorders/>
            <w:tcMar>
              <w:top w:w="0" w:type="dxa"/>
              <w:left w:w="0" w:type="dxa"/>
              <w:bottom w:w="0" w:type="dxa"/>
              <w:right w:w="0" w:type="dxa"/>
            </w:tcMar>
            <w:vAlign w:val="center"/>
          </w:tcPr>
          <w:p>
            <w:pPr>
              <w:pStyle w:val="TableContents"/>
              <w:bidi w:val="0"/>
              <w:spacing w:before="53" w:after="30"/>
              <w:jc w:val="center"/>
              <w:rPr/>
            </w:pPr>
            <w:hyperlink w:anchor="part_iv">
              <w:r>
                <w:rPr>
                  <w:rStyle w:val="InternetLink"/>
                  <w:rFonts w:ascii="Times New Roman" w:hAnsi="Times New Roman"/>
                  <w:color w:val="0000FF"/>
                  <w:sz w:val="20"/>
                  <w:u w:val="single"/>
                </w:rPr>
                <w:t>Part IV.</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15.</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5_exhibits_and_financial">
              <w:r>
                <w:rPr>
                  <w:rStyle w:val="InternetLink"/>
                  <w:rFonts w:ascii="Times New Roman" w:hAnsi="Times New Roman"/>
                  <w:color w:val="0000FF"/>
                  <w:sz w:val="20"/>
                  <w:u w:val="single"/>
                </w:rPr>
                <w:t>Exhibits and Financial Statement Schedules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5_exhibits_and_financial">
              <w:r>
                <w:rPr>
                  <w:rStyle w:val="InternetLink"/>
                  <w:rFonts w:ascii="Times New Roman" w:hAnsi="Times New Roman"/>
                  <w:color w:val="0000FF"/>
                  <w:sz w:val="20"/>
                  <w:u w:val="single"/>
                </w:rPr>
                <w:t>135</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16.</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item_16_form">
              <w:r>
                <w:rPr>
                  <w:rStyle w:val="InternetLink"/>
                  <w:rFonts w:ascii="Times New Roman" w:hAnsi="Times New Roman"/>
                  <w:color w:val="0000FF"/>
                  <w:sz w:val="20"/>
                  <w:u w:val="single"/>
                </w:rPr>
                <w:t>Form 10–K Summary</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item_16_form">
              <w:r>
                <w:rPr>
                  <w:rStyle w:val="InternetLink"/>
                  <w:rFonts w:ascii="Times New Roman" w:hAnsi="Times New Roman"/>
                  <w:color w:val="0000FF"/>
                  <w:sz w:val="20"/>
                  <w:u w:val="single"/>
                </w:rPr>
                <w:t>137</w:t>
              </w:r>
            </w:hyperlink>
          </w:p>
        </w:tc>
      </w:tr>
      <w:tr>
        <w:trPr/>
        <w:tc>
          <w:tcPr>
            <w:tcW w:w="802" w:type="dxa"/>
            <w:tcBorders/>
            <w:tcMar>
              <w:top w:w="0" w:type="dxa"/>
              <w:left w:w="0" w:type="dxa"/>
              <w:bottom w:w="0" w:type="dxa"/>
              <w:right w:w="0" w:type="dxa"/>
            </w:tcMar>
            <w:vAlign w:val="center"/>
          </w:tcPr>
          <w:p>
            <w:pPr>
              <w:pStyle w:val="TableContents"/>
              <w:bidi w:val="0"/>
              <w:spacing w:before="53" w:after="30"/>
              <w:jc w:val="left"/>
              <w:rPr/>
            </w:pPr>
            <w:r>
              <w:rPr/>
              <w:t> </w:t>
            </w:r>
          </w:p>
        </w:tc>
        <w:tc>
          <w:tcPr>
            <w:tcW w:w="8936" w:type="dxa"/>
            <w:tcBorders/>
            <w:tcMar>
              <w:top w:w="0" w:type="dxa"/>
              <w:left w:w="0" w:type="dxa"/>
              <w:bottom w:w="0" w:type="dxa"/>
              <w:right w:w="0" w:type="dxa"/>
            </w:tcMar>
            <w:vAlign w:val="center"/>
          </w:tcPr>
          <w:p>
            <w:pPr>
              <w:pStyle w:val="TableContents"/>
              <w:bidi w:val="0"/>
              <w:spacing w:before="53" w:after="30"/>
              <w:jc w:val="left"/>
              <w:rPr/>
            </w:pPr>
            <w:hyperlink w:anchor="signatures">
              <w:r>
                <w:rPr>
                  <w:rStyle w:val="InternetLink"/>
                  <w:rFonts w:ascii="Times New Roman" w:hAnsi="Times New Roman"/>
                  <w:color w:val="0000FF"/>
                  <w:sz w:val="20"/>
                  <w:u w:val="single"/>
                </w:rPr>
                <w:t>Signatures</w:t>
              </w:r>
            </w:hyperlink>
          </w:p>
        </w:tc>
        <w:tc>
          <w:tcPr>
            <w:tcW w:w="467"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Times New Roman" w:hAnsi="Times New Roman"/>
                  <w:color w:val="0000FF"/>
                  <w:sz w:val="20"/>
                  <w:u w:val="single"/>
                </w:rPr>
                <w:t>138</w:t>
              </w:r>
            </w:hyperlink>
          </w:p>
        </w:tc>
      </w:tr>
    </w:tbl>
    <w:p>
      <w:pPr>
        <w:pStyle w:val="TextBody"/>
        <w:bidi w:val="0"/>
        <w:spacing w:before="180" w:after="180"/>
        <w:jc w:val="left"/>
        <w:rPr/>
      </w:pPr>
      <w:r>
        <w:rPr/>
        <w:t> </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estimates of our addressable market, market growth, key performance indicators, capital requirements and our needs for additional financing;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our financial performance, including among others, revenue, cost of revenue, gross profit, operating expenses, loss from operations and net losses;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execute our commercial strategy and attract customers, including our plans for international expansion;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implementation of our business model, strategic plans and pricing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the rate and degree of market acceptance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the Proteograph Product Suite on the field of proteomics and the size and growth of the addressable proteomics market;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manage and grow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and commercialize new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 effects of government regulation and legislation;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volatility of the trading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benefits and risks of our investment in PrognomiQ, Inc.;</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local, regional, and national and international economic conditions and events;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macroeconomic factors, such as tariffs and trade relations, pandemics, inflation, supply chain interruptions and foreign hostilities, on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about market trends.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18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mission is to imagine and pioneer new ways to decode the biology of the proteome to improve human health. Through our product, the Proteograph® Product Suite (Proteograph), we provide researchers with unbiased, deep, rapid and large-scale access to the proteome, enabling biological discovery that has historically been impractical. With our pioneering proprietary engineered nanoparticle (NP) technology and the Proteograph Product Suite, we provide the most complete, precise, and scalable platform for deep, unbiased proteomics to power population-scale studies and data-driven biology.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Proteins are the functional drivers of biology and the primary targets of most approved drugs. Unlike DNA, which is largely static over an individual’s lifetime, the proteome is dynamic, reflecting real-time biological processes, disease states, and responses to therapeutic intervention. However, the molecular diversity of the proteome, arising from transcription, RNA processing, translation, post-translational modifications (PTMs), and protein–protein interactions, has historically limited researchers’ ability to comprehensively characterize protein biology at scale. Traditional proteomic approaches have forced researchers to choose between depth and throughput: unbiased methods that lack scalability, or scalable methods that are targeted, epitope-dependent, and unable to resolve protein variants with sufficient precision.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was developed to eliminate this trade-off. By enabling peptide-level resolution across the length of proteins in complex samples such as plasma, the Proteograph allows researchers to detect protein isoforms, PTMs, and variant peptides without reliance on predefined binding epitopes. This approach reduces measurement artifacts associated with affinity-based technologies and enables accurate interrogation of protein diversity that is critical for understanding disease biology, biomarker discovery, and therapeutic targeting.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 comprehensive solution consisting of consumable assays, an automation instrument, and data analysis software. Our latest product innovations, the Proteograph ONE assay and the SP200 automation instrument, launched in May 2025 and have resulted in approximately a ten-fold improvement in throughput relative to our first-generation assay, enabling processing of more than 1,000 samples per week. The Proteograph generates significantly more data per sample and more measurements per protein than other commonly used proteomic technologies, producing dense, high-resolution datasets designed to enable AI-driven scientific discovery.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is increasingly being adopted by proteomics researchers, and also by genomics-focused researchers seeking to bridge the gap between genetic variation and biological function. Advances in next-generation sequencing have resulted in the identification of over one billion human genetic variants, yet only a small fraction has been functionally characterized. This disparity reflects, in part, the historical imbalance between the availability of genomic data and high-quality proteomic data. By enabling scalable, deep, unbiased measurement of the proteome, the Proteograph adds essential functional context to genomic information and supports integrative, multi-omics approaches to understanding human disease.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Since our commercial launch in 2021, we have served more than 190 customers across over 20 countries, including leading academic institutions, biopharmaceutical companies, biobanks, and clinical research organizations. For the first time, our customers are conducting population-scale unbiased proteomic studies involving tens of thousands of samples, quantifying thousands of proteins and hundreds of thousands of peptides and generating data suitable for large-scale statistical analysis and to power emerging biological AI foundation models.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differentiation and unmatched performance of the Proteograph have been demonstrated in a growing body of third-party evidence, including 70 peer-reviewed publications, preprints, and reviews as of December 31, 2025. These studies span diverse applications, including protein quantitative trait locus (pQTL) mapping, identification of disease-associated protein variants, aging biology, xenotransplantation, and biomarker discovery in complex diseases. In multiple studies, researchers have shown that peptide-level resolution enabled by the Proteograph revealed biologically meaningful signals that are obscured or mischaracterized by affinity-based proteomic methods, including false associations driven by protein-altering variants.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has also supported the development of translational and clinical research applications. For example, PrognomiQ, a pioneering multiomics diagnostic company spun out of Seer in 2020, has leveraged unbiased, deep proteomics generated by the Proteograph to develop a blood-based test for early lung cancer detection, demonstrating the potential clinical relevance of comprehensive proteomic datasets. We believe these collaborations highlight the role of unbiased proteomics as a foundational input for multi-omics, AI-driven precision medicine.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With a growing installed base, increasing utilization, expanding population-scale studies, and continued investment in product innovation, we believe Seer is well positioned to play a central role in enabling the next generation of data-driven biology and AI-driven precision medicine.</w:t>
      </w:r>
    </w:p>
    <w:p>
      <w:pPr>
        <w:pStyle w:val="TextBody"/>
        <w:bidi w:val="0"/>
        <w:spacing w:before="0" w:after="180"/>
        <w:jc w:val="center"/>
        <w:rPr/>
      </w:pPr>
      <w:r>
        <w:rPr/>
        <w:drawing>
          <wp:inline distT="0" distB="0" distL="0" distR="0">
            <wp:extent cx="6029325" cy="1933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29325" cy="1933575"/>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 Proteins are the functional molecules of biology and represent the primary targets of most approved drugs. Unlike DNA, which is largely static over an individual’s lifetime, proteins are dynamic and reflect real-time biological states influenced by genetics, environment, disease, and therapeutic intervention. As a result, proteomic data has the potential to provide insights into disease mechanisms, patient stratification, and treatment response that are not accessible through genomic or transcriptomic approaches alone.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Complexity of the Proteome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70,000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w:t>
      </w:r>
      <w:r>
        <w:rPr>
          <w:rFonts w:ascii="Times New Roman" w:hAnsi="Times New Roman"/>
          <w:i/>
          <w:color w:val="000000"/>
          <w:sz w:val="20"/>
        </w:rPr>
        <w:t>et al.</w:t>
      </w:r>
      <w:r>
        <w:rPr>
          <w:rFonts w:ascii="Times New Roman" w:hAnsi="Times New Roman"/>
          <w:color w:val="000000"/>
          <w:sz w:val="20"/>
        </w:rPr>
        <w: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A study by Backman </w:t>
      </w:r>
      <w:r>
        <w:rPr>
          <w:rFonts w:ascii="Times New Roman" w:hAnsi="Times New Roman"/>
          <w:i/>
          <w:color w:val="000000"/>
          <w:sz w:val="20"/>
        </w:rPr>
        <w:t>et al.</w:t>
      </w:r>
      <w:r>
        <w:rPr>
          <w:rFonts w:ascii="Times New Roman" w:hAnsi="Times New Roman"/>
          <w:color w:val="000000"/>
          <w:sz w:val="20"/>
        </w:rPr>
        <w:t xml:space="preserve"> published in Nature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findings emphasize the unmet need to understand protein variants at the peptide-level and underscore how little is currently known about the complexity of the proteome. We believe understanding protein variation at this level could revolutionize how we diagnose, treat, and monitor diseases.</w:t>
      </w:r>
    </w:p>
    <w:p>
      <w:pPr>
        <w:pStyle w:val="TextBody"/>
        <w:bidi w:val="0"/>
        <w:spacing w:before="0" w:after="180"/>
        <w:jc w:val="center"/>
        <w:rPr/>
      </w:pPr>
      <w:r>
        <w:rPr/>
        <w:drawing>
          <wp:inline distT="0" distB="0" distL="0" distR="0">
            <wp:extent cx="6019800" cy="2695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19800" cy="2695575"/>
                    </a:xfrm>
                    <a:prstGeom prst="rect">
                      <a:avLst/>
                    </a:prstGeom>
                  </pic:spPr>
                </pic:pic>
              </a:graphicData>
            </a:graphic>
          </wp:inline>
        </w:drawing>
      </w:r>
    </w:p>
    <w:p>
      <w:pPr>
        <w:pStyle w:val="TextBody"/>
        <w:bidi w:val="0"/>
        <w:spacing w:before="0" w:after="180"/>
        <w:jc w:val="center"/>
        <w:rPr>
          <w:rFonts w:ascii="Times New Roman" w:hAnsi="Times New Roman"/>
          <w:sz w:val="20"/>
        </w:rPr>
      </w:pPr>
      <w:r>
        <w:rPr>
          <w:rFonts w:ascii="Times New Roman" w:hAnsi="Times New Roman"/>
          <w:color w:val="000000"/>
          <w:sz w:val="16"/>
        </w:rPr>
        <w:t xml:space="preserve">Figure 2: Functional diversity exists through modifications and interactions of different molecules, from static indicators like the genome to increasingly numerous and complex indicators like the proteome and interactome. Modified from Bludau </w:t>
      </w:r>
      <w:r>
        <w:rPr>
          <w:rFonts w:ascii="Times New Roman" w:hAnsi="Times New Roman"/>
          <w:i/>
          <w:color w:val="000000"/>
          <w:sz w:val="16"/>
        </w:rPr>
        <w:t>et al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Importance of Unbiased, Peptide-level Resolution Proteomics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Novel Biological Insights Enabled by the Proteograph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ability to perform unbiased proteomics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Similar to genomics, researchers are using the Proteograph to discover and access novel proteomic content that was previously inaccessible. As a result, new biological insights are emerging that would otherwise not be possible without the peptide-level resolution provided by the Proteograph.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Disease-associated protein detection with unbiased, peptide-level resolution. </w:t>
      </w:r>
      <w:r>
        <w:rPr>
          <w:rFonts w:ascii="Times New Roman" w:hAnsi="Times New Roman"/>
          <w:color w:val="000000"/>
          <w:sz w:val="20"/>
        </w:rPr>
        <w:t xml:space="preserve">In a 2025 study by Pietzner </w:t>
      </w:r>
      <w:r>
        <w:rPr>
          <w:rFonts w:ascii="Times New Roman" w:hAnsi="Times New Roman"/>
          <w:i/>
          <w:color w:val="000000"/>
          <w:sz w:val="20"/>
        </w:rPr>
        <w:t>et al.</w:t>
      </w:r>
      <w:r>
        <w:rPr>
          <w:rFonts w:ascii="Times New Roman" w:hAnsi="Times New Roman"/>
          <w:color w:val="000000"/>
          <w:sz w:val="20"/>
        </w:rPr>
        <w:t>, deep plasma proteomic profiling in over 1,400 individuals of South Asian ancestry identified more than 1,200 significant genetic associations with circulating proteins, approximately half of which were novel, as shown below in Figure 3. Integrating these data with large-scale human genetics and disease endpoints, the authors prioritized 21 proteins with strong evidence for a causal role in 44 diseases. Notably, the Proteograph's peptide-level measurements revealed a previously unrecognized role for the immunoglobulin light-chain variable protein IGLV3-21 in Graves’ disease, supported by genetic colocalization, immune cell–specific expression, and disease specificity. These findings demonstrate how peptide-level resolution enabled by the Proteograph can reveal novel protein–disease mechanisms and biomarkers that directly inform disease biology and therapeutic target discovery.</w:t>
      </w:r>
    </w:p>
    <w:p>
      <w:pPr>
        <w:pStyle w:val="TextBody"/>
        <w:bidi w:val="0"/>
        <w:spacing w:before="0" w:after="180"/>
        <w:jc w:val="center"/>
        <w:rPr/>
      </w:pPr>
      <w:r>
        <w:rPr/>
        <w:drawing>
          <wp:inline distT="0" distB="0" distL="0" distR="0">
            <wp:extent cx="4648200" cy="3381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48200" cy="3381375"/>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3. Over 1,200 variant protein associations were detected, about half of which were novel. The Proteograph detected a high number of proteins and pQTLs previously not found by affinity-based technologies. Additionally, because of the Proteograph, scientists were also able to confirm the absence of some proteins in plasma that had lost their function.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Identification of false-positive pQTLs from affinity-based proteomic methods due to epitope effects. </w:t>
      </w:r>
      <w:r>
        <w:rPr>
          <w:rFonts w:ascii="Times New Roman" w:hAnsi="Times New Roman"/>
          <w:color w:val="000000"/>
          <w:sz w:val="20"/>
        </w:rPr>
        <w:t xml:space="preserve">Peptide-level resolution is especially important in proteogenomic analyses, where the presence of allelic variants within proteins confounds affinity-based proteomics methods. In a study published in </w:t>
      </w:r>
      <w:r>
        <w:rPr>
          <w:rFonts w:ascii="Times New Roman" w:hAnsi="Times New Roman"/>
          <w:i/>
          <w:color w:val="000000"/>
          <w:sz w:val="20"/>
        </w:rPr>
        <w:t xml:space="preserve">Nature Genetics </w:t>
      </w:r>
      <w:r>
        <w:rPr>
          <w:rFonts w:ascii="Times New Roman" w:hAnsi="Times New Roman"/>
          <w:color w:val="000000"/>
          <w:sz w:val="20"/>
        </w:rPr>
        <w:t xml:space="preserve">in November 2025, Karsten Suhre and colleagues in collaboration with our team conducted the first deep, large-scale mass spectrometry (MS)-based genome-wide association search (GWAS) for protein quantitative trait loci (pQTLs) (Suhre </w:t>
      </w:r>
      <w:r>
        <w:rPr>
          <w:rFonts w:ascii="Times New Roman" w:hAnsi="Times New Roman"/>
          <w:i/>
          <w:color w:val="000000"/>
          <w:sz w:val="20"/>
        </w:rPr>
        <w:t>et al.</w:t>
      </w:r>
      <w:r>
        <w:rPr>
          <w:rFonts w:ascii="Times New Roman" w:hAnsi="Times New Roman"/>
          <w:color w:val="000000"/>
          <w:sz w:val="20"/>
        </w:rPr>
        <w:t xml:space="preserve">). In addition to discovering 252 pQTLs across a discovery cohort of 1,260 American participants and a replication in 325 individuals from Asia with diverse ethnic backgrounds, Suhre </w:t>
      </w:r>
      <w:r>
        <w:rPr>
          <w:rFonts w:ascii="Times New Roman" w:hAnsi="Times New Roman"/>
          <w:i/>
          <w:color w:val="000000"/>
          <w:sz w:val="20"/>
        </w:rPr>
        <w:t>et al</w:t>
      </w:r>
      <w:r>
        <w:rPr>
          <w:rFonts w:ascii="Times New Roman" w:hAnsi="Times New Roman"/>
          <w:color w:val="000000"/>
          <w:sz w:val="20"/>
        </w:rPr>
        <w:t xml:space="preserve">. investigated 200 of the strongest cis-pQTLs previously identified using two separate leading affinity-based technologies, which were applied to a cohort of 36,000 Icelandic participants and a cohort of 55,000 UK participants, respectively. Suhre </w:t>
      </w:r>
      <w:r>
        <w:rPr>
          <w:rFonts w:ascii="Times New Roman" w:hAnsi="Times New Roman"/>
          <w:i/>
          <w:color w:val="000000"/>
          <w:sz w:val="20"/>
        </w:rPr>
        <w:t>et al</w:t>
      </w:r>
      <w:r>
        <w:rPr>
          <w:rFonts w:ascii="Times New Roman" w:hAnsi="Times New Roman"/>
          <w:color w:val="000000"/>
          <w:sz w:val="20"/>
        </w:rPr>
        <w:t>. found that up to one third of the affinity proteomics pQTLs may be affected by epitope effects and, therefore, be false positive identifications due to the presence of protein allelic variants that disrupt or alter the binding of the affinity reagent to the protein surface. Another third of the 200 analyzed pQTLs were confirmed by Seer-based MS proteomics. These findings are consistent with the hypothesis that genetic variants induce changes in protein expression. This study demonstrated the ability of peptide-level resolution in distinguishing between true pQTLs and putatively false identifications of affinity-based proteomics technologies, suggesting that many more pQTLs remain to be discovered using MS-based platforms.</w:t>
      </w:r>
    </w:p>
    <w:p>
      <w:pPr>
        <w:pStyle w:val="TextBody"/>
        <w:bidi w:val="0"/>
        <w:spacing w:before="0" w:after="180"/>
        <w:jc w:val="center"/>
        <w:rPr/>
      </w:pPr>
      <w:r>
        <w:rPr/>
        <w:drawing>
          <wp:inline distT="0" distB="0" distL="0" distR="0">
            <wp:extent cx="3914775" cy="3619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914775" cy="3619500"/>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4: The ability of peptide-level resolution to validate affinity-based pQTL identifications. The 100 strongest pQTLs identified in a cohort of 55,000 participants in UK Biobank are scored by Seer MS data obtained in a discovery cohort of 1,260 American participants and a replication cohort of 325 Asian participants. In the x-axis, each of the 100 pQTLs is sorted by statistical significance in UK Biobank, left being the most significant; in the y-axis, each pQTL is scored according to peptide-level evidence in Seer data, with 1.0 being the highest level of evidence. The pQTLs marked green were found by another affinity-based platform performed in a cohort of 36,000 Icelandic participants; such pQTLs are highly reliable, being independently discovered in two cohorts by two technologies. Almost all highly reliable pQTLs are scored highly by Seer data; conversely, pQTLs that are scored low are likely to be false discoveries, potentially due to epitope effects induced by the presence of protein allelic variants that alter the binding of the affinity reagent to the protein surface.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Biomarker discovery in multi-omic diagnostic test development. </w:t>
      </w:r>
      <w:r>
        <w:rPr>
          <w:rFonts w:ascii="Times New Roman" w:hAnsi="Times New Roman"/>
          <w:color w:val="000000"/>
          <w:sz w:val="20"/>
        </w:rPr>
        <w:t xml:space="preserve">The Proteograph is also demonstrating significant value in the development of multi-omic diagnostic tests. Scientists at PrognomiQ conducted a large case-control study focused on individuals at elevated risk for lung cancer. Using the Proteograph Product Suite, researchers measured over 13,000 proteins from plasma samples collected from 2,513 individuals. These proteomic measurements alone achieved an area under the curve (AUC) of 0.91, and when combined with transcriptomic and metabolomic measurements, performance improved to an AUC of 0.96.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November 2025, PrognomiQ launched ProVue Lung, a proteomics-based laboratory developed test to aid in the early detection of lung cancer. ProVue Lung has been shown to detect lung cancer with 85% sensitivity and 55% specificity. Importantly, Stage I lung cancer is detected at 81% sensitivity, when treatment is most effective. The test also has a clinically informative negative predictive value (NPV) of greater than 99.8 percent. We believe these results illustrate the potential of Proteograph-enabled proteomics to contribute meaningfully to the development of high-performance blood-based diagnostic tests.</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Potential patient stratification in Alzheimer’s and other dementia-related diseases. </w:t>
      </w:r>
      <w:r>
        <w:rPr>
          <w:rFonts w:ascii="Times New Roman" w:hAnsi="Times New Roman"/>
          <w:color w:val="000000"/>
          <w:sz w:val="20"/>
        </w:rPr>
        <w:t>Within translational research applications, we believe the Proteograph is accelerating the transition from discovery research to clinical relevance. Using funding from a Small Business Innovation Research grant from the National Institute on Aging, researchers from Seer and Massachusetts General Hospital conducted a longitudinal study analyzing approximately 1,800 plasma samples from individuals with cognitive decline, including Alzheimer’s disease, and matched controls. The study identified 138 proteins that were differentially abundant between affected individuals and controls, the majority of which had not been previously associated with Alzheimer’s disease. Researchers further identified subsets of proteins associated with rates of cognitive decline, supporting the potential development of protein-based risk or progression scores. One such example is shown in Figure 5 below. Higher abundance of this protein is associated with greater probability of cognitive decline. We believe studies of this scale and depth are enabled by the ability of the Proteograph Product Suite to generate unbiased proteomic data across large sample cohorts.</w:t>
      </w:r>
    </w:p>
    <w:p>
      <w:pPr>
        <w:pStyle w:val="TextBody"/>
        <w:bidi w:val="0"/>
        <w:spacing w:before="0" w:after="180"/>
        <w:jc w:val="center"/>
        <w:rPr/>
      </w:pPr>
      <w:r>
        <w:rPr/>
        <w:drawing>
          <wp:inline distT="0" distB="0" distL="0" distR="0">
            <wp:extent cx="3190875" cy="2962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190875" cy="2962275"/>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5: Shows the probability of no decline as a function of follow up time. Higher levels of the protein are associated with higher probability of decline.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Identification of circulating aging signatures in model organisms. </w:t>
      </w:r>
      <w:r>
        <w:rPr>
          <w:rFonts w:ascii="Times New Roman" w:hAnsi="Times New Roman"/>
          <w:color w:val="000000"/>
          <w:sz w:val="20"/>
        </w:rPr>
        <w:t xml:space="preserve">Within biomarker discovery and translational aging research, the Proteograph is enabling the identification of clinically relevant, cell-type–specific protein signatures that link fundamental senescence biology to human health outcomes. In a 2025 </w:t>
      </w:r>
      <w:r>
        <w:rPr>
          <w:rFonts w:ascii="Times New Roman" w:hAnsi="Times New Roman"/>
          <w:i/>
          <w:color w:val="000000"/>
          <w:sz w:val="20"/>
        </w:rPr>
        <w:t xml:space="preserve">Nature Aging </w:t>
      </w:r>
      <w:r>
        <w:rPr>
          <w:rFonts w:ascii="Times New Roman" w:hAnsi="Times New Roman"/>
          <w:color w:val="000000"/>
          <w:sz w:val="20"/>
        </w:rPr>
        <w:t xml:space="preserve">study, Olinger </w:t>
      </w:r>
      <w:r>
        <w:rPr>
          <w:rFonts w:ascii="Times New Roman" w:hAnsi="Times New Roman"/>
          <w:i/>
          <w:color w:val="000000"/>
          <w:sz w:val="20"/>
        </w:rPr>
        <w:t>et al</w:t>
      </w:r>
      <w:r>
        <w:rPr>
          <w:rFonts w:ascii="Times New Roman" w:hAnsi="Times New Roman"/>
          <w:color w:val="000000"/>
          <w:sz w:val="20"/>
        </w:rPr>
        <w:t>. used Proteograph proteomic data to deeply characterize the senescence-associated secretory phenotype (SASP) of human monocytes and assess its relevance to aging in large human cohorts. By applying the Proteograph platform to serum-supplemented cell culture, the authors identified over 5,000 human proteins and 14,000 peptides, more than tripling peptide coverage compared to standard workflows, and uncovered thousands of proteins increased in the monocyte SASP, including signaling factors not previously linked to immune cell senescence.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Translating these findings to human plasma, the authors mapped monocyte SASP proteins to proteomic data from 1,060 participants in the Baltimore Longitudinal Study of Aging. Machine-learning models based on SASP-derived protein panels predicted multiple age- and obesity-associated clinical traits, including body fat composition, lipid levels, inflammation, and mobility, with strong test-set performance. These associations were independent of age and replicated in the InCHIANTI aging cohort. A high-impact panel of 21 SASP proteins further stratified individuals by a composite senescence burden score associated with metabolic dysfunction and functional decline. Together, these results demonstrate how peptide-level resolution enabled by the Proteograph reveals clinically actionable senescence biology and supports the development of blood-based biomarkers of biological aging.</w:t>
      </w:r>
    </w:p>
    <w:p>
      <w:pPr>
        <w:pStyle w:val="TextBody"/>
        <w:bidi w:val="0"/>
        <w:jc w:val="center"/>
        <w:rPr/>
      </w:pPr>
      <w:r>
        <w:rPr/>
        <w:drawing>
          <wp:inline distT="0" distB="0" distL="0" distR="0">
            <wp:extent cx="4057650" cy="3248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57650" cy="3248025"/>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6: A composite senescence burden score derived from circulating senescence-associated proteins is associated with multiple health indicators in an aging population. Higher senescence burden corresponds to higher BMI and inflammation (CRP) and lower HDL levels and walking pace, indicating a relationship between proteomic signatures and metabolic and functional health across individuals.</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Paradigm Shift to AI-driven Biological Discovery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Biological research is undergoing a shift from hypothesis-driven experimentation toward data-driven discovery at population scale. Advances in artificial intelligence and machine learning have increased the ability to extract biological insight from large, multimodal datasets; however, the performance and reliability of these models depend fundamentally on the quality, quantity, and resolution of the underlying biological data. In proteomics, this requirement is particularly acute, as many clinically relevant biological signals arise from protein variants, post-translational modifications, and dynamic changes in protein abundance that are not captured by genomic or transcriptomic measurements alone.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that AI-driven biological foundation models require dense, high-resolution proteomic datasets that include multiple measurements per protein and sufficient scale to support robust statistical learning. As shown in Figure 7 below, the Proteograph platform is designed to generate substantially more data per sample than other commonly used proteomic technologies, producing tens of thousands of protein measurements per sample and multiple peptide-level measurements per protein. This increased data density, combined with population-scale throughput, enables the generation of large, high-quality proteomic datasets suitable for training and validating AI models that aim to uncover novel biological relationships, disease mechanisms, and therapeutic targets.</w:t>
      </w:r>
    </w:p>
    <w:p>
      <w:pPr>
        <w:pStyle w:val="TextBody"/>
        <w:bidi w:val="0"/>
        <w:spacing w:before="0" w:after="180"/>
        <w:jc w:val="center"/>
        <w:rPr/>
      </w:pPr>
      <w:r>
        <w:rPr/>
        <w:drawing>
          <wp:inline distT="0" distB="0" distL="0" distR="0">
            <wp:extent cx="4238625" cy="3124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38625" cy="3124200"/>
                    </a:xfrm>
                    <a:prstGeom prst="rect">
                      <a:avLst/>
                    </a:prstGeom>
                  </pic:spPr>
                </pic:pic>
              </a:graphicData>
            </a:graphic>
          </wp:inline>
        </w:drawing>
      </w:r>
    </w:p>
    <w:p>
      <w:pPr>
        <w:pStyle w:val="TextBody"/>
        <w:bidi w:val="0"/>
        <w:jc w:val="center"/>
        <w:rPr>
          <w:rFonts w:ascii="Times New Roman" w:hAnsi="Times New Roman"/>
          <w:color w:val="000000"/>
          <w:sz w:val="16"/>
        </w:rPr>
      </w:pPr>
      <w:r>
        <w:rPr>
          <w:rFonts w:ascii="Times New Roman" w:hAnsi="Times New Roman"/>
          <w:color w:val="000000"/>
          <w:sz w:val="16"/>
        </w:rPr>
        <w:t>Figure 7: The Proteograph platform generates substantially more proteomic data per sample than other commonly used proteomic technologies. By producing over 77,000 data measurements per sample and multiple peptide-level measurements per protein on average, we believe the Proteograph enables higher-density datasets that support robust statistical analysis and data-driven discovery.</w:t>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Our Product and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consisting of consumables, an automation instrument, and data analysis software designed to enable unbiased, deep proteomic analysis at scale in a matter of hours. The Proteograph workflow is designed to be efficient and easy to use, leveraging common laboratory instrumentation to support adoption in both centralized and decentralized research settings. We believe this approach makes deep, unbiased proteomics accessible to a broad range of laboratories.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May 2025, we launched our next generation assay, Proteograph ONE, along with the SP200 automation instrument, further expanding the scalability and throughput of the Proteograph Product Suite.</w:t>
      </w:r>
    </w:p>
    <w:p>
      <w:pPr>
        <w:pStyle w:val="TextBody"/>
        <w:bidi w:val="0"/>
        <w:spacing w:before="0" w:after="180"/>
        <w:jc w:val="center"/>
        <w:rPr/>
      </w:pPr>
      <w:r>
        <w:rPr/>
        <w:drawing>
          <wp:inline distT="0" distB="0" distL="0" distR="0">
            <wp:extent cx="5429250" cy="1371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29250" cy="1371600"/>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8: Proteograph Product Suite comprises consumables, an automation instrument, and software.</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Consumables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consumables consist of our proprietary engineered nanoparticles (NPs) and all other reagents required to process biological samples in an automated workflow on our automation instrument. These consumables are designed to enable unbiased, reproducible sampling of intact proteins across the dynamic range of the proteome while eliminating the need for complex and labor-intensive enrichment workflows.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engineered NPs are designed to selectively and reproducibly bind intact proteins when exposed to a biological sample, forming a protein “corona” on the nanoparticle surface (shown below in Figure 9). Protein binding is driven by the physicochemical properties of the nanoparticle surface, the abundance of proteins in the sample, and protein–protein interactions among bound proteins. This process occurs rapidly and reaches equilibrium within minutes, enabling robust and reproducible sampling without prior knowledge of proteome composition or the need to target specific proteins. In combination with an unbiased mass spectrometry (“MS”) readout, this approach captures molecular information at the peptide level, including protein variants.</w:t>
      </w:r>
    </w:p>
    <w:p>
      <w:pPr>
        <w:pStyle w:val="TextBody"/>
        <w:bidi w:val="0"/>
        <w:jc w:val="center"/>
        <w:rPr/>
      </w:pPr>
      <w:r>
        <w:rPr/>
        <w:drawing>
          <wp:inline distT="0" distB="0" distL="0" distR="0">
            <wp:extent cx="6019800" cy="1800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19800" cy="1800225"/>
                    </a:xfrm>
                    <a:prstGeom prst="rect">
                      <a:avLst/>
                    </a:prstGeom>
                  </pic:spPr>
                </pic:pic>
              </a:graphicData>
            </a:graphic>
          </wp:inline>
        </w:drawing>
      </w:r>
    </w:p>
    <w:p>
      <w:pPr>
        <w:pStyle w:val="TextBody"/>
        <w:bidi w:val="0"/>
        <w:jc w:val="center"/>
        <w:rPr/>
      </w:pP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Figure 9: Nanoparticles allow unbiased interrogation of proteoform diversity. Our nanoparticle technology leverages engineered physicochemical properties to reproducibly bind to proteins without prior knowledge, forming a protein corona.</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By incorporating our engineered NPs into the Proteograph assay, we achieve representative sampling from high- to low-abundance proteins across a wide range of sample types, including biofluids, cell lysates, and tissue homogenates. We believe this approach replaces traditional, complex laboratory workflows required for deep, unbiased proteomics and enables scalable, high-throughput studies. We have characterized our technology and its performance in three peer-reviewed publications: </w:t>
      </w:r>
      <w:r>
        <w:rPr>
          <w:rFonts w:ascii="Times New Roman" w:hAnsi="Times New Roman"/>
          <w:i/>
          <w:color w:val="000000"/>
          <w:sz w:val="20"/>
        </w:rPr>
        <w:t>Nature Communications</w:t>
      </w:r>
      <w:r>
        <w:rPr>
          <w:rFonts w:ascii="Times New Roman" w:hAnsi="Times New Roman"/>
          <w:color w:val="000000"/>
          <w:sz w:val="20"/>
        </w:rPr>
        <w:t xml:space="preserve"> (Blume </w:t>
      </w:r>
      <w:r>
        <w:rPr>
          <w:rFonts w:ascii="Times New Roman" w:hAnsi="Times New Roman"/>
          <w:i/>
          <w:color w:val="000000"/>
          <w:sz w:val="20"/>
        </w:rPr>
        <w:t>et al.</w:t>
      </w:r>
      <w:r>
        <w:rPr>
          <w:rFonts w:ascii="Times New Roman" w:hAnsi="Times New Roman"/>
          <w:color w:val="000000"/>
          <w:sz w:val="20"/>
        </w:rPr>
        <w:t xml:space="preserve">), </w:t>
      </w:r>
      <w:r>
        <w:rPr>
          <w:rFonts w:ascii="Times New Roman" w:hAnsi="Times New Roman"/>
          <w:i/>
          <w:color w:val="000000"/>
          <w:sz w:val="20"/>
        </w:rPr>
        <w:t>PNAS</w:t>
      </w:r>
      <w:r>
        <w:rPr>
          <w:rFonts w:ascii="Times New Roman" w:hAnsi="Times New Roman"/>
          <w:color w:val="000000"/>
          <w:sz w:val="20"/>
        </w:rPr>
        <w:t xml:space="preserve"> (Ferdosi </w:t>
      </w:r>
      <w:r>
        <w:rPr>
          <w:rFonts w:ascii="Times New Roman" w:hAnsi="Times New Roman"/>
          <w:i/>
          <w:color w:val="000000"/>
          <w:sz w:val="20"/>
        </w:rPr>
        <w:t>et al.</w:t>
      </w:r>
      <w:r>
        <w:rPr>
          <w:rFonts w:ascii="Times New Roman" w:hAnsi="Times New Roman"/>
          <w:color w:val="000000"/>
          <w:sz w:val="20"/>
        </w:rPr>
        <w:t xml:space="preserve">), and </w:t>
      </w:r>
      <w:r>
        <w:rPr>
          <w:rFonts w:ascii="Times New Roman" w:hAnsi="Times New Roman"/>
          <w:i/>
          <w:color w:val="000000"/>
          <w:sz w:val="20"/>
        </w:rPr>
        <w:t>Advanced Materials</w:t>
      </w:r>
      <w:r>
        <w:rPr>
          <w:rFonts w:ascii="Times New Roman" w:hAnsi="Times New Roman"/>
          <w:color w:val="000000"/>
          <w:sz w:val="20"/>
        </w:rPr>
        <w:t xml:space="preserve"> (Ferdosi </w:t>
      </w:r>
      <w:r>
        <w:rPr>
          <w:rFonts w:ascii="Times New Roman" w:hAnsi="Times New Roman"/>
          <w:i/>
          <w:color w:val="000000"/>
          <w:sz w:val="20"/>
        </w:rPr>
        <w:t>et al.</w:t>
      </w:r>
      <w:r>
        <w:rPr>
          <w:rFonts w:ascii="Times New Roman" w:hAnsi="Times New Roman"/>
          <w:color w:val="000000"/>
          <w:sz w:val="20"/>
        </w:rPr>
        <w: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third-generation assay, Proteograph ONE, launched in May 2025, significantly increases sample throughput across both the Proteograph workflow and downstream MS analysis, delivering more than a 3.6x increase compared to the Proteograph XT assay launched in 2023 and approximately a 10x increase compared to the original Proteograph assay launched in 2021. Proteograph ONE uses a single well of NPs along with assay buffers and reagents for protein lysis and digestion, peptide purification, peptide quantification, and reconstitution of lyophilized materials. The assay enables the parallel processing of up to 80 samples on a single 96-well plate in under five hours, with the remaining wells reserved for integrated quality control samples to support consistent performance and troubleshooting.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Proteograph ONE, we launched the Proteograph DIRECT assay in 2025. The DIRECT workflow provides an automated approach for direct digestion of samples for bottom-up LC-MS proteomic analysis and enables processing of up to 80 samples per day. Methods for tissue lysate and cell lysate samples can also be run using the DIRECT workflow.</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Automation Instrument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workflow is executed in an automated manner on our SP200 automation instrument, a custom-configured, industry-standard liquid handling workstation launched in May 2025 as the next iteration of our automation instrument. The SP200 instrument is designed to support population-scale studies through highly parallel sample processing with approximately 60 minutes of setup time. The workflow is controlled through our Instrument Control Software (“ICS”), which manages assay execution on the SP200.</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Analysis Suite (“PAS”) is a data analytics software suite designed to support quality control, data management, and interpretation of Proteograph output. PAS is currently offered as a cloud-based solution and, in the future, may be made available through localized deployment options to accommodate different customer requirements.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PAS provides a predefined and scalable workflow that integrates publicly available MS data analysis tools with our proprietary analysis capabilities. It also includes a dedicated proteogenomics workflow that maps peptide-level data to genomic data to identify sample-specific variant peptides not captured in canonical reference databases. PAS provides interactive visualizations and tables to support data exploration, including views of peptide-to-gene relationships, protein domains, and functional regions.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2025, PAS updates included enhancements to data handling capabilities, more granular user permission controls to support service-provider workflows, and expanded system capacity to support studies involving up to approximately 10,000 samples. We expect to continue expanding PAS functionality as we extend our product portfolio.</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Proteograph Product Suite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 these technical and operational capabilities. Furthermore, we rigorously measure and evaluate each of these technical attributes, as we describe below.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Breadth of protein sampling</w:t>
      </w:r>
      <w:r>
        <w:rPr>
          <w:rFonts w:ascii="Times New Roman" w:hAnsi="Times New Roman"/>
          <w:color w:val="000000"/>
          <w:sz w:val="20"/>
        </w:rPr>
        <w:t xml:space="preserve">. This capability refers to conducting unbiased sampling of the proteome. The Proteograph ONE assay contains uniquely engineered NPs that selectively capture thousands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 As shown in Figure 10 below, Proteograph ONE detects approximately 7x proteins compared to neat plasma on the Orbitrap Astral MS from Thermo Scientific. Additionally, in a customer study of over 800 samples, approximately 9,000 proteins were identified on Proteograph ONE.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Unlike affinity-based platforms, which typically generate a single measurement per protein, the Proteograph produces multiple peptide-level measurements per protein, averaging approximately 11 measurements per protein. As a result, a single sample can yield &gt;77,000 data measurements. This depth of measurement increases the informational content of each experiment and supports scalable analyses across large datasets, including applications such as training emerging biological foundation models and enabling the discovery of novel biological insights not possible with affinity-based platforms.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another study performed by PrognomiQ across a set of 2,840 plasma samples, approximately 13,000 proteins were identified.</w:t>
      </w:r>
    </w:p>
    <w:p>
      <w:pPr>
        <w:pStyle w:val="TextBody"/>
        <w:bidi w:val="0"/>
        <w:jc w:val="center"/>
        <w:rPr/>
      </w:pPr>
      <w:r>
        <w:rPr/>
        <w:drawing>
          <wp:inline distT="0" distB="0" distL="0" distR="0">
            <wp:extent cx="4600575" cy="2905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600575" cy="2905125"/>
                    </a:xfrm>
                    <a:prstGeom prst="rect">
                      <a:avLst/>
                    </a:prstGeom>
                  </pic:spPr>
                </pic:pic>
              </a:graphicData>
            </a:graphic>
          </wp:inline>
        </w:drawing>
      </w:r>
    </w:p>
    <w:p>
      <w:pPr>
        <w:pStyle w:val="TextBody"/>
        <w:bidi w:val="0"/>
        <w:jc w:val="left"/>
        <w:rPr/>
      </w:pPr>
      <w:r>
        <w:rPr/>
        <w:t> </w:t>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10: Proteograph ONE demonstrates a 7.0x expansion in depth of coverage compared to neat plasma. In a recent customer study across more than 800 plasma samples, approximately 9,000 proteins were identified.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ONE assay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Importantly, the Proteograph ONE assay protein data is obtained using an MS detector, which is the gold standard for proteomics, and data is conventionally reported with a less than one percent False Discovery Rate (FDR). This means that the reported proteins are identified with very high confidence.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color w:val="000000"/>
        </w:rPr>
      </w:pPr>
      <w:r>
        <w:rPr>
          <w:color w:val="000000"/>
        </w:rPr>
        <w:t>•</w:t>
      </w:r>
    </w:p>
    <w:p>
      <w:pPr>
        <w:pStyle w:val="TextBody"/>
        <w:bidi w:val="0"/>
        <w:spacing w:before="180" w:after="180"/>
        <w:jc w:val="left"/>
        <w:rPr/>
      </w:pPr>
      <w:r>
        <w:rPr>
          <w:rFonts w:ascii="Times New Roman" w:hAnsi="Times New Roman"/>
          <w:b/>
          <w:i/>
          <w:color w:val="000000"/>
          <w:sz w:val="20"/>
        </w:rPr>
        <w:t>Depth of coverage</w:t>
      </w:r>
      <w:r>
        <w:rPr>
          <w:rFonts w:ascii="Times New Roman" w:hAnsi="Times New Roman"/>
          <w:color w:val="000000"/>
          <w:sz w:val="20"/>
        </w:rPr>
        <w:t xml:space="preserve">. The Proteograph can quantify the proteome across a wide dynamic range of protein abundance. Figure 8 compares the depth of coverage of our assay with that of neat plasma and demonstrates that the Proteograph assay detected &gt;4-fold more proteins cataloged in the Human Plasma Proteome Project (HPPP). </w:t>
      </w:r>
    </w:p>
    <w:p>
      <w:pPr>
        <w:pStyle w:val="TextBody"/>
        <w:bidi w:val="0"/>
        <w:spacing w:before="0" w:after="180"/>
        <w:jc w:val="center"/>
        <w:rPr/>
      </w:pPr>
      <w:r>
        <w:rPr/>
        <w:drawing>
          <wp:inline distT="0" distB="0" distL="0" distR="0">
            <wp:extent cx="5934075" cy="2371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34075" cy="2371725"/>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11: Protein identifications from identical samples processed with (1) Proteograph ONE Workflow paired with Leading MS, (2) Direct Digestion paired with Leading MS were mapped toward the HPPP database. The protein estimated concentrations were taken from HPPP data central (https://peptideatlas.org/hupo/hppp/) and protein concentration are rank ordered in decreasing abundance from left to right.</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 xml:space="preserve">Accuracy of measurement. </w:t>
      </w:r>
      <w:r>
        <w:rPr>
          <w:rFonts w:ascii="Times New Roman" w:hAnsi="Times New Roman"/>
          <w:color w:val="000000"/>
          <w:sz w:val="20"/>
        </w:rPr>
        <w:t>This capability measures how close the measured abundance of a protein is to the true abundance in a sample. The measurement of the true abundance of a large number of proteins at the protein variant level at scale is not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real-world accuracy of the Proteograph Product Suite. As shown below in Figure 12, bovine plasma was spiked into human plasma to create samples with different bovine to human ratios (1:11, 1:5, and 1:3). From there, fold-changes between spiked sample pairs were measured and compared against the known values (1.5X, 2X, and 3X). The Proteograph ONE workflow accurately measured the spike-in samples, collecting observed fold-changes close in value to the actual changes (1.56X, 1.95X, and 3.09X) and those collected by direct digest.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pPr>
      <w:r>
        <w:rPr/>
        <w:drawing>
          <wp:inline distT="0" distB="0" distL="0" distR="0">
            <wp:extent cx="5172075" cy="395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172075" cy="3952875"/>
                    </a:xfrm>
                    <a:prstGeom prst="rect">
                      <a:avLst/>
                    </a:prstGeom>
                  </pic:spPr>
                </pic:pic>
              </a:graphicData>
            </a:graphic>
          </wp:inline>
        </w:drawing>
      </w:r>
    </w:p>
    <w:p>
      <w:pPr>
        <w:pStyle w:val="TextBody"/>
        <w:bidi w:val="0"/>
        <w:jc w:val="left"/>
        <w:rPr/>
      </w:pP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Figure 12: (</w:t>
      </w:r>
      <w:r>
        <w:rPr>
          <w:rFonts w:ascii="Times New Roman" w:hAnsi="Times New Roman"/>
          <w:b/>
          <w:color w:val="000000"/>
          <w:sz w:val="16"/>
        </w:rPr>
        <w:t>Top</w:t>
      </w:r>
      <w:r>
        <w:rPr>
          <w:rFonts w:ascii="Times New Roman" w:hAnsi="Times New Roman"/>
          <w:color w:val="000000"/>
          <w:sz w:val="16"/>
        </w:rPr>
        <w:t>) Three representative pairs of spiked-in samples and the expected fold-changes of bovine proteins concentration in these pairs. (</w:t>
      </w:r>
      <w:r>
        <w:rPr>
          <w:rFonts w:ascii="Times New Roman" w:hAnsi="Times New Roman"/>
          <w:b/>
          <w:color w:val="000000"/>
          <w:sz w:val="16"/>
        </w:rPr>
        <w:t>Bottom</w:t>
      </w:r>
      <w:r>
        <w:rPr>
          <w:rFonts w:ascii="Times New Roman" w:hAnsi="Times New Roman"/>
          <w:color w:val="000000"/>
          <w:sz w:val="16"/>
        </w:rPr>
        <w:t>) Distribution of observed fold-changes of bovine proteins for 3 selected comparisons of spiked-in samples. The color indicates the data source: protein identifications unique to direct digestion (gray), protein identifications shared between the Proteograph ONE workflow and direct digestion (purple), or protein identifications unique to the Proteograph ONE workflow (teal). The horizontal dashed lines indicate the expected foldchanges.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 xml:space="preserve">Reproducibility of measurement in large studies. </w:t>
      </w:r>
      <w:r>
        <w:rPr>
          <w:rFonts w:ascii="Times New Roman" w:hAnsi="Times New Roman"/>
          <w:color w:val="000000"/>
          <w:sz w:val="20"/>
        </w:rPr>
        <w:t xml:space="preserve">Reproducibility, also referred to as precision, is a measure of the consistency of protein abundance 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MS instrument, aggregate to form the overall CV% of the workflow.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Performance was also assessed through CVs for protein groups intensity and peptide intensity. The intra-plate and inter-plate CVs for protein group intensity were 13.4% and 16.1%, respectively (Figure 13, left). These CVs are similar to or better than those collected with other methods and commercial platforms. With the intra-plate CV at 17.2% and inter-plate CV at 21%, peptide data showed a similar albeit slightly elevated trend (Figure 13, right). This increase in CV is consistent with expectations for median peptide CV compared to median protein group CV. To further pressure test CV results, plates were also processed by two different SP200 automation instruments. When combining inter-instrument analysis with inter-plate comparisons, protein group (16.7%) and peptide (21.8%) CVs remained low, only increasing slightly (Figure 13). Collectively, median protein group and peptide CVs within and between plates and SP200 instruments indicate the Proteograph ONE workflow provides excellent precision and experimental reproducibility, even when varying days, plates, and instruments.</w:t>
      </w:r>
    </w:p>
    <w:p>
      <w:pPr>
        <w:pStyle w:val="TextBody"/>
        <w:bidi w:val="0"/>
        <w:jc w:val="center"/>
        <w:rPr/>
      </w:pPr>
      <w:r>
        <w:rPr/>
        <w:drawing>
          <wp:inline distT="0" distB="0" distL="0" distR="0">
            <wp:extent cx="5553075" cy="15621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53075" cy="1562100"/>
                    </a:xfrm>
                    <a:prstGeom prst="rect">
                      <a:avLst/>
                    </a:prstGeom>
                  </pic:spPr>
                </pic:pic>
              </a:graphicData>
            </a:graphic>
          </wp:inline>
        </w:drawing>
      </w:r>
    </w:p>
    <w:p>
      <w:pPr>
        <w:pStyle w:val="TextBody"/>
        <w:bidi w:val="0"/>
        <w:jc w:val="left"/>
        <w:rPr/>
      </w:pPr>
      <w:r>
        <w:rPr/>
        <w:t> </w:t>
      </w:r>
    </w:p>
    <w:p>
      <w:pPr>
        <w:pStyle w:val="TextBody"/>
        <w:bidi w:val="0"/>
        <w:spacing w:before="0" w:after="180"/>
        <w:jc w:val="center"/>
        <w:rPr>
          <w:rFonts w:ascii="Times New Roman" w:hAnsi="Times New Roman"/>
          <w:sz w:val="20"/>
        </w:rPr>
      </w:pPr>
      <w:r>
        <w:rPr>
          <w:rFonts w:ascii="Times New Roman" w:hAnsi="Times New Roman"/>
          <w:color w:val="000000"/>
          <w:sz w:val="16"/>
        </w:rPr>
        <w:t>Figure 13: Control pooled plasma was run in replicates on three different experimental settings: (teal) intra-plate, intra-Proteograph (comparison was made within the same plate and same SP200 automation instrument), (gray) inter-plate, intra-Proteograph (comparison was made with the same SP200 automation instrument, but different processing plates), and (purple) inter-plate, inter-Proteograph (comparison was made with different SP200 automation instruments and different processing plates). The label-free intensity coefficient of variation (CV %) was plotted for (left) Protein groups, and (right) Peptides, respectively. Median CV % was plotted and annotated directly on the plot, with dotted line denoting 20% CV.</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 xml:space="preserve">Scalability. </w:t>
      </w:r>
      <w:r>
        <w:rPr>
          <w:rFonts w:ascii="Times New Roman" w:hAnsi="Times New Roman"/>
          <w:color w:val="000000"/>
          <w:sz w:val="20"/>
        </w:rPr>
        <w:t xml:space="preserve">The Proteograph Product Suite enables rapid and large-scale proteomic sample processing in an approximately five-hour workflow, compared to other unbiased solutions that can take days to weeks. With our current assay, we can process 80 samples in a single run of the Proteograph SP200 instrument. Therefore, a single Proteograph Product Suite can process over 1,000 samples per week and over 50,000 samples annually. In comparison, the unbiased workflows developed by leading proteomics labs can take weeks for sample preparation and MS measurement to reach an equivalent depth of proteomic coverage.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Proteograph is increasingly being adopted by large-scale studies seeking an easy-to-use, scalable approach with a unique combination of attributes spanning breadth, depth, accuracy, reproducibility and precision of measurement. In 2025, we announced several collaborations to drive population-scale studies,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Korea University: 20,000 subject proteomics biomarker discovery for early detection across multiple cancers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Discovery Life Sciences: human cadaver multi-organ proteomic benchmarking study totaling over 10,000 samples for private company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Performance relative to other plasma proteomics technologies.</w:t>
      </w:r>
      <w:r>
        <w:rPr>
          <w:color w:val="000000"/>
        </w:rPr>
        <w:t xml:space="preserve"> </w:t>
      </w:r>
      <w:r>
        <w:rPr>
          <w:rFonts w:ascii="Times New Roman" w:hAnsi="Times New Roman"/>
          <w:color w:val="000000"/>
          <w:sz w:val="20"/>
        </w:rPr>
        <w:t xml:space="preserve">A 2024 head-to-head comparative study conducted by Dr. Joshua Coon, a professor at University of Wisconsin, and published in the Journal of Proteome Research demonstrates the performance of the Proteograph Product Suite utilizing the XT assay against five other plasma proteomic technologies and methods (Beimers </w:t>
      </w:r>
      <w:r>
        <w:rPr>
          <w:rFonts w:ascii="Times New Roman" w:hAnsi="Times New Roman"/>
          <w:i/>
          <w:color w:val="000000"/>
          <w:sz w:val="20"/>
        </w:rPr>
        <w:t>et al</w:t>
      </w:r>
      <w:r>
        <w:rPr>
          <w:rFonts w:ascii="Times New Roman" w:hAnsi="Times New Roman"/>
          <w:color w:val="000000"/>
          <w:sz w:val="20"/>
        </w:rPr>
        <w:t>.). Using five technical replicates of the same plasma sample (BioIVT) on each method, the study shows the Proteograph assay provides the greatest proteomic depth across the six technologies and methods tested. While providing much higher numbers of proteins, the Proteograph assay also provides the greatest reproducibility of all methods except neat. Against neat, the Proteograph has slightly worse reproducibility, but does so while quantifying almost eight-fold greater number of proteins including low abundance proteins.</w:t>
      </w:r>
    </w:p>
    <w:p>
      <w:pPr>
        <w:pStyle w:val="TextBody"/>
        <w:bidi w:val="0"/>
        <w:jc w:val="center"/>
        <w:rPr/>
      </w:pPr>
      <w:r>
        <w:rPr/>
        <w:drawing>
          <wp:inline distT="0" distB="0" distL="0" distR="0">
            <wp:extent cx="6019800" cy="2762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19800" cy="2762250"/>
                    </a:xfrm>
                    <a:prstGeom prst="rect">
                      <a:avLst/>
                    </a:prstGeom>
                  </pic:spPr>
                </pic:pic>
              </a:graphicData>
            </a:graphic>
          </wp:inline>
        </w:drawing>
      </w:r>
    </w:p>
    <w:p>
      <w:pPr>
        <w:pStyle w:val="TextBody"/>
        <w:bidi w:val="0"/>
        <w:spacing w:before="0" w:after="180"/>
        <w:jc w:val="center"/>
        <w:rPr>
          <w:rFonts w:ascii="Times New Roman" w:hAnsi="Times New Roman"/>
          <w:color w:val="000000"/>
          <w:sz w:val="16"/>
        </w:rPr>
      </w:pPr>
      <w:r>
        <w:rPr>
          <w:rFonts w:ascii="Times New Roman" w:hAnsi="Times New Roman"/>
          <w:color w:val="000000"/>
          <w:sz w:val="16"/>
        </w:rPr>
        <w:t>Figure 14: (A) Across six technologies and methods tested, Proteograph XT provides the highest performance in protein identification across all replicates and within each replicate. (B) Demonstrates the reproducibility performance of each method by evaluating the median coefficient of variation (CV) values for proteins detected across all methods. A lower CV value indicates a higher degree of reproducibility.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Advantages of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the Proteograph Product Suite and its underlying NP technology have unique advantages: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Leading automated solution to enable unbiased, deep, rapid and large-scale access to the proteome. </w:t>
      </w:r>
      <w:r>
        <w:rPr>
          <w:rFonts w:ascii="Times New Roman" w:hAnsi="Times New Roman"/>
          <w:color w:val="000000"/>
          <w:sz w:val="20"/>
        </w:rPr>
        <w:t>We pioneered the commercial development of unbiased sample enrichment for MS-based plasma proteomics. We believe we have become the trusted partner to our customers worldwide. While other solutions have been introduced since our commercial launch, we believe none can replicate the performance delivered by the Proteograph Product Suite, particularly the scale, depth, accuracy, and reproducibility to enable population-scale studies in an unbiased manner.</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Provides unique insight into protein variation at the peptide level, with a depth and scale that sets a new standard for unbiased and deep proteomics. </w:t>
      </w:r>
      <w:r>
        <w:rPr>
          <w:rFonts w:ascii="Times New Roman" w:hAnsi="Times New Roman"/>
          <w:color w:val="000000"/>
          <w:sz w:val="20"/>
        </w:rPr>
        <w:t>By measuring &gt;77,000 peptides per sample, the Proteograph has a differentiated ability to capture protein variations at scale to enable synergistic insights when combined with genomic variations, yielding informative individualized models of biology at population scale.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Allows for wide adoption by customers in both decentralized and centralized settings.</w:t>
      </w:r>
      <w:r>
        <w:rPr>
          <w:color w:val="000000"/>
        </w:rPr>
        <w:t xml:space="preserve"> </w:t>
      </w:r>
      <w:r>
        <w:rPr>
          <w:rFonts w:ascii="Times New Roman" w:hAnsi="Times New Roman"/>
          <w:color w:val="000000"/>
          <w:sz w:val="20"/>
        </w:rPr>
        <w:t>The Proteograph Product Suite is an integrated solution that includes consumables, an automation instrument and data analysis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enabling broad adoption.</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Offers a core technology with the potential for development of a range of products, applications and platforms.</w:t>
      </w:r>
      <w:r>
        <w:rPr>
          <w:color w:val="000000"/>
        </w:rPr>
        <w:t xml:space="preserve"> </w:t>
      </w:r>
      <w:r>
        <w:rPr>
          <w:rFonts w:ascii="Times New Roman" w:hAnsi="Times New Roman"/>
          <w:color w:val="000000"/>
          <w:sz w:val="20"/>
        </w:rPr>
        <w:t>Our diverse library of NP surfaces can support the development of new products catering to various applications and customer needs. We are using machine-learning techniques and conducting large-scale analyses to understand relationships between NP surfaces and protein binding to design future products.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Provides core technology with significant operational leverage in research and development, manufacturing and commercialization.</w:t>
      </w:r>
      <w:r>
        <w:rPr>
          <w:color w:val="000000"/>
        </w:rPr>
        <w:t xml:space="preserve"> </w:t>
      </w:r>
      <w:r>
        <w:rPr>
          <w:rFonts w:ascii="Times New Roman" w:hAnsi="Times New Roman"/>
          <w:color w:val="000000"/>
          <w:sz w:val="20"/>
        </w:rPr>
        <w:t>NP-based products are efficient to design, develop and manufacture. We believe that by 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Presents a solution with sustainable differentiation.</w:t>
      </w:r>
      <w:r>
        <w:rPr>
          <w:color w:val="000000"/>
        </w:rPr>
        <w:t xml:space="preserve"> </w:t>
      </w:r>
      <w:r>
        <w:rPr>
          <w:rFonts w:ascii="Times New Roman" w:hAnsi="Times New Roman"/>
          <w:color w:val="000000"/>
          <w:sz w:val="20"/>
        </w:rPr>
        <w:t>The Proteograph is uniquely capable of generating robust, reproducible, deep and unbiased proteomic data. As this data is used by more customers to generate insights, we believe this cycle will fuel further adoption of the Proteograph Product Suite. The Proteograph workflow is fully integrable with customer workflows and provides a unique user experience with the support of our software packages, making it a sustainable solution within customer organizations. Our NP technology,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Applications of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the ability to generate unbiased, deep, proteomic data at scale, with rich content at the protein variant level, has a wide range of applications in proteomics, including basic research and discovery, translational research, diagnostics and applied markets. This data can be used in many of the same application areas as genomics data, as well as proteomics applications that are uniquely possible with unbiased proteomic data, and in new applications that the field will develop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cerebral spinal fluid, and conditioned media, we noted superior protein group identification by the Proteograph ONE workflow of 8x, 1.8x, and 6x, respectively. Importantly, in each sample, we measured tens of thousands of data points at the peptide-level, providing information on thousands of proteins. We believe this extensibility offers researchers a powerful and flexible tool to utilize across a variety of applications and sample types.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Discovery Proteomics &amp; Proteome Characterization</w:t>
      </w:r>
      <w:r>
        <w:rPr>
          <w:rFonts w:ascii="Times New Roman" w:hAnsi="Times New Roman"/>
          <w:color w:val="000000"/>
          <w:sz w:val="20"/>
        </w:rPr>
        <w:t>. We believe the Proteograph is a valuable tool for basic research and discovery applications focused on comprehensive characterization of the proteome. The Proteograph enables researchers to explore protein diversity at peptide-level resolution, including the identification of protein variants and post-translational modifications such as glycosylation and phosphorylation.</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capabilities support large-scale discovery efforts such as cataloging protein diversity, systems biology, interactome studies, and the integration of proteomic data with genomic and transcriptomic information. We anticipate that researchers will increasingly use Proteograph-generated data to build reference-scale maps of protein variation and function, providing biological context that is not readily accessible with other proteomics approaches.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Translational &amp; Biomarker Discovery Research. </w:t>
      </w:r>
      <w:r>
        <w:rPr>
          <w:rFonts w:ascii="Times New Roman" w:hAnsi="Times New Roman"/>
          <w:color w:val="000000"/>
          <w:sz w:val="20"/>
        </w:rPr>
        <w:t>We believe the Proteograph Product Suite enables translational research applications aimed at accelerating the transition from discovery research to clinical relevance. The ability to perform deep, unbiased, and large-scale proteomics studies allows researchers to identify and prioritize protein biomarkers associated with disease risk, onset, progression, and heterogeneity.</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Diagnostic Development. </w:t>
      </w:r>
      <w:r>
        <w:rPr>
          <w:rFonts w:ascii="Times New Roman" w:hAnsi="Times New Roman"/>
          <w:color w:val="000000"/>
          <w:sz w:val="20"/>
        </w:rPr>
        <w:t>As demonstrated with PrognomiQ, we believe the Proteograph has significant potential to support the development of diagnostic tests based on proteomic and multi-omic data. The generation of deep, unbiased, and scalable proteomic datasets has the potential to enable diagnostic ecosystems analogous to those that emerged with next-generation sequencing in genomics.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Target Identification &amp; Therapeutic Insight. </w:t>
      </w:r>
      <w:r>
        <w:rPr>
          <w:rFonts w:ascii="Times New Roman" w:hAnsi="Times New Roman"/>
          <w:color w:val="000000"/>
          <w:sz w:val="20"/>
        </w:rPr>
        <w:t xml:space="preserve">We believe the Proteograph Product Suite may also be applied to therapeutic research, including target identification and exploration. Large-scale access to protein-level data linked to different states of health and disease can provide functional context for genomic discoveries and support the prioritization of potential therapeutic targets. Proteins identified through biomarker discovery or disease association studies may themselves represent therapeutic targets or may inform biological pathways and mechanisms relevant to drug development. </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Non-Human Research &amp; Applied Applications. </w:t>
      </w:r>
      <w:r>
        <w:rPr>
          <w:rFonts w:ascii="Times New Roman" w:hAnsi="Times New Roman"/>
          <w:color w:val="000000"/>
          <w:sz w:val="20"/>
        </w:rPr>
        <w:t>We see opportunities for the Proteograph Product Suite to be applied beyond human health research, including in animal health, model organism research, and industrial bioprocessing applications. The Proteograph workflow is compatible with multiple species, and we have observed customer adoption across a range of organisms, including mouse, non-human primate, canine, feline, avian, porcine, and bovine samples. In addition, we have seen increasing interest in the use of the Proteograph in bioprocessing applications, including host cell protein (HCP) analysis. In pilot studies, researchers combining the Proteograph workflow with liquid chromatography–mass spectrometry (LC-MS) identified 4 – 6x more HCPs for NIST monoclonal antibody compared to conventional LC-MS approaches, without additional sample preprocessing. We believe these applications demonstrate the versatility of the Proteograph Product Suite in addressing complex proteomic challenges across research, industrial, and applied settings.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Markets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compete in the approximately $30 billion proteomics market, which is estimated by Frost &amp; Sullivan to have spent approximately $17 billion on reagents and $13 billion on instruments in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currently sell and market the Proteograph Product Suite for research use only (RUO). However, we believe that the capabilities of the Proteograph Product Suite may enable other applications in the future, including clinical and applied applications. Like the commercial impact of broadened access to genomics products, we believe the Proteograph will enable novel applications and insights, leading to new end-markets. For example, non-invasive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Our Growth Strategy</w:t>
      </w:r>
    </w:p>
    <w:p>
      <w:pPr>
        <w:pStyle w:val="TextBody"/>
        <w:bidi w:val="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growth strategy is to:</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Expand our addressable market through new product innovation.</w:t>
      </w:r>
      <w:r>
        <w:rPr>
          <w:color w:val="000000"/>
        </w:rPr>
        <w:t xml:space="preserve"> </w:t>
      </w:r>
      <w:r>
        <w:rPr>
          <w:rFonts w:ascii="Times New Roman" w:hAnsi="Times New Roman"/>
          <w:color w:val="000000"/>
          <w:sz w:val="20"/>
        </w:rPr>
        <w:t>We aim to continuously innovate and develop new products, applications, workflows and analysis tools that create value across R&amp;D from discovery to clinical research. Our proprietary NPs and core Proteograph platform provide us the ability and flexibility to rapidly innovate, develop new products, and address the needs of researchers and clinicians across the R&amp;D value chain.</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Win additional population-scale cohort programs. </w:t>
      </w:r>
      <w:r>
        <w:rPr>
          <w:rFonts w:ascii="Times New Roman" w:hAnsi="Times New Roman"/>
          <w:color w:val="000000"/>
          <w:sz w:val="20"/>
        </w:rPr>
        <w:t>In 2025, we announced several population-scale studies to power deep, unbiased proteomics leveraging the Proteograph. For the first time, scientists will be able to generate peptide-level proteomic data from large-scale cohorts, which we believe will unlock new biological insights and help usher in the next era of multi-omics driven precision medicine. We are also engaged in discussions with additional key biobanks to enable population-scale proteomic studies using the Proteograph.</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Grow and drive utilization of our rapidly expanding installed base. </w:t>
      </w:r>
      <w:r>
        <w:rPr>
          <w:rFonts w:ascii="Times New Roman" w:hAnsi="Times New Roman"/>
          <w:color w:val="000000"/>
          <w:sz w:val="20"/>
        </w:rPr>
        <w:t>In 2025, we expanded our Proteograph installed base by more than 65% compared to 2024, with placements across academic, biopharma, and contract research organization customers. While we expect to continue growing our installed base, we are increasingly focused on driving higher utilization and consumable pull-through from existing customers. We plan to do so by working closely with customers to support their research objectives and by demonstrating the value of Proteograph-generated data, as reflected in a growing body of third-party scientific publications.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i/>
          <w:color w:val="000000"/>
          <w:sz w:val="20"/>
        </w:rPr>
        <w:t xml:space="preserve">Establish a leadership position as the preferred proteomic data platform for AI-driven biology. </w:t>
      </w:r>
      <w:r>
        <w:rPr>
          <w:rFonts w:ascii="Times New Roman" w:hAnsi="Times New Roman"/>
          <w:color w:val="000000"/>
          <w:sz w:val="20"/>
        </w:rPr>
        <w:t>As biological research continues to shift from focused, hypothesis-driven studies toward large-scale, data-driven discovery, next-generation biological foundation models increasingly require high-quality, scalable, and differentiated datasets to generate novel insights. With highly differentiated, peptide-resolution proteomic data generated from the Proteograph, we believe our platform is well positioned to support AI-driven biological discovery and precision medicine. We intend to pursue strategic ecosystem partnerships to enable the generation of new biological insights from large, multimodal datasets.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Commercial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continue to expand our third-party publications, enable unbiased and deep population-scale studies, and accelerate customer adoption of Proteograph. Our commercial strategy is focused on reducing friction for customers to access Proteograph data in support of their research. We continue to invest in and expand multiple access channels, including our direct sales organization, STAC services, centers of excellence service providers, international channel partners, and strategic commercial partnerships.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color w:val="000000"/>
          <w:sz w:val="20"/>
        </w:rPr>
        <w:t xml:space="preserve">Direct Sales: </w:t>
      </w:r>
      <w:r>
        <w:rPr>
          <w:rFonts w:ascii="Times New Roman" w:hAnsi="Times New Roman"/>
          <w:color w:val="000000"/>
          <w:sz w:val="20"/>
        </w:rPr>
        <w:t>In North America, the United Kingdom, select countries of the European Union, and the Asia Pacific, we have direct sales and customer experience personnel, including Regional Business Managers (RBM), Field Application Scientists and Field Service Engineers. In addition to these direct personnel, we have marketing, customer experience and technical support personnel located in our offices in Redwood City and San Diego, California.</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Additionally, to reduce customer capital investment barriers, we launched the Strategic Instrument Placement Program (SIPP) in 2023 to enable customer access to our Proteograph without the need for an upfront capital investment. With an upfront purchase of consumable kits, we loan the instrument for a defined period of time with an option to purchase at the end of the loan term. This is allowing customers to utilize available operating budget without the need to access capital budget in the short term.</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Seer Technology Access Center (STAC)</w:t>
      </w:r>
      <w:r>
        <w:rPr>
          <w:rFonts w:ascii="Times New Roman" w:hAnsi="Times New Roman"/>
          <w:color w:val="000000"/>
          <w:sz w:val="20"/>
        </w:rPr>
        <w:t>: In June 2023, we announced the formation of the STAC to provide access to our Proteograph workflow, coupled with Thermo Scientific</w:t>
      </w:r>
      <w:r>
        <w:rPr>
          <w:rFonts w:ascii="Times New Roman" w:hAnsi="Times New Roman"/>
          <w:color w:val="000000"/>
          <w:sz w:val="13"/>
        </w:rPr>
        <w:t>TM</w:t>
      </w:r>
      <w:r>
        <w:rPr>
          <w:rFonts w:ascii="Times New Roman" w:hAnsi="Times New Roman"/>
          <w:color w:val="000000"/>
          <w:sz w:val="20"/>
        </w:rPr>
        <w:t>Orbitrap</w:t>
      </w:r>
      <w:r>
        <w:rPr>
          <w:rFonts w:ascii="Times New Roman" w:hAnsi="Times New Roman"/>
          <w:color w:val="000000"/>
          <w:sz w:val="13"/>
        </w:rPr>
        <w:t>TM</w:t>
      </w:r>
      <w:r>
        <w:rPr>
          <w:color w:val="000000"/>
        </w:rPr>
        <w:t xml:space="preserve"> </w:t>
      </w:r>
      <w:r>
        <w:rPr>
          <w:rFonts w:ascii="Times New Roman" w:hAnsi="Times New Roman"/>
          <w:color w:val="000000"/>
          <w:sz w:val="20"/>
        </w:rPr>
        <w:t>Astral</w:t>
      </w:r>
      <w:r>
        <w:rPr>
          <w:rFonts w:ascii="Times New Roman" w:hAnsi="Times New Roman"/>
          <w:color w:val="000000"/>
          <w:sz w:val="13"/>
        </w:rPr>
        <w:t>TM</w:t>
      </w:r>
      <w:r>
        <w:rPr>
          <w:color w:val="000000"/>
        </w:rPr>
        <w:t xml:space="preserve"> </w:t>
      </w:r>
      <w:r>
        <w:rPr>
          <w:rFonts w:ascii="Times New Roman" w:hAnsi="Times New Roman"/>
          <w:color w:val="000000"/>
          <w:sz w:val="20"/>
        </w:rPr>
        <w:t>MS, on a fee-for-service basis. The STAC’s primary purpose is to lower the barriers to access for customers who want access to data produced by these technologies. In May 2024, we announced the opening of our second STAC location in Bonn, Germany, in partnership with LIFE &amp; BRAIN GmbH.</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Service Providers:</w:t>
      </w:r>
      <w:r>
        <w:rPr>
          <w:color w:val="000000"/>
        </w:rPr>
        <w:t xml:space="preserve"> </w:t>
      </w:r>
      <w:r>
        <w:rPr>
          <w:rFonts w:ascii="Times New Roman" w:hAnsi="Times New Roman"/>
          <w:color w:val="000000"/>
          <w:sz w:val="20"/>
        </w:rPr>
        <w:t>We have partnered with eight select service facilities and core labs globally to be service providers for the Proteograph. These customers provide fee-for-service capabilities that allow third-party customers to access proteomic data from the Proteograph Product Suite using their own samples. We expect that these COEs will actively promote the Proteograph solution and its capabilities, help us further raise awareness, and increase the accessibility of the Proteograph to a wider range of customers.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Channel Partners: </w:t>
      </w:r>
      <w:r>
        <w:rPr>
          <w:rFonts w:ascii="Times New Roman" w:hAnsi="Times New Roman"/>
          <w:color w:val="000000"/>
          <w:sz w:val="20"/>
        </w:rPr>
        <w:t>We continue to expand geographically to enable access in key international markets, including China, Australia, Eastern Europe, Israel, Japan, and South Africa. These partners will help educate, develop and expand the market for the Proteograph Product Suite in their respective regions.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Commercial Partnerships: </w:t>
      </w:r>
      <w:r>
        <w:rPr>
          <w:rFonts w:ascii="Times New Roman" w:hAnsi="Times New Roman"/>
          <w:color w:val="000000"/>
          <w:sz w:val="20"/>
        </w:rPr>
        <w:t>In 2025, we operationalized a co-marketing and sales agreement with Thermo Fisher Scientific, which is expanding and accelerating access to the best-in-class deep, unbiased proteomic workflow to life science researchers worldwide and create a seamless sample-to-data experience for customers. Additionally, we are collaborating with Thermo Fisher Scientific on marketing activities and joint research and population-scale studies.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Suppliers and Manufacturing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Consumables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lines and continue to build out our manufacturing capabilities to support the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Automation Instrument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designed the SP200 automation instrument and have outsourced its manufacturing to Hamilton Company, a leading manufacturer of automated liquid handling workstations. We entered a non-exclusive agreement with Hamilton that covers the manufacturing of the SP200 automation instrument and its continued supply on a purchase order basis.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Current companies that provide proteomics products include Agilent Technologies, Bio-Techne, Bruker, Danaher, DiaSorin, Illumina and Thermo Fisher Scientific. There are also a number of companies that provide proteomic analysis services. In addition, multiple emerging growth companies have developed, or are developing, proteomics products, services and solutions, such as Alamar Biosciences, Nautilus Biotechnology, Quanterix and Quantum-Si.</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In January 2024, FDA announced its plans to reclassify certain high-risk in vitro diagnostics, including companion diagnostics, as Class II devices.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medical devices, including IVDs, that are regulated by the FDA are also subject to the Quality Management System Regulation (QMSR), which went into effect on February 2, 2026, replacing the former Quality System Regulation, and incorporates by reference the quality management system requirements of ISO 13485:2016.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In May 2024, the FDA issued a final rule that phases out its enforcement discretion for most laboratory-developed tests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Further, the changes under the current, including new leadership at the FDA, reduced staff, funding for certain programs, and new executive and Congressional actions may result in new policies and regulations that can impact the compliance status of our products or that of our customers.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products become subject to FDA regulation as medical devices, we would need to invest significant time and resources to ensure ongoing compliance with FDA quality system regulations and other post-market regulatory requirements.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which replaced the IVD Directive, is significantly more extensive than the IVD Directive, including requirements on performance data and quality system, and went into application in May 2022. In 2025, the European Commission published its proposals on amendments to the IVDR as well as new transparency requirements.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future, to the extent we or our partners develop any medical devices subject to FDA regulation, failure to comply with applicable regulatory requirements can result in enforcement action by FDA, which may include warning letters, untitled letters, fines, injunctions, consent decrees, and civil penalties; withdrawal, administrative detention, refunds, recall or seizure of products; operating restrictions, partial suspension or total shutdown of production; refusing or delaying requests for 510(k) clearance, de novo authorization, or PMA approval of new products or modified products; withdrawing 510(k) clearance, de novo authorization, or PMA approvals already granted; refusal to grant export approvals; or criminal prosecution. Further, manufacturing, sales, promotion and other activities following medical device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A medical device may be marketed only for the indications for use for which it was approved or cleared. In addition to FDA restrictions on marketing of devices, several other types of state and federal laws have been applied to restrict certain marketing practices in the device industry. These laws include the federal Anti-Kickback Statute, False Claims Act, Civil Monetary Penalties, and CMS Open Payments, among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future, if we or our partners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further discussion of the risks we face relating to regulation, see the section titled “Risk factors—Risks related to our business and industry.”</w:t>
      </w:r>
    </w:p>
    <w:p>
      <w:pPr>
        <w:pStyle w:val="TextBody"/>
        <w:bidi w:val="0"/>
        <w:spacing w:before="0" w:after="18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we owned or exclusively licensed over 230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2023 and 2045, in each case without taking into account any possible patent term adjustments or extensions and assuming payment of all appropriate maintenance, renewal, annuity or other governmental fees.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2034 and 2037, in each case without taking into account any possible patent term adjustments or extensions and assuming payment of all appropriate maintenance, renewal, annuity, or other governmental fees.</w:t>
      </w:r>
    </w:p>
    <w:p>
      <w:pPr>
        <w:pStyle w:val="TextBody"/>
        <w:bidi w:val="0"/>
        <w:spacing w:before="0" w:after="180"/>
        <w:jc w:val="left"/>
        <w:rPr>
          <w:rFonts w:ascii="Times New Roman" w:hAnsi="Times New Roman"/>
          <w:sz w:val="20"/>
        </w:rPr>
      </w:pPr>
      <w:r>
        <w:rPr>
          <w:rFonts w:ascii="Times New Roman" w:hAnsi="Times New Roman"/>
          <w:color w:val="000000"/>
          <w:sz w:val="20"/>
        </w:rPr>
        <w:t>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hAnsi="Times New Roman"/>
          <w:i/>
          <w:color w:val="000000"/>
          <w:sz w:val="20"/>
        </w:rPr>
        <w:t>Business —Collaboration and License Agreements.”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hAnsi="Times New Roman"/>
          <w:i/>
          <w:color w:val="000000"/>
          <w:sz w:val="20"/>
        </w:rPr>
        <w:t>Risk factors—Risks Related to our Intellectual Property.”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0" w:after="180"/>
        <w:jc w:val="left"/>
        <w:rPr>
          <w:rFonts w:ascii="Times New Roman" w:hAnsi="Times New Roman"/>
          <w:sz w:val="20"/>
        </w:rPr>
      </w:pPr>
      <w:r>
        <w:rPr>
          <w:rFonts w:ascii="Times New Roman" w:hAnsi="Times New Roman"/>
          <w:b/>
          <w:i/>
          <w:color w:val="000000"/>
          <w:sz w:val="20"/>
        </w:rPr>
        <w:t>The Brigham and Women’s Hospital</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PrognomiQ</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Scientific Advisory Board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assembled a highly-qualified scientific advisory board composed of advisors who have deep expertise in the fields of nanotechnology, proteomics, genomics, medicine, regulatory compliance and data science. Our scientific advisory board is composed of Robert Langer, Sc.D., Charles Cantor, Ph.D., Joshua Coon, Ph.D., Luis Diaz, M.D., Vivek Farias, Ph.D., Chris Mason, Ph.D., Mark McClellan, Ph.D., Gary Patti, Ph.D., Jennifer Van Eyk, Ph.D., M.D., and Bruce Wilcox, Ph.D.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employees are guided by our mission to imagine and pioneer news ways to decode the biology of the proteome to improve human health. Our core values Better Together, Customer Centric, Difference Makers, People First and Trailblazers guide us toward achieving our mission. Our core values set the foundation for how we conduct business, interact with each other and our customers and evaluate employee performance.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2025, we had 124 employees based in North America, the European Union and the United Kingdom. Many of our employees are highly educated, holding masters and doctorate degrees. None of our employees is represented by a labor union or covered under a collective bargaining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to increase stockholder value and the success of our company by motivating such individuals to perform to the best of their abilities and achieve our objectives.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Corporate Information and History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Published studies referenced throughout this Annual Report are cited below. These studies are not a part of this prospectus and are not incorporated by reference in this Annual Report.</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Backman, J.D. </w:t>
      </w:r>
      <w:r>
        <w:rPr>
          <w:rFonts w:ascii="Times New Roman" w:hAnsi="Times New Roman"/>
          <w:i/>
          <w:color w:val="000000"/>
          <w:sz w:val="20"/>
        </w:rPr>
        <w:t>et al</w:t>
      </w:r>
      <w:r>
        <w:rPr>
          <w:rFonts w:ascii="Times New Roman" w:hAnsi="Times New Roman"/>
          <w:color w:val="000000"/>
          <w:sz w:val="20"/>
        </w:rPr>
        <w:t xml:space="preserve">. Exome sequencing and analysis of 454,787 UK Biobank participants. </w:t>
      </w:r>
      <w:r>
        <w:rPr>
          <w:rFonts w:ascii="Times New Roman" w:hAnsi="Times New Roman"/>
          <w:i/>
          <w:color w:val="000000"/>
          <w:sz w:val="20"/>
        </w:rPr>
        <w:t>Nature</w:t>
      </w:r>
      <w:r>
        <w:rPr>
          <w:rFonts w:ascii="Times New Roman" w:hAnsi="Times New Roman"/>
          <w:color w:val="000000"/>
          <w:sz w:val="20"/>
        </w:rPr>
        <w:t xml:space="preserve"> 599, 628–634 (2021).</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Beimers W, Overmyer K, </w:t>
      </w:r>
      <w:r>
        <w:rPr>
          <w:rFonts w:ascii="Times New Roman" w:hAnsi="Times New Roman"/>
          <w:i/>
          <w:color w:val="000000"/>
          <w:sz w:val="20"/>
        </w:rPr>
        <w:t>et al</w:t>
      </w:r>
      <w:r>
        <w:rPr>
          <w:rFonts w:ascii="Times New Roman" w:hAnsi="Times New Roman"/>
          <w:color w:val="000000"/>
          <w:sz w:val="20"/>
        </w:rPr>
        <w:t xml:space="preserve">. Technical Evaluation of Plasma Proteomics Technologies. </w:t>
      </w:r>
      <w:r>
        <w:rPr>
          <w:rFonts w:ascii="Times New Roman" w:hAnsi="Times New Roman"/>
          <w:i/>
          <w:color w:val="000000"/>
          <w:sz w:val="20"/>
        </w:rPr>
        <w:t>J. Proteome Res</w:t>
      </w:r>
      <w:r>
        <w:rPr>
          <w:rFonts w:ascii="Times New Roman" w:hAnsi="Times New Roman"/>
          <w:color w:val="000000"/>
          <w:sz w:val="20"/>
        </w:rPr>
        <w:t>. 2025, 24, 6, 3074–3087.</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Bludau, I. </w:t>
      </w:r>
      <w:r>
        <w:rPr>
          <w:rFonts w:ascii="Times New Roman" w:hAnsi="Times New Roman"/>
          <w:i/>
          <w:color w:val="000000"/>
          <w:sz w:val="20"/>
        </w:rPr>
        <w:t>et al</w:t>
      </w:r>
      <w:r>
        <w:rPr>
          <w:rFonts w:ascii="Times New Roman" w:hAnsi="Times New Roman"/>
          <w:color w:val="000000"/>
          <w:sz w:val="20"/>
        </w:rPr>
        <w:t xml:space="preserve">. Proteomic and interactomic insights into the molecular basis of cell functional diversity. </w:t>
      </w:r>
      <w:r>
        <w:rPr>
          <w:rFonts w:ascii="Times New Roman" w:hAnsi="Times New Roman"/>
          <w:i/>
          <w:color w:val="000000"/>
          <w:sz w:val="20"/>
        </w:rPr>
        <w:t>Nat Rev Molec Cell Biol</w:t>
      </w:r>
      <w:r>
        <w:rPr>
          <w:rFonts w:ascii="Times New Roman" w:hAnsi="Times New Roman"/>
          <w:color w:val="000000"/>
          <w:sz w:val="20"/>
        </w:rPr>
        <w:t>21, 327–340 (2020).</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Blume, J.E. </w:t>
      </w:r>
      <w:r>
        <w:rPr>
          <w:rFonts w:ascii="Times New Roman" w:hAnsi="Times New Roman"/>
          <w:i/>
          <w:color w:val="000000"/>
          <w:sz w:val="20"/>
        </w:rPr>
        <w:t>et al</w:t>
      </w:r>
      <w:r>
        <w:rPr>
          <w:rFonts w:ascii="Times New Roman" w:hAnsi="Times New Roman"/>
          <w:color w:val="000000"/>
          <w:sz w:val="20"/>
        </w:rPr>
        <w:t xml:space="preserve">. Rapid, deep and precise profiling of the plasma proteome with multi-nanoparticle protein corona. </w:t>
      </w:r>
      <w:r>
        <w:rPr>
          <w:rFonts w:ascii="Times New Roman" w:hAnsi="Times New Roman"/>
          <w:i/>
          <w:color w:val="000000"/>
          <w:sz w:val="20"/>
        </w:rPr>
        <w:t>Nat. Commun.</w:t>
      </w:r>
      <w:r>
        <w:rPr>
          <w:rFonts w:ascii="Times New Roman" w:hAnsi="Times New Roman"/>
          <w:color w:val="000000"/>
          <w:sz w:val="20"/>
        </w:rPr>
        <w:t xml:space="preserve"> 11 (2020).</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Ferdosi, S. </w:t>
      </w:r>
      <w:r>
        <w:rPr>
          <w:rFonts w:ascii="Times New Roman" w:hAnsi="Times New Roman"/>
          <w:i/>
          <w:color w:val="000000"/>
          <w:sz w:val="20"/>
        </w:rPr>
        <w:t>et al</w:t>
      </w:r>
      <w:r>
        <w:rPr>
          <w:rFonts w:ascii="Times New Roman" w:hAnsi="Times New Roman"/>
          <w:color w:val="000000"/>
          <w:sz w:val="20"/>
        </w:rPr>
        <w:t xml:space="preserve">. Engineered nanoparticles enable deep proteomic studies at scale by leveraging tunable nano-bio interactions. </w:t>
      </w:r>
      <w:r>
        <w:rPr>
          <w:rFonts w:ascii="Times New Roman" w:hAnsi="Times New Roman"/>
          <w:i/>
          <w:color w:val="000000"/>
          <w:sz w:val="20"/>
        </w:rPr>
        <w:t>PNAS</w:t>
      </w:r>
      <w:r>
        <w:rPr>
          <w:rFonts w:ascii="Times New Roman" w:hAnsi="Times New Roman"/>
          <w:color w:val="000000"/>
          <w:sz w:val="20"/>
        </w:rPr>
        <w:t>. 119(11) (2022).</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Ferdosi, S. </w:t>
      </w:r>
      <w:r>
        <w:rPr>
          <w:rFonts w:ascii="Times New Roman" w:hAnsi="Times New Roman"/>
          <w:i/>
          <w:color w:val="000000"/>
          <w:sz w:val="20"/>
        </w:rPr>
        <w:t>et al</w:t>
      </w:r>
      <w:r>
        <w:rPr>
          <w:rFonts w:ascii="Times New Roman" w:hAnsi="Times New Roman"/>
          <w:color w:val="000000"/>
          <w:sz w:val="20"/>
        </w:rPr>
        <w:t xml:space="preserve">. Enhanced competition at the nano-bio interface enables comprehensive characterization of protein corona dynamics and deep coverage of proteomes. </w:t>
      </w:r>
      <w:r>
        <w:rPr>
          <w:rFonts w:ascii="Times New Roman" w:hAnsi="Times New Roman"/>
          <w:i/>
          <w:color w:val="000000"/>
          <w:sz w:val="20"/>
        </w:rPr>
        <w:t>Advanced Materials</w:t>
      </w:r>
      <w:r>
        <w:rPr>
          <w:rFonts w:ascii="Times New Roman" w:hAnsi="Times New Roman"/>
          <w:color w:val="000000"/>
          <w:sz w:val="20"/>
        </w:rPr>
        <w:t>. 34, 2206008 (2022).</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Olinger, B., Banarjee, R., Dey, A. </w:t>
      </w:r>
      <w:r>
        <w:rPr>
          <w:rFonts w:ascii="Times New Roman" w:hAnsi="Times New Roman"/>
          <w:i/>
          <w:color w:val="000000"/>
          <w:sz w:val="20"/>
        </w:rPr>
        <w:t>et al.</w:t>
      </w:r>
      <w:r>
        <w:rPr>
          <w:rFonts w:ascii="Times New Roman" w:hAnsi="Times New Roman"/>
          <w:color w:val="000000"/>
          <w:sz w:val="20"/>
        </w:rPr>
        <w:t xml:space="preserve"> The secretome of senescent monocytes predicts age-related clinical outcomes in humans. </w:t>
      </w:r>
      <w:r>
        <w:rPr>
          <w:rFonts w:ascii="Times New Roman" w:hAnsi="Times New Roman"/>
          <w:i/>
          <w:color w:val="000000"/>
          <w:sz w:val="20"/>
        </w:rPr>
        <w:t>Nat Aging</w:t>
      </w:r>
      <w:r>
        <w:rPr>
          <w:rFonts w:ascii="Times New Roman" w:hAnsi="Times New Roman"/>
          <w:color w:val="000000"/>
          <w:sz w:val="20"/>
        </w:rPr>
        <w:t xml:space="preserve"> 5, 1266–1279 (2025).</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Pietzner, M. </w:t>
      </w:r>
      <w:r>
        <w:rPr>
          <w:rFonts w:ascii="Times New Roman" w:hAnsi="Times New Roman"/>
          <w:i/>
          <w:color w:val="000000"/>
          <w:sz w:val="20"/>
        </w:rPr>
        <w:t>et al</w:t>
      </w:r>
      <w:r>
        <w:rPr>
          <w:rFonts w:ascii="Times New Roman" w:hAnsi="Times New Roman"/>
          <w:color w:val="000000"/>
          <w:sz w:val="20"/>
        </w:rPr>
        <w:t xml:space="preserve">. Synergistic insights into human health from aptamer- and antibody-based proteomic profiling. </w:t>
      </w:r>
      <w:r>
        <w:rPr>
          <w:rFonts w:ascii="Times New Roman" w:hAnsi="Times New Roman"/>
          <w:i/>
          <w:color w:val="000000"/>
          <w:sz w:val="20"/>
        </w:rPr>
        <w:t xml:space="preserve">Nat Commun. </w:t>
      </w:r>
      <w:r>
        <w:rPr>
          <w:rFonts w:ascii="Times New Roman" w:hAnsi="Times New Roman"/>
          <w:color w:val="000000"/>
          <w:sz w:val="20"/>
        </w:rPr>
        <w:t>12, 6822 (2021).</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M Pietzner, A. Williamson </w:t>
      </w:r>
      <w:r>
        <w:rPr>
          <w:rFonts w:ascii="Times New Roman" w:hAnsi="Times New Roman"/>
          <w:i/>
          <w:color w:val="000000"/>
          <w:sz w:val="20"/>
        </w:rPr>
        <w:t>et. al</w:t>
      </w:r>
      <w:r>
        <w:rPr>
          <w:rFonts w:ascii="Times New Roman" w:hAnsi="Times New Roman"/>
          <w:color w:val="000000"/>
          <w:sz w:val="20"/>
        </w:rPr>
        <w:t>. Nanoparticle enriched mass spectrometry proteomics in British South Asians identifies novel variant-protein-disease mechanisms. (bioRxiv).</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Suhre, K. </w:t>
      </w:r>
      <w:r>
        <w:rPr>
          <w:rFonts w:ascii="Times New Roman" w:hAnsi="Times New Roman"/>
          <w:i/>
          <w:color w:val="000000"/>
          <w:sz w:val="20"/>
        </w:rPr>
        <w:t>et al</w:t>
      </w:r>
      <w:r>
        <w:rPr>
          <w:rFonts w:ascii="Times New Roman" w:hAnsi="Times New Roman"/>
          <w:color w:val="000000"/>
          <w:sz w:val="20"/>
        </w:rPr>
        <w:t xml:space="preserve">. Nanoparticle enrichment mass-spectrometry proteomics identifies protein-altering variants for precise pQTL mapping. </w:t>
      </w:r>
      <w:r>
        <w:rPr>
          <w:rFonts w:ascii="Times New Roman" w:hAnsi="Times New Roman"/>
          <w:i/>
          <w:color w:val="000000"/>
          <w:sz w:val="20"/>
        </w:rPr>
        <w:t>Nat Commun,</w:t>
      </w:r>
      <w:r>
        <w:rPr>
          <w:rFonts w:ascii="Times New Roman" w:hAnsi="Times New Roman"/>
          <w:color w:val="000000"/>
          <w:sz w:val="20"/>
        </w:rPr>
        <w:t xml:space="preserve"> 15, 989 (2024).</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Suhre, K., Chen, Q., Halama, A. </w:t>
      </w:r>
      <w:r>
        <w:rPr>
          <w:rFonts w:ascii="Times New Roman" w:hAnsi="Times New Roman"/>
          <w:i/>
          <w:color w:val="000000"/>
          <w:sz w:val="20"/>
        </w:rPr>
        <w:t>et al.</w:t>
      </w:r>
      <w:r>
        <w:rPr>
          <w:rFonts w:ascii="Times New Roman" w:hAnsi="Times New Roman"/>
          <w:color w:val="000000"/>
          <w:sz w:val="20"/>
        </w:rPr>
        <w:t xml:space="preserve"> A genome-wide association study of mass spectrometry proteomics using a nanoparticle enrichment platform. </w:t>
      </w:r>
      <w:r>
        <w:rPr>
          <w:rFonts w:ascii="Times New Roman" w:hAnsi="Times New Roman"/>
          <w:i/>
          <w:color w:val="000000"/>
          <w:sz w:val="20"/>
        </w:rPr>
        <w:t>Nat Genet</w:t>
      </w:r>
      <w:r>
        <w:rPr>
          <w:rFonts w:ascii="Times New Roman" w:hAnsi="Times New Roman"/>
          <w:color w:val="000000"/>
          <w:sz w:val="20"/>
        </w:rPr>
        <w:t xml:space="preserve"> </w:t>
      </w:r>
      <w:r>
        <w:rPr>
          <w:rFonts w:ascii="Times New Roman" w:hAnsi="Times New Roman"/>
          <w:b/>
          <w:color w:val="000000"/>
          <w:sz w:val="20"/>
        </w:rPr>
        <w:t>57</w:t>
      </w:r>
      <w:r>
        <w:rPr>
          <w:rFonts w:ascii="Times New Roman" w:hAnsi="Times New Roman"/>
          <w:color w:val="000000"/>
          <w:sz w:val="20"/>
        </w:rPr>
        <w:t>, 2987–2996 (2025).</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Yang X. </w:t>
      </w:r>
      <w:r>
        <w:rPr>
          <w:rFonts w:ascii="Times New Roman" w:hAnsi="Times New Roman"/>
          <w:i/>
          <w:color w:val="000000"/>
          <w:sz w:val="20"/>
        </w:rPr>
        <w:t>et al</w:t>
      </w:r>
      <w:r>
        <w:rPr>
          <w:rFonts w:ascii="Times New Roman" w:hAnsi="Times New Roman"/>
          <w:color w:val="000000"/>
          <w:sz w:val="20"/>
        </w:rPr>
        <w:t xml:space="preserve">. Widespread Expansion of Protein Interaction Capabilities by Alternative Splicing. </w:t>
      </w:r>
      <w:r>
        <w:rPr>
          <w:rFonts w:ascii="Times New Roman" w:hAnsi="Times New Roman"/>
          <w:i/>
          <w:color w:val="000000"/>
          <w:sz w:val="20"/>
        </w:rPr>
        <w:t xml:space="preserve">Cell. </w:t>
      </w:r>
      <w:r>
        <w:rPr>
          <w:rFonts w:ascii="Times New Roman" w:hAnsi="Times New Roman"/>
          <w:color w:val="000000"/>
          <w:sz w:val="20"/>
        </w:rPr>
        <w:t>164(4):805-17 (2016).</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bookmarkStart w:id="5" w:name="item_1a_risk_factors"/>
      <w:bookmarkEnd w:id="5"/>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 commercial-stage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able to commercialize the Proteograph Product Suite as planned;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commercialization success depends on broad scientific and market acceptance of the Proteograph, which we may fail to achieve;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could adversely impact our business and operations;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are unable to identify and recruit qualified employees, and retain or maintain our employee base, it may adversely impact our business and operations; and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a commercial-stage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 commercial-stage life sciences technology company, and we have incurred significant losses since we were formed in 2017, and expect to continue to incur losses in the future. We incurred net losses of $73.6 million and $86.6 million in 2025 and 2024, respectively. As of December 31, 2025, we had an accumulated deficit of $466.0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commercialization stage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commercialization stage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grow revenue generated from sales of the Proteograph Product Suite on our anticipated timeline;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offer high-quality services, including customer service;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the Proteograph Product Suite, including our SP100 or SP200 automation instrument, proprietary engineered nanoparticle (NP) technology and Proteograph Analysis Suite software, which may change from time to time;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demand for any products we are able to commercialize, particularly the Proteograph Product Suite, which may vary significantly from period to period;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adoption of the Proteograph in our target markets and our ability to expand into any future target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 with third-party distributorships, the quantity of our products they elect to hold in inventory, and their ability to promote and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at which we will be able to sell the Proteograph Product Suite and related services;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volume and mix of our sales between the Proteograph Product Suite and associated consumables, or changes in the manufacturing or sales costs related to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length of time and unpredictable nature of the sales cycle;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lead time needed to procure SP100 and SP200 automation instruments from our third-party contract manufacturer;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sales force, which if less than anticipated, could significantly impair our ability to generate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of customers to exercise Proteograph purchase options;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and efficient use of our financial and other resources, including the timing and amount of expenditures that we may incur to develop, commercialize or acquire additional products and technologies or for other purposes, such as share repurchases, investments or the expansion of our facilities;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and budget cycles;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seasonal spending patterns and the ability to collect on the accounts receivable of our customers;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of when we recognize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accounting pronouncements, changes in accounting rules and regulations, or modifications to our accounting policies;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outcome of any future litigation or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higher than anticipated service, replacement and warranty costs;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impact of health epidemics on the economy, investment in life sciences and research industries, our business operations, and resources and operations of our customers, suppliers, and distributors;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supply chain interruptions;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industry, economic and market conditions such as inflation, tariffs and trade relations, interest rates, government shutdowns, bank failures and other factors, including factors unrelated to our operating performance or the operating performance of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The size of the markets for the Proteograph Product Suite may be smaller or different from estimated, and new market opportunities may not develop as quickly as we expect, or at all, limiting our ability to successfully sell our products.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including as a result of the impact of artificial intelligence (AI).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in the commercialization stage, and we may not be able to commercialize the Proteograph Product Suite as planned.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undertaken the broad commercialization of the Proteograph Product Suite and related products and services, and we may not be able to successfully execute on this phase as planned due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inability to establish the capabilities and value proposition of the Proteograph Product Suite with key opinion leaders and other customers in a timely fashion;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changing industry or market conditions, customer requirements or competitor offerings during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continuing the build-out of our sales, customer support and marketing organization as needed for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ramping up manufacturing, either internally or through our suppliers, to meet the expected demand for broad commercialization;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broad commercialization plan is unsuccessful, our financial results will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ability to achieve and maintain scientific and commercial market acceptance of the Proteograph Product Suite will depend on a number of factors. We believe that the Proteograph is subject to the market forces and adoption curves common to other new technologies. The market for novel proteomics technologies and products is in its early stages of development. If widespread adoption of the Proteograph takes longer than anticipated, or broad scientific and market acceptance does not occur, we will continue to experience operating losses.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factors in achieving commercial market acceptance, include: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market and increase awareness of the capabilities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of the Proteograph Product Suite to perform intended use applications broadly in the hands of customers;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customers’ willingness to adopt new products and workflows;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Proteograph’s ease of use and whether it reliably provides advantages over other alternative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rate of adoption of the Proteograph Product Suite by academic institutions,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we charge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new products, services and solutions that achieve commercial market acceptance;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competitors develop and commercialize products that perform similar functions as the Proteograph;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our investments in product innovation and commercial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sales force is less successful than anticipated, we may not be successful in commercializing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limited experience as a company in sales and marketing and our ability to successfully commercialize and grow our revenue depends on our being able to attract customers for the Proteograph Product Suite. Although members of our management team have considerable industry experience, we need to enhance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face a number of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attract, retain and manage the sales, marketing and customer service and support force necessary to commercialize and gain market acceptance for our technology;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time and cost of establishing a specialized sales, marketing and customer service and support force;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marketing and customer service and support force may be unable to execute successful commercialization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the Proteograph Product Suite is successfully commercialized and achieves broad scientific and market acceptance, if we fail to improve it or introduce compelling new products and services, our revenues and our prospects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Health epidemics could adversely impact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reductions in capacity or shutdowns of laboratories and other institutions as well as reduced or delayed spending on instruments and consumables as a result of shutdowns and delays;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and SP200 automation instruments, Hamilton Company, and could worsen over time. Any of these occurrences, and any new epidemics, could significantly harm our business, results of operations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Unfavorable U.S. or global economic conditions could adversely affect our ability to raise capital and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government shutdowns or bank failures could strain our customers’ budgets or cause delays in their payments to us. Additionally, there is ongoing uncertainty regarding the current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sustain or successfully manage our growth or financial resources, our business and prospects will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depend on our key personnel and other highly qualified personnel, and if we are unable to recruit, train and retain our personnel, we may not achieve our goals.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including with respect to H-1B visas, could restrain the flow of technical and professional talent into the United States and may inhibit our ability to hire qualified personnel.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expect to be dependent upon revenue generated from the sale of the Proteograph Product Suite and related services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including as a result of AI,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new versions of or enhancements to the Proteograph Product Suite or new products or product enhancements would have a substantial adverse effect on our business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sales have been concentrated in a small number of customers.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are executing on our commercialization plan and our revenues have been concentrated in a relatively small number of customers, including a related party, PrognomiQ. For the years ended December 31, 2025 and 2024, PrognomiQ accounted for 5% and 17%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hAnsi="Times New Roman"/>
          <w:i/>
          <w:color w:val="000000"/>
          <w:sz w:val="20"/>
        </w:rPr>
        <w:t>- Revenue and Deferred Revenue</w:t>
      </w:r>
      <w:r>
        <w:rPr>
          <w:rFonts w:ascii="Times New Roman" w:hAnsi="Times New Roman"/>
          <w:color w:val="000000"/>
          <w:sz w:val="20"/>
        </w:rPr>
        <w:t xml:space="preserve"> and Note 11 - </w:t>
      </w:r>
      <w:r>
        <w:rPr>
          <w:rFonts w:ascii="Times New Roman" w:hAnsi="Times New Roman"/>
          <w:i/>
          <w:color w:val="000000"/>
          <w:sz w:val="20"/>
        </w:rPr>
        <w:t xml:space="preserve">Related Party Transactions </w:t>
      </w:r>
      <w:r>
        <w:rPr>
          <w:rFonts w:ascii="Times New Roman" w:hAnsi="Times New Roman"/>
          <w:color w:val="000000"/>
          <w:sz w:val="20"/>
        </w:rPr>
        <w:t>to our notes to financial statements included in Part I, Item 1, herein for further information regarding our relationship with PrognomiQ.</w:t>
      </w:r>
    </w:p>
    <w:p>
      <w:pPr>
        <w:pStyle w:val="TextBody"/>
        <w:bidi w:val="0"/>
        <w:spacing w:before="0" w:after="180"/>
        <w:jc w:val="left"/>
        <w:rPr>
          <w:rFonts w:ascii="Times New Roman" w:hAnsi="Times New Roman"/>
          <w:sz w:val="20"/>
        </w:rPr>
      </w:pPr>
      <w:r>
        <w:rPr>
          <w:rFonts w:ascii="Times New Roman" w:hAnsi="Times New Roman"/>
          <w:b/>
          <w:i/>
          <w:color w:val="000000"/>
          <w:sz w:val="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strategy and funding by commercial companies in their efforts around therapeutic and diagnostic product development and their adoption and use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opinions in the scientific community, including researchers’ opinions of the utility of the Proteograph solution;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citation of the Proteograph Product Suite in published research;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 changes in the regulatory environment;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differences in budgetary cycles, especially government- or grant-funded customers, whose cycles often coincide with government fiscal year ends;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 product or service offerings or pricing;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market-driven pressures to consolidate operations and reduce costs;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 acceptance of relatively new technologies, such as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In addition, recent shutdowns of the federal government have halted the flow of government research funding, including from the NIH, for a significant period. There is no guarantee that NIH appropriations will not be halted or decreased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limited experience producing and supplying our products, and we may be unable to consistently manufacture or source our SP100 and SP200 automation instruments and consumables to the necessary specifications or in quantities necessary to meet demand on a timely basis and at acceptable performance and cost levels.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and SP200 automation instruments so that they consistently achieve the product specifications and produce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and SP200 automation instruments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Proteograph Product Suite contains defects, we may experience: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failure to achieve market acceptance for the Proteograph or expansion of the Proteograph Product Suite sales;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increased warranty and customer service and support costs due to product repair or replacement;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to our service department;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and will continue to spend significant amounts of effort continuing to develop our software to meet our customers’ and potential customers’ evolving needs, including as a result of AI.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Engaging in international business inherently involves a number of difficulties and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U.S. laws such as the U.S. Foreign Corrupt Practices Act (FCPA), and other U.S. federal laws and regulations, including with respect to not doing business with sanctioned parties, as prohibited by the office of Foreign Asset Control;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export requirements and import or trade restrictions, including, without limitation, with respect to biological samples, and trade retaliation laws;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potentially adverse consequences associated with tariffs, changes in trade restrictions or relationships, potential retaliatory tariffs and actions from other countries, customs charges, bureaucratic requirements, and other trade barriers;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protecting, maintaining, enforcing or procuring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life sciences technology market is highly competitive. If we fail to compete effectively, our business and results of operations will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Illumina and Thermo Fisher Scientific. We also compete with a number of companies that have developed, or are developing, proteomic products and solutions, such as Alamar Biosciences, Nautilus Biotechnology, Quanterix, and Quantum-Si.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our current competitors are large publicly-traded companies, or are divisions of large publicly-traded companies, and may enjoy a number of competitive advantages over us,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name and brand recognition;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financial and human resources;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broader product lines;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sales forces and more established distributor networks;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 intellectual property portfolios;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and more established customer bases and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better established, larger scale and lower cost manufacturing capabilities.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pStyle w:val="TextBody"/>
        <w:bidi w:val="0"/>
        <w:spacing w:before="0" w:after="180"/>
        <w:jc w:val="left"/>
        <w:rPr>
          <w:rFonts w:ascii="Times New Roman" w:hAnsi="Times New Roman"/>
          <w:sz w:val="20"/>
        </w:rPr>
      </w:pPr>
      <w:r>
        <w:rPr>
          <w:rFonts w:ascii="Times New Roman" w:hAnsi="Times New Roman"/>
          <w:color w:val="000000"/>
          <w:sz w:val="20"/>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including through the use of AI</w:t>
      </w:r>
      <w:r>
        <w:rPr>
          <w:rFonts w:ascii="Times New Roman" w:hAnsi="Times New Roman"/>
          <w:color w:val="000000"/>
          <w:sz w:val="20"/>
          <w:u w:val="single"/>
        </w:rPr>
        <w:t>,</w:t>
      </w:r>
      <w:r>
        <w:rPr>
          <w:rFonts w:ascii="Times New Roman" w:hAnsi="Times New Roman"/>
          <w:color w:val="000000"/>
          <w:sz w:val="20"/>
        </w:rPr>
        <w:t xml:space="preserve">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our sales and marketing and other commercialization efforts to drive market adoption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funding development and marketing efforts of the Proteograph Product Suite or any other future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expanding our technologies into additional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licensing or investing in technologies and other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or investing in complementary businesses or assets;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and cost of research and development activities associated with, products in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realize the benefits of PrognomiQ as a separate healthcare company in the area of disease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 In July 2025, the Company made an additional $1.9 million investment in the same series. Subsequently, in January 2026, the Company made an additional $1.5 million investment in the same series.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we held approximately 24% of the outstanding capital stock of PrognomiQ. We may not realize the potential benefits of forming PrognomiQ for a variety of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be unable to successfully develop viable testing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PrognomiQ’s business may not help demonstrate the value of the Proteograph;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an inability to reach agreement with PrognomiQ on future commercial arrangements;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need to raise additional funding in the future and be unable to do so;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formation of PrognomiQ and our continuing equity position in PrognomiQ may add complexities to our business from a finance, tax and accounting perspective.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Financial Reporting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2025,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Regulatory Compliance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applicable requirements under FDA’s QMSR,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hAnsi="Times New Roman"/>
          <w:i/>
          <w:color w:val="000000"/>
          <w:sz w:val="20"/>
        </w:rPr>
        <w:t>de novo</w:t>
      </w:r>
      <w:r>
        <w:rPr>
          <w:rFonts w:ascii="Times New Roman" w:hAnsi="Times New Roman"/>
          <w:color w:val="000000"/>
          <w:sz w:val="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sought and received regulatory clearance or approval for certain of our products, we would be subject to ongoing FDA obligations and continued regulatory oversight and review, including the general controls listed above and the FDA’s QMSR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(MDR) and In Vitro Diagnostic Regulation 2017/746 (IVDR), which came into force in 2021 and 2022, respectively. In 2025, the European Commission published its proposals on amendments to the MDR and IVDR as well as new transparency requirements.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before="0" w:after="180"/>
        <w:jc w:val="left"/>
        <w:rPr>
          <w:rFonts w:ascii="Times New Roman" w:hAnsi="Times New Roman"/>
          <w:sz w:val="20"/>
        </w:rPr>
      </w:pPr>
      <w:r>
        <w:rPr>
          <w:rFonts w:ascii="Times New Roman" w:hAnsi="Times New Roman"/>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case that established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rules and policies of the FDA. We cannot predict the outcome of these judicial challenges or how Congress or the FDA will regulate products in our industry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potential government shutdowns, layoffs and staff departures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to research and federal agencies, layoffs at federal agencies, hiring freezes, return-to-office policies, the current government shutdown, lapse in government appropriations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applications by the USPTO, which could delay the issuance of any U.S. patents to which we might otherwise be entitled.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Issued patents covering our products or services could be found invalid or unenforceable if challenged.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hAnsi="Times New Roman"/>
          <w:i/>
          <w:color w:val="000000"/>
          <w:sz w:val="20"/>
        </w:rPr>
        <w:t>ex 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and equivalent proceedings in non-U.S. jurisdictions, such as opposition proceedings. For example, on October 7, 2024, PreOmics GmbH and Biognosys AG filed a petition for </w:t>
      </w:r>
      <w:r>
        <w:rPr>
          <w:rFonts w:ascii="Times New Roman" w:hAnsi="Times New Roman"/>
          <w:i/>
          <w:color w:val="000000"/>
          <w:sz w:val="20"/>
        </w:rPr>
        <w:t>Inter Partes</w:t>
      </w:r>
      <w:r>
        <w:rPr>
          <w:rFonts w:ascii="Times New Roman" w:hAnsi="Times New Roman"/>
          <w:color w:val="000000"/>
          <w:sz w:val="20"/>
        </w:rPr>
        <w:t xml:space="preserve"> Review before the USPTO (Case No. IPR2024-01473), challenging the validity of select claims of U.S. Patent No. 11,435,360, (the 360 patent), which is exclusively licensed from The Brigham and Women’s Hospital, Inc. (BWH); and on April 17, 2025, the Patent Trial and Appeal Board (PTAB) of the USPTO instituted </w:t>
      </w:r>
      <w:r>
        <w:rPr>
          <w:rFonts w:ascii="Times New Roman" w:hAnsi="Times New Roman"/>
          <w:i/>
          <w:color w:val="000000"/>
          <w:sz w:val="20"/>
        </w:rPr>
        <w:t xml:space="preserve">Inter Partes </w:t>
      </w:r>
      <w:r>
        <w:rPr>
          <w:rFonts w:ascii="Times New Roman" w:hAnsi="Times New Roman"/>
          <w:color w:val="000000"/>
          <w:sz w:val="20"/>
        </w:rPr>
        <w:t>Review of certain claims. The petition alleges, among other things, the challenged claims are invalid for anticipation or obviousness over the prior art. In Germany, an anonymous third party initiated a nullity action against European Patent EP3554681 and a cancellation request against Utility Model No. 202017007363 on November 18, 2024 and January 13, 2025, respectively, which patents are exclusively licensed from BWH. These actions allege, among other things, that the patents are invalid for lack of novelty and inventive step over the prior art. Furthermore, on May 27, 2025, an anonymous third party filed an Opposition to European Patent 4,056,263, which is exclusively licensed from BWH, alleging, among other things, that the patent is invalid for lack of novelty and inventive step.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technology could be materially adversely affected and our business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relied and expect to rely heavily on trade secrets and confidentiality agreements to protect our unpatented know-how, technology and other proprietary and confidential information, including parts of the Proteograph Product Suite and related services,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in and between academia and industry.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services and technologies, including the Proteograph Product Suite for an adequate amount of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the United States owned by a third party directed to methods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or other foreign patent offices review the patent claims, such as in an </w:t>
      </w:r>
      <w:r>
        <w:rPr>
          <w:rFonts w:ascii="Times New Roman" w:hAnsi="Times New Roman"/>
          <w:i/>
          <w:color w:val="000000"/>
          <w:sz w:val="20"/>
        </w:rPr>
        <w:t xml:space="preserve">ex-parte </w:t>
      </w:r>
      <w:r>
        <w:rPr>
          <w:rFonts w:ascii="Times New Roman" w:hAnsi="Times New Roman"/>
          <w:color w:val="000000"/>
          <w:sz w:val="20"/>
        </w:rPr>
        <w:t xml:space="preserve">reexamination, </w:t>
      </w:r>
      <w:r>
        <w:rPr>
          <w:rFonts w:ascii="Times New Roman" w:hAnsi="Times New Roman"/>
          <w:i/>
          <w:color w:val="000000"/>
          <w:sz w:val="20"/>
        </w:rPr>
        <w:t>inter partes</w:t>
      </w:r>
      <w:r>
        <w:rPr>
          <w:rFonts w:ascii="Times New Roman" w:hAnsi="Times New Roman"/>
          <w:color w:val="000000"/>
          <w:sz w:val="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 of theirs.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disputes may also arise between us and our licensor regarding intellectual property subject to a license agreement,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and the extent to which, our products, technology and processes infringe on intellectual property of the licensor that is not subject to the licensing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cannot license rights to use technologies on reasonable terms, we may not be able to commercialize new products or services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be able to make products or services that are similar to products and technologies we may develop or utilize similar technology that are not covered by the claims of the patents that we own or license now or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 or pending patent application that we license or may own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or their inventions;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possible that our pending patent applications, and our licensed pending patent applications, or those that we may own or license in the future, will not lead to issued patents;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and our licensor(s), may not develop additional proprietary technologies that are patentable;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Should any of these events occur, they could materially adversely affect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 active trading market for our Class A common stock may not be sustained.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Select Market, we may be delisted and the price of our Class A common stock and our ability to access the capital markets could be negatively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fail to satisfy one or more of the Nasdaq Global Select Market requirements for continued listing of our Class A common stock in the future. For example, on July 7, 2025, we notified The Nasdaq Stock Market LLC (Nasdaq) that following our 2025 annual meeting of stockholders,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September 2, 2025, the Board appointed Isaac Ro to serve on the Audit Committee and determined that he met the requirements to qualify as the “audit committee financial expert” under Item 407(d)(5)(ii) of Regulation S-K. We believe that Mr. Ro’s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market price of our Class A common stock has been and may continue to be volatile.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the factors that may cause the market price of our Class A common stock to fluctuate include, but are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to which our launch and commercialization of our products meets the expectations of securities analysts and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fluctuations in our operating results, including fluctuations in our quarterly and annual results;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being less than anticipated or operating expenses being more than anticipated;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existing or new competitive businesses or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announcements about new research programs or products of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and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perceptions of us or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short-selling strategies that may drive down the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announcement or expectation of additional financing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our Class A common stock by us or sales of our Class A common stock by our insiders or other stockholders, or future stock issuances;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perceived solvency of financial institutions with which we have financial deposits or investments in excess of insurance limits;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economic, industry and market conditions, including government shutdowns or changes in tariffs or trade restrictions or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natural disasters or major catastrophic events.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pStyle w:val="TextBody"/>
        <w:bidi w:val="0"/>
        <w:spacing w:before="0" w:after="180"/>
        <w:jc w:val="left"/>
        <w:rPr>
          <w:rFonts w:ascii="Times New Roman" w:hAnsi="Times New Roman"/>
          <w:sz w:val="20"/>
        </w:rPr>
      </w:pPr>
      <w:r>
        <w:rPr>
          <w:rFonts w:ascii="Times New Roman" w:hAnsi="Times New Roman"/>
          <w:b/>
          <w:i/>
          <w:color w:val="000000"/>
          <w:sz w:val="20"/>
        </w:rPr>
        <w:t>The multi-class structure of our common stock had the effect of concentrating voting control with certain stockholders and it may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Class A common stock, which is our publicly-traded class of stock, has one vote per share, and our Class B common stock has ten votes per share, except as otherwise required by law. No shares of our Class B common stock is outstanding.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December 9, 2025, all of the Company's outstanding Class B common stock were automatically converted (the "Conversion") into the same number of shares of Class A common stock pursuant to the terms of the Company’s Amended and Restated Certificate of Incorporation, as amended. We do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industry analysts, including securities analysts do not publish research or reports about our business or if they publish negative evaluations of our Class A common stock, the price of our Class A common stock could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Sales of a substantial number of shares of our Class A common stock by our existing stockholders could cause the price of our Class A common stock to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There can be no assurance that we will repurchase shares of our Class A common stock or that we will repurchase shares at favorable prices.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Repurchasing our Class A common stock reduces the amount of cash we have available, and we may fail to realize the anticipated long-term stockholder value of any share repurchase program.</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stockholder-proposed amendment to our amended and restated bylaws requires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may only be able to take action at a meeting of stockholders and may not be able to take action by written consent for any matter;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able to act by written consent only if the action is first recommended or approved by the board of directors;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vacancies on our board of directors may be filled only by our board of directors and not by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only the chair of the board of directors, chief executive officer or a majority of the board of directors are authorized to call a special meeting of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litigation against us can only be brought in Delaware;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advance notice procedures apply for stockholders to nominate candidates for election as directors or to bring matters before an annual meeting of stockholders.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certain limitations, and changes to U.S. tax laws may cause us to make adjustments to our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we had U.S. federal and state net operating loss carryforwards (NOLs) of $262.4 million and $226.6 million, respectively, which if not utilized will expire in 2035 for state purposes. We may use these NOLs to offset against taxable income for U.S. federal and state income tax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continue to incur significant increased costs and management resources as a result of operating as a public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evolving expectations from customers, regulators, investors and other stakeholders and may expose us to reputational, cost and other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0" w:after="180"/>
        <w:jc w:val="left"/>
        <w:rPr>
          <w:rFonts w:ascii="Times New Roman" w:hAnsi="Times New Roman"/>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instruments and consumables could be interrupted.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or our vendors, partners or customers, experience a significant disruption in our information technology systems or breaches of data security, our business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before="0" w:after="180"/>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 the importance of identifying, assessing, and managing material risks associated with cybersecurity threats. We have developed and implemented a cybersecurity risk management program intended to protect the confidentiality, integrity, and availability of our critical systems and information. We regularly assess risks from cybersecurity threats; monitor our information systems for potential vulnerabilities; and test those systems pursuant to our cybersecurity policies, processes, and practices, which are integrated into our overall risk management program. Our cybersecurity risk management program includes a cybersecurity incident response plan.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design and assess our program based on recommendations from trusted sources, such as the National Institute of Standards and Technology and the Center for Internet Security, as well as information security standards issued by the International Organization for Standardization, including ISO 27001. In 2025, our cybersecurity systems and processes achieved ISO 27001 certification. We use these cybersecurity frameworks and information security standards as a guide to help us identify, assess, and manage cybersecurity risks relevant to our business.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jc w:val="left"/>
        <w:rPr>
          <w:rFonts w:ascii="Times New Roman" w:hAnsi="Times New Roman"/>
          <w:color w:val="000000"/>
          <w:sz w:val="20"/>
        </w:rPr>
      </w:pPr>
      <w:r>
        <w:rPr>
          <w:rFonts w:ascii="Times New Roman" w:hAnsi="Times New Roman"/>
          <w:color w:val="000000"/>
          <w:sz w:val="20"/>
        </w:rPr>
        <w:t>Our cybersecurity risk management program includes: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information technology (IT) environment;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controls;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cybersecurity awareness training for our employees, incident response personnel, and senior management;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third-party risk management process for managing the risk inherent to engaging with external service providers, suppliers, and vendors.</w:t>
      </w:r>
    </w:p>
    <w:p>
      <w:pPr>
        <w:pStyle w:val="TextBody"/>
        <w:bidi w:val="0"/>
        <w:spacing w:before="180" w:after="283"/>
        <w:jc w:val="left"/>
        <w:rPr>
          <w:rFonts w:ascii="Times New Roman" w:hAnsi="Times New Roman"/>
          <w:sz w:val="20"/>
        </w:rPr>
      </w:pPr>
      <w:r>
        <w:rPr>
          <w:rFonts w:ascii="Times New Roman" w:hAnsi="Times New Roman"/>
          <w:color w:val="000000"/>
          <w:sz w:val="20"/>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w:t>
      </w:r>
      <w:r>
        <w:rPr>
          <w:rFonts w:ascii="Times New Roman" w:hAnsi="Times New Roman"/>
          <w:i/>
          <w:color w:val="000000"/>
          <w:sz w:val="20"/>
        </w:rPr>
        <w:t>Risk Factors - If we, or our vendors, partners or customers, experience a significant disruption in our information technology systems or breaches of data security, our business could be adversely affected.”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Cybersecurity Governance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 The Audit Committee reports to the full Board regarding its activities, including those related to cybersecurity. The full Board also receives periodic briefings from the Audit Committee on our cybersecurity risk management program.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Audit Committee receives regular reports from our VP of Information Technology on our cybersecurity risks. In addition, our VP of Information Technology updates the Audit Committee, as necessary, regarding any material cybersecurity incidents, as well as any incidents with lesser potential impact.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established an internal cross-functional Steering Committee and a leadership committee with the objective of overseeing the cyber security program, incidents, risks and initiatives. The Steering Committee is chaired by our VP of Information Technology and is comprised of leaders from Software Development, Research and Development and Data teams. The Steering Committee oversees the cybersecurity program relevance and effectiveness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Updates from the Steering Committee are provided quarterly to an executive leadership committee, which is chaired by our VP of Information Technology and is comprised of the President and Chief Financial Officer, Chief People Officer, Chief Data Officer, Chief Operations and Product Development Officer and the SVP of Product Development.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IT management team has primary responsibility for our overall cybersecurity risk management program and supervises both our internal cybersecurity personnel and our retained external cybersecurity consultants. Our VP of Information Technology has over 20 years of experience managing global IT operations, including strategy, information security, applications, infrastructure, support and execution.</w:t>
      </w:r>
    </w:p>
    <w:p>
      <w:pPr>
        <w:pStyle w:val="TextBody"/>
        <w:bidi w:val="0"/>
        <w:spacing w:before="180" w:after="180"/>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jc w:val="left"/>
        <w:rPr>
          <w:rFonts w:ascii="Times New Roman" w:hAnsi="Times New Roman"/>
          <w:color w:val="000000"/>
          <w:sz w:val="20"/>
        </w:rPr>
      </w:pPr>
      <w:r>
        <w:rPr>
          <w:rFonts w:ascii="Times New Roman" w:hAnsi="Times New Roman"/>
          <w:color w:val="000000"/>
          <w:sz w:val="20"/>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We do not own any real property and believe that our current facilities are sufficient to meet our ongoing needs and that, if we require additional space, we will be able to obtain additional facilities on commercially reasonable terms.</w:t>
      </w:r>
    </w:p>
    <w:p>
      <w:pPr>
        <w:pStyle w:val="TextBody"/>
        <w:bidi w:val="0"/>
        <w:spacing w:before="180" w:after="180"/>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pStyle w:val="TextBody"/>
        <w:bidi w:val="0"/>
        <w:spacing w:before="180" w:after="180"/>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 II.</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80"/>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Class A common stock has been listed on the Nasdaq Global Select Market under the symbol “SEER” since December 4, 2020. Prior to that date, there was no public trading market for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February 23, 2026, there were 27 holders of record of our Class A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represents a month-to-month summary of information with respect to purchases of common stock made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1385"/>
        <w:gridCol w:w="146"/>
        <w:gridCol w:w="237"/>
        <w:gridCol w:w="1100"/>
        <w:gridCol w:w="146"/>
        <w:gridCol w:w="146"/>
        <w:gridCol w:w="355"/>
        <w:gridCol w:w="788"/>
        <w:gridCol w:w="146"/>
        <w:gridCol w:w="146"/>
        <w:gridCol w:w="404"/>
        <w:gridCol w:w="1885"/>
        <w:gridCol w:w="146"/>
        <w:gridCol w:w="146"/>
        <w:gridCol w:w="762"/>
        <w:gridCol w:w="2070"/>
        <w:gridCol w:w="197"/>
      </w:tblGrid>
      <w:tr>
        <w:trPr/>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as Part of Publicly Announced Plans or Programs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(in thousands) of Shares that May Yet Be Purchased Under the Plans or Programs </w:t>
            </w:r>
            <w:r>
              <w:rPr>
                <w:rFonts w:ascii="Times New Roman" w:hAnsi="Times New Roman"/>
                <w:b/>
                <w:color w:val="000000"/>
                <w:sz w:val="11"/>
              </w:rPr>
              <w:t>(3)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 October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 November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All shares of common stock were retired upon repurchase.</w:t>
      </w:r>
    </w:p>
    <w:p>
      <w:pPr>
        <w:pStyle w:val="TextBody"/>
        <w:bidi w:val="0"/>
        <w:spacing w:before="40" w:after="283"/>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Average price paid per share is calculated on a settlement basis and excludes broker commissions and excise tax.</w:t>
      </w:r>
    </w:p>
    <w:p>
      <w:pPr>
        <w:pStyle w:val="TextBody"/>
        <w:bidi w:val="0"/>
        <w:spacing w:before="40" w:after="283"/>
        <w:jc w:val="left"/>
        <w:rPr>
          <w:rFonts w:ascii="Times New Roman" w:hAnsi="Times New Roman"/>
          <w:sz w:val="20"/>
        </w:rPr>
      </w:pP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On May 3, 2024, the Company’s Board of Directors approved the Share Repurchase Program under which the Company is authorized to purchase up to $25.0 million of its issued and outstanding Class A common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an additional repurchase up to $25.0 million of its issued and outstanding Class A common stock.</w:t>
      </w:r>
    </w:p>
    <w:p>
      <w:pPr>
        <w:pStyle w:val="TextBody"/>
        <w:bidi w:val="0"/>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14" w:name="item_7_managements_discussion_and_analys"/>
      <w:bookmarkEnd w:id="14"/>
      <w:r>
        <w:rPr>
          <w:rFonts w:ascii="Times New Roman" w:hAnsi="Times New Roman"/>
          <w:b/>
          <w:color w:val="000000"/>
          <w:sz w:val="20"/>
        </w:rPr>
        <w:t>Item 7. Management’s Discussion and Analysis of Financial Condition and Results of Operations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generate product and service revenue sufficient to achieve profitability, if ever, will depend on the successful commercialization of the Proteograph Product Suite and related products and services. In May 2025, we advanced our commercial offering with the launch of the new Proteograph Product Suite, featuring the Proteograph ONE assay and SP200 automation instrument. With the new Proteograph workflow, we believe we have achieved a transformative milestone by significantly improving the performance and scalability of deep, unbiased proteomic analysis. These advancements push the boundaries of the original capabilities of the Proteograph Product Suite launched in 2021, further addressing limitations in deep, unbiased proteomic workflows, including prohibitive costs of large-scale studies, time-consuming manual workflows, and performance variability introduced by manual handling.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market and sell the Proteograph Product Suite as an integrated solution comprised of consumables, our automation instrument and software. Our commercial strategy is focused on growing adoption of the Proteograph by researchers in academic and commercial settings,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it also complements large-scale genomics research. We are focused on removing barriers to access to the Proteograph, including through the STAC service offering.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sell the Proteograph Product Suite through a direct sales channel in the United States, and through both direct and distributor sales channels in regions outside the United States.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automation instrument and have outsourced its manufacturing to Hamilton Company, a leading manufacturer of automated liquid handling workstations. We have entered into a non-exclusive agreement with Hamilton that covers the manufacturing of the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years ended December 31, 2025 and 2024, we incurred a net loss of $73.6 million and $86.6 million and used $44.4 million and $46.1 million of cash in operations, respectively. As of December 31, 2025, we had an accumulated deficit of $466.0 million and cash, cash equivalents, and investments of $240.6 million. We expect to continue to incur significant losses and do not expect positive cash flows from operations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expenses may increase in connection with our ongoing activities, as we: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broadly market and sell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build our sales, marketing, service, support and distribution infrastructure as part of our commercialization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build-out and expand our in-house NP manufacturing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engage in research and development of other products and enhancements to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 maintain, expand, and protect our intellectual property portfolio;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 the infrastructure to operate and scale as a public company.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primarily generated domestically. We intend to focus our commercial efforts in the United States and expect to grow our international presence.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utilize third-party manufacturers for production of our instruments and we manufacture our NPs and assemble our assay kits internally. Cost of revenue consists primarily of costs of the components of the Proteograph Product Suite, including the instruments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income (expense) consists primarily of interest income earned on cash, cash equivalents and investments, asset disposals, realized and unrealized gains and losses on foreign currency transactions, and loss in the equity method investment.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Income tax expense results from our wholly-owned foreign subsidiaries. We maintain a full valuation allowance on our domestic deferred tax assets as we have concluded that it is more likely than not that the deferred assets will not be realized.</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w:t>
      </w:r>
    </w:p>
    <w:p>
      <w:pPr>
        <w:pStyle w:val="TextBody"/>
        <w:bidi w:val="0"/>
        <w:jc w:val="left"/>
        <w:rPr/>
      </w:pPr>
      <w:r>
        <w:rPr/>
        <w:t> </w:t>
      </w:r>
    </w:p>
    <w:tbl>
      <w:tblPr>
        <w:tblW w:w="8627" w:type="dxa"/>
        <w:jc w:val="left"/>
        <w:tblInd w:w="0" w:type="dxa"/>
        <w:tblLayout w:type="fixed"/>
        <w:tblCellMar>
          <w:top w:w="28" w:type="dxa"/>
          <w:left w:w="28" w:type="dxa"/>
          <w:bottom w:w="28" w:type="dxa"/>
          <w:right w:w="28" w:type="dxa"/>
        </w:tblCellMar>
      </w:tblPr>
      <w:tblGrid>
        <w:gridCol w:w="3256"/>
        <w:gridCol w:w="146"/>
        <w:gridCol w:w="211"/>
        <w:gridCol w:w="736"/>
        <w:gridCol w:w="166"/>
        <w:gridCol w:w="146"/>
        <w:gridCol w:w="211"/>
        <w:gridCol w:w="841"/>
        <w:gridCol w:w="166"/>
        <w:gridCol w:w="146"/>
        <w:gridCol w:w="211"/>
        <w:gridCol w:w="736"/>
        <w:gridCol w:w="166"/>
        <w:gridCol w:w="146"/>
        <w:gridCol w:w="146"/>
        <w:gridCol w:w="421"/>
        <w:gridCol w:w="7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11"/>
        <w:gridCol w:w="571"/>
        <w:gridCol w:w="146"/>
        <w:gridCol w:w="146"/>
        <w:gridCol w:w="146"/>
        <w:gridCol w:w="31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Revenue in fiscal year 2025 increased by $2.4 million, or 17% as compared to the prior year. The increase was due to higher product sales and service revenue. </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396"/>
        <w:gridCol w:w="146"/>
        <w:gridCol w:w="223"/>
        <w:gridCol w:w="604"/>
        <w:gridCol w:w="154"/>
        <w:gridCol w:w="154"/>
        <w:gridCol w:w="223"/>
        <w:gridCol w:w="604"/>
        <w:gridCol w:w="146"/>
        <w:gridCol w:w="146"/>
        <w:gridCol w:w="230"/>
        <w:gridCol w:w="461"/>
        <w:gridCol w:w="146"/>
        <w:gridCol w:w="146"/>
        <w:gridCol w:w="146"/>
        <w:gridCol w:w="31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in fiscal year 2025 increased by $1.0 million, or 14% as compared to the prior year. The increase was primarily due to higher volume from consumables sales.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6867"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31"/>
        <w:gridCol w:w="166"/>
        <w:gridCol w:w="146"/>
        <w:gridCol w:w="146"/>
        <w:gridCol w:w="37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in fiscal year 2025 decreased by $6.7 million, or 13% as compared to the prior year. The decrease was primarily due to a $2.5 million decrease in stock-based compensation, a $2.2 million decrease in allocated costs, a $1.6 million decrease in laboratory expenses, and a $0.5 million decrease in professional services.</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61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736"/>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in fiscal year 2025 decreased by $14.0 million, or 25% as compared to the prior year. The decrease was primarily due to a $9.2 million decrease in stock-based compensation, a $2.0 million decrease in professional services, a $0.9 million decrease in allocated costs, a $0.8 million decrease in business expenses, a $0.3 million decrease in facility expenses, a $0.3 million decrease in travel expenses, and a $0.2 million decrease in employee compensation costs.</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66"/>
        <w:gridCol w:w="146"/>
        <w:gridCol w:w="211"/>
        <w:gridCol w:w="572"/>
        <w:gridCol w:w="146"/>
        <w:gridCol w:w="146"/>
        <w:gridCol w:w="211"/>
        <w:gridCol w:w="677"/>
        <w:gridCol w:w="146"/>
        <w:gridCol w:w="146"/>
        <w:gridCol w:w="211"/>
        <w:gridCol w:w="631"/>
        <w:gridCol w:w="166"/>
        <w:gridCol w:w="146"/>
        <w:gridCol w:w="146"/>
        <w:gridCol w:w="376"/>
        <w:gridCol w:w="37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Total other income in fiscal year 2025 decreased by $9.0 million, or 66% as compared to the prior year. The decrease was primarily due to the loss in the equity method investment and lower rates of interest earned on cash invested in money market funds, U.S. Treasury securities, U.S. Non-Treasury securities, commercial paper, and corporate debt securities and loss on asset disposals.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Annual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lease obligations reflect our lease obligations for our office and laboratory space in Redwood City,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December 31, 2025 and 2024, which is secured by restricted cash and is presented as noncurrent at each date based on the term of the underlying 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time to time, we have certain purchase commitments related to our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$0.4 million as of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and equipment, the expansion of sales and marketing and international activities and the extent and magnitude of our ongoing research and development programs.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274" w:type="dxa"/>
        <w:jc w:val="left"/>
        <w:tblInd w:w="0" w:type="dxa"/>
        <w:tblLayout w:type="fixed"/>
        <w:tblCellMar>
          <w:top w:w="28" w:type="dxa"/>
          <w:left w:w="28" w:type="dxa"/>
          <w:bottom w:w="28" w:type="dxa"/>
          <w:right w:w="28" w:type="dxa"/>
        </w:tblCellMar>
      </w:tblPr>
      <w:tblGrid>
        <w:gridCol w:w="4711"/>
        <w:gridCol w:w="146"/>
        <w:gridCol w:w="211"/>
        <w:gridCol w:w="736"/>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2025, cash used in operating activities was $44.4 million, attributable to a net loss of $73.6 million and a net change in our net operating assets and liabilities of $0.6 million, partially offset by non-cash charges of $29.7 million. Non-cash charges primarily consisted of $15.4 million of stock-based compensation, $6.1 million of depreciation and amortization, $5.9 million of loss on equity method investment, $1.1 million of net amortization of premium on available-for-sale securities, and $1.0 million of loss on disposal of property and equipment. The change in our net operating assets and liabilities was primarily due to an increase in inventory levels of $2.9 million, a decrease of $1.6 million in prepaid expenses and other assets, which was partially offset by an increase in accounts payable of $1.1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2024, cash used in operating activities was $46.1 million, attributable to a net loss of $86.6 million and a net change in our net operating assets and liabilities of $0.1 million, partially offset by non-cash charges of $40.6 million. Non-cash charges primarily consisted of $28.2 million of stock-based compensation, $6.2 million of depreciation and amortization, $3.1 million of net amortization of premium on available-for-sale securities, $2.6 million of loss on equity method investment, and $0.3 million of loss on disposal of property and equipment. The change in our net operating assets and liabilities was primarily due to an increase in inventory levels of $2.7 million, a decrease in accrued liabilities and other liabilities of $1.4 million, and an increase of $0.1 million in prepaid expenses and other assets, which was partially offset by an increase in accounts payable of $3.4 million, a decrease in accounts receivable of $0.5 million, and an increase in deferred revenue of $0.2 million.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2025, cash provided by investing activities was $61.5 million, which was attributable to the proceeds from maturities of available-for-sale securities of $237.8 million and proceeds from disposal of property and equipment of $0.6 million. This was offset by the purchases of available-for-sale securities of $173.2 million, purchase of investment in equity security of $1.9 million, and purchases of property and equipment of $1.8 million, which was primarily for laboratory equipment.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2024, cash provided by investing activities was $65.9 million, which was attributable to the proceeds from maturities of available-for-sale securities of $342.0 million and proceeds from disposal of property and equipment of $0.3 million. This was offset by the purchases of available-for-sale securities of $262.9 million, purchase of investment in equity security of $10.0 million, and purchases of property and equipment of $3.5 million, which was primarily for laboratory equipment.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2025, cash used in financing activities was $10.6 million, which was primarily attributable to the repurchases of Class A common stock under our share repurchase program of $10.2 million and the taxes withholding payments related to net settlement of restricted stock units of $0.8 million. This partially was offset by the proceeds of $0.4 million from the issuance of Class A common stock in connection with the 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2024, cash used in financing activities was $11.5 million, which was primarily attributable to the repurchases of Class A common stock under our share repurchase program of $11.8 million. This partially was offset by the proceeds of $0.3 million from the issuance of Class A common stock in connection with our employee stock purchase plan.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consolidated financial statements, we believe that the following critical accounting policies are most important to understanding and evaluating our reported financial results.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Revenue from services is recognized once the report is delivered to a customer, which is when the customer obtains benefit of the service.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 portion of our revenue relates to lease arrangements. Standalone lease arrangements are outside the scope of Accounting Standards Codification (ASC) 606, </w:t>
      </w:r>
      <w:r>
        <w:rPr>
          <w:rFonts w:ascii="Times New Roman" w:hAnsi="Times New Roman"/>
          <w:i/>
          <w:color w:val="000000"/>
          <w:sz w:val="20"/>
        </w:rPr>
        <w:t>Revenue Contracts with Customer</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and the related shipping and handling costs are included in the cost of revenue.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Stock-based compensation expense relates to stock options with service-based vesting conditions, stock options with market-based vesting conditions, stock purchase rights under our employee stock purchase plan (ESPP), and restricted stock units (RSUs). All awards are measured at fair value on grant date and forfeitures are recognized as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estimate the fair value of stock options with service conditions and stock purchase rights under our ESPP on the grant date using the Black-Scholes option pricing model. We use the straight-line method to allocate compensation cost to reporting periods over the requisite service period in which the awards are expected to vest.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Black-Scholes option pricing model considers several variables and assumptions in estimating the fair value of service-based stock options and stock purchase rights under our ESPP. These variables include the per share fair value of the underlying common stock, expected term, expected volatility, risk-free interest rate and expected dividend yield over the expected term. For all service-based stock options granted, we calculate the expected term using the simplified method for “plain vanilla” stock option awards. For the expected volatility, we use the historical volatility of the stock price of our Class A common stock. The risk-free interest rate is based on the yield available on U.S. Treasury zero-coupon issues in effect at the time of grant for periods corresponding with the expected term of the options. The expected dividend yield is assumed to be zero as we have never paid dividends and have no current plans to pay dividends on our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continue to use judgment in evaluating the expected volatility, expected terms, and interest rates utilized for our stock-based compensation calculations on a prospective basis. Assumptions we used in applying the Black-Scholes option pricing model to determine the estimated fair value of our stock options granted involve inherent uncertainties and the application of significant judgment. As a result, if factors or expected outcomes change and we use significantly different assumptions or estimates, our stock-based compensation could be materially different.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Summary of Significant Accounting Policies of the Notes to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bookmarkStart w:id="15" w:name="item_7a_quantitative_and_qualitative_dis"/>
      <w:bookmarkEnd w:id="15"/>
      <w:r>
        <w:rPr>
          <w:rFonts w:ascii="Times New Roman" w:hAnsi="Times New Roman"/>
          <w:b/>
          <w:color w:val="000000"/>
          <w:sz w:val="20"/>
        </w:rPr>
        <w:t>Item 7A. Quantitative and Qualitative Disclosures About Market Risk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exposure to interest rate risk that relates to our cash and cash equivalents and investments held in money market funds, U.S. Treasury securities, U.S. Non-Treasury securities, commercial paper, and corporate debt securities.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pStyle w:val="TextBody"/>
        <w:bidi w:val="0"/>
        <w:spacing w:before="0" w:after="180"/>
        <w:jc w:val="left"/>
        <w:rPr>
          <w:rFonts w:ascii="Times New Roman" w:hAnsi="Times New Roman"/>
          <w:sz w:val="20"/>
        </w:rPr>
      </w:pPr>
      <w:bookmarkStart w:id="16" w:name="item_8_financial_statements_and_suppleme"/>
      <w:bookmarkEnd w:id="16"/>
      <w:r>
        <w:rPr>
          <w:rFonts w:ascii="Times New Roman" w:hAnsi="Times New Roman"/>
          <w:b/>
          <w:color w:val="000000"/>
          <w:sz w:val="20"/>
        </w:rPr>
        <w:t>Item 8. Financial Statements</w:t>
      </w:r>
      <w:r>
        <w:rPr>
          <w:rFonts w:ascii="Times New Roman" w:hAnsi="Times New Roman"/>
          <w:color w:val="000000"/>
          <w:sz w:val="20"/>
        </w:rPr>
        <w:t xml:space="preserve"> </w:t>
      </w:r>
      <w:r>
        <w:rPr>
          <w:rFonts w:ascii="Times New Roman" w:hAnsi="Times New Roman"/>
          <w:b/>
          <w:color w:val="000000"/>
          <w:sz w:val="20"/>
        </w:rPr>
        <w:t>and Supplementary Data</w:t>
      </w:r>
    </w:p>
    <w:tbl>
      <w:tblPr>
        <w:tblW w:w="6677" w:type="dxa"/>
        <w:jc w:val="left"/>
        <w:tblInd w:w="0" w:type="dxa"/>
        <w:tblLayout w:type="fixed"/>
        <w:tblCellMar>
          <w:top w:w="28" w:type="dxa"/>
          <w:left w:w="28" w:type="dxa"/>
          <w:bottom w:w="28" w:type="dxa"/>
          <w:right w:w="28" w:type="dxa"/>
        </w:tblCellMar>
      </w:tblPr>
      <w:tblGrid>
        <w:gridCol w:w="6166"/>
        <w:gridCol w:w="511"/>
      </w:tblGrid>
      <w:tr>
        <w:trPr/>
        <w:tc>
          <w:tcPr>
            <w:tcW w:w="61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1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Page</w:t>
            </w:r>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34)</w:t>
            </w:r>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report_of_independent_registered_public">
              <w:r>
                <w:rPr>
                  <w:rStyle w:val="InternetLink"/>
                  <w:rFonts w:ascii="Times New Roman" w:hAnsi="Times New Roman"/>
                  <w:color w:val="0000FF"/>
                  <w:sz w:val="20"/>
                  <w:u w:val="single"/>
                </w:rPr>
                <w:t>99</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_balance_sheets">
              <w:r>
                <w:rPr>
                  <w:rStyle w:val="InternetLink"/>
                  <w:rFonts w:ascii="Times New Roman" w:hAnsi="Times New Roman"/>
                  <w:color w:val="0000FF"/>
                  <w:sz w:val="20"/>
                  <w:u w:val="single"/>
                </w:rPr>
                <w:t>101</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_statements_of_operations">
              <w:r>
                <w:rPr>
                  <w:rStyle w:val="InternetLink"/>
                  <w:rFonts w:ascii="Times New Roman" w:hAnsi="Times New Roman"/>
                  <w:color w:val="0000FF"/>
                  <w:sz w:val="20"/>
                  <w:u w:val="single"/>
                </w:rPr>
                <w:t>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_statements_of_operations">
              <w:r>
                <w:rPr>
                  <w:rStyle w:val="InternetLink"/>
                  <w:rFonts w:ascii="Times New Roman" w:hAnsi="Times New Roman"/>
                  <w:color w:val="0000FF"/>
                  <w:sz w:val="20"/>
                  <w:u w:val="single"/>
                </w:rPr>
                <w:t>102</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statementsstockholdersequity">
              <w:r>
                <w:rPr>
                  <w:rStyle w:val="InternetLink"/>
                  <w:rFonts w:ascii="Times New Roman" w:hAnsi="Times New Roman"/>
                  <w:color w:val="0000FF"/>
                  <w:sz w:val="20"/>
                  <w:u w:val="single"/>
                </w:rPr>
                <w:t>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statementsstockholdersequity">
              <w:r>
                <w:rPr>
                  <w:rStyle w:val="InternetLink"/>
                  <w:rFonts w:ascii="Times New Roman" w:hAnsi="Times New Roman"/>
                  <w:color w:val="0000FF"/>
                  <w:sz w:val="20"/>
                  <w:u w:val="single"/>
                </w:rPr>
                <w:t>103</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consolidated_statements_of_cash_flows">
              <w:r>
                <w:rPr>
                  <w:rStyle w:val="InternetLink"/>
                  <w:rFonts w:ascii="Times New Roman" w:hAnsi="Times New Roman"/>
                  <w:color w:val="0000FF"/>
                  <w:sz w:val="20"/>
                  <w:u w:val="single"/>
                </w:rPr>
                <w:t>104</w:t>
              </w:r>
            </w:hyperlink>
          </w:p>
        </w:tc>
      </w:tr>
      <w:tr>
        <w:trPr/>
        <w:tc>
          <w:tcPr>
            <w:tcW w:w="6166" w:type="dxa"/>
            <w:tcBorders/>
            <w:tcMar>
              <w:top w:w="0" w:type="dxa"/>
              <w:left w:w="0" w:type="dxa"/>
              <w:bottom w:w="0" w:type="dxa"/>
              <w:right w:w="0" w:type="dxa"/>
            </w:tcMar>
            <w:vAlign w:val="center"/>
          </w:tcPr>
          <w:p>
            <w:pPr>
              <w:pStyle w:val="TableContents"/>
              <w:bidi w:val="0"/>
              <w:spacing w:before="53" w:after="3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11" w:type="dxa"/>
            <w:tcBorders/>
            <w:tcMar>
              <w:top w:w="0" w:type="dxa"/>
              <w:left w:w="0" w:type="dxa"/>
              <w:bottom w:w="0" w:type="dxa"/>
              <w:right w:w="0" w:type="dxa"/>
            </w:tcMar>
            <w:vAlign w:val="center"/>
          </w:tcPr>
          <w:p>
            <w:pPr>
              <w:pStyle w:val="TableContents"/>
              <w:bidi w:val="0"/>
              <w:spacing w:before="53" w:after="30"/>
              <w:jc w:val="center"/>
              <w:rPr/>
            </w:pPr>
            <w:hyperlink w:anchor="notes_to_consolidated_financial_statemen">
              <w:r>
                <w:rPr>
                  <w:rStyle w:val="InternetLink"/>
                  <w:rFonts w:ascii="Times New Roman" w:hAnsi="Times New Roman"/>
                  <w:color w:val="0000FF"/>
                  <w:sz w:val="20"/>
                  <w:u w:val="single"/>
                </w:rPr>
                <w:t>105</w:t>
              </w:r>
            </w:hyperlink>
          </w:p>
        </w:tc>
      </w:tr>
    </w:tbl>
    <w:p>
      <w:pPr>
        <w:pStyle w:val="TextBody"/>
        <w:bidi w:val="0"/>
        <w:spacing w:before="0" w:after="18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17" w:name="report_of_independent_registered_public"/>
      <w:bookmarkEnd w:id="17"/>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shareholders and the Board of Directors of Seer, Inc.</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audited the accompanying consolidated balance sheets of Seer,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80"/>
        <w:jc w:val="left"/>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Revenue Recognition for Products, Services, and Related Parties - Refer to Notes 2, 5 and 11 to the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Audit Matter Description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generates revenue from sales of products and services. The Company’s product, the Proteograph Product Suite, consists of an instrument with embedded software essential to the instrument’s functionality and consumables. The Company’s service revenue primarily consists of revenue received from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regularly enters into contracts that include multiple performance obligations requiring management to evaluate whether these multiple performance obligations are capable of being distinct and accounted for as separate performance obligations.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identified the evaluation of performance obligations as a critical audit matter because of the significant judgment management makes in evaluating distinct performance obligations and the impact of such judgment on the amount of revenue recognized in a particular period. This required a high degree of auditor judgment and an increased extent of testing.</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 procedures related to the Company’s identification and evaluation of performance obligations included the following, among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80"/>
        <w:jc w:val="left"/>
        <w:rPr/>
      </w:pPr>
      <w:r>
        <w:rPr>
          <w:rFonts w:ascii="Times New Roman" w:hAnsi="Times New Roman"/>
          <w:color w:val="000000"/>
          <w:sz w:val="20"/>
        </w:rPr>
        <w:t xml:space="preserve">We evaluated the reasonableness of the Company’s significant accounting policies related to revenue recognition for compliance with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selected a sample of recorded products and services revenue transactions and performed the following procedures: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Obtained and read customer source documents such as contracts, and/or amendments, to evaluate if management has appropriately identified and considered performance obligations.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Evaluated management’s application of the Company’s accounting policy and tested revenue recognition for the identified performance obligations by comparing management’s conclusions to the underlying source documents.</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March 2, 2026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2018.</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18" w:name="consolidated_balance_sheets"/>
      <w:bookmarkEnd w:id="18"/>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584" w:type="dxa"/>
        <w:jc w:val="left"/>
        <w:tblInd w:w="0" w:type="dxa"/>
        <w:tblLayout w:type="fixed"/>
        <w:tblCellMar>
          <w:top w:w="28" w:type="dxa"/>
          <w:left w:w="28" w:type="dxa"/>
          <w:bottom w:w="28" w:type="dxa"/>
          <w:right w:w="28" w:type="dxa"/>
        </w:tblCellMar>
      </w:tblPr>
      <w:tblGrid>
        <w:gridCol w:w="6411"/>
        <w:gridCol w:w="146"/>
        <w:gridCol w:w="211"/>
        <w:gridCol w:w="841"/>
        <w:gridCol w:w="166"/>
        <w:gridCol w:w="146"/>
        <w:gridCol w:w="211"/>
        <w:gridCol w:w="841"/>
        <w:gridCol w:w="611"/>
      </w:tblGrid>
      <w:tr>
        <w:trPr/>
        <w:tc>
          <w:tcPr>
            <w:tcW w:w="6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253,323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as of</w:t>
              <w:br/>
              <w:t>    December 31, 2025 and 2024; zero</w:t>
            </w:r>
            <w:r>
              <w:rPr>
                <w:rFonts w:ascii="Times New Roman" w:hAnsi="Times New Roman"/>
                <w:color w:val="000000"/>
                <w:sz w:val="20"/>
              </w:rPr>
              <w:t> </w:t>
            </w:r>
            <w:r>
              <w:rPr>
                <w:rFonts w:ascii="Times New Roman" w:hAnsi="Times New Roman"/>
                <w:color w:val="000000"/>
                <w:sz w:val="19"/>
              </w:rPr>
              <w:t xml:space="preserve">shares issued and outstanding </w:t>
              <w:br/>
              <w:t>    as of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$0.00001</w:t>
            </w:r>
            <w:r>
              <w:rPr>
                <w:rFonts w:ascii="Times New Roman" w:hAnsi="Times New Roman"/>
                <w:color w:val="000000"/>
                <w:sz w:val="20"/>
              </w:rPr>
              <w:t> </w:t>
            </w:r>
            <w:r>
              <w:rPr>
                <w:rFonts w:ascii="Times New Roman" w:hAnsi="Times New Roman"/>
                <w:color w:val="000000"/>
                <w:sz w:val="19"/>
              </w:rPr>
              <w:t>par value; 94,000,000</w:t>
            </w:r>
            <w:r>
              <w:rPr>
                <w:rFonts w:ascii="Times New Roman" w:hAnsi="Times New Roman"/>
                <w:color w:val="000000"/>
                <w:sz w:val="20"/>
              </w:rPr>
              <w:t> </w:t>
            </w:r>
            <w:r>
              <w:rPr>
                <w:rFonts w:ascii="Times New Roman" w:hAnsi="Times New Roman"/>
                <w:color w:val="000000"/>
                <w:sz w:val="19"/>
              </w:rPr>
              <w:t>shares authorized</w:t>
              <w:br/>
              <w:t>    as of December 31, 2025 and 2024; 56,219,599</w:t>
            </w:r>
            <w:r>
              <w:rPr>
                <w:rFonts w:ascii="Times New Roman" w:hAnsi="Times New Roman"/>
                <w:color w:val="000000"/>
                <w:sz w:val="20"/>
              </w:rPr>
              <w:t> </w:t>
            </w:r>
            <w:r>
              <w:rPr>
                <w:rFonts w:ascii="Times New Roman" w:hAnsi="Times New Roman"/>
                <w:color w:val="000000"/>
                <w:sz w:val="19"/>
              </w:rPr>
              <w:t>and 55,083,123</w:t>
            </w:r>
            <w:r>
              <w:rPr>
                <w:rFonts w:ascii="Times New Roman" w:hAnsi="Times New Roman"/>
                <w:color w:val="000000"/>
                <w:sz w:val="20"/>
              </w:rPr>
              <w:t> </w:t>
            </w:r>
            <w:r>
              <w:rPr>
                <w:rFonts w:ascii="Times New Roman" w:hAnsi="Times New Roman"/>
                <w:color w:val="000000"/>
                <w:sz w:val="19"/>
              </w:rPr>
              <w:br/>
              <w:t xml:space="preserve">    shares issued and outstanding as of December 31, 2025 and </w:t>
              <w:br/>
              <w: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B common stock, $0.00001</w:t>
            </w:r>
            <w:r>
              <w:rPr>
                <w:rFonts w:ascii="Times New Roman" w:hAnsi="Times New Roman"/>
                <w:color w:val="000000"/>
                <w:sz w:val="20"/>
              </w:rPr>
              <w:t> </w:t>
            </w:r>
            <w:r>
              <w:rPr>
                <w:rFonts w:ascii="Times New Roman" w:hAnsi="Times New Roman"/>
                <w:color w:val="000000"/>
                <w:sz w:val="19"/>
              </w:rPr>
              <w:t>par value; 134,268</w:t>
            </w:r>
            <w:r>
              <w:rPr>
                <w:rFonts w:ascii="Times New Roman" w:hAnsi="Times New Roman"/>
                <w:color w:val="000000"/>
                <w:sz w:val="20"/>
              </w:rPr>
              <w:t> </w:t>
            </w:r>
            <w:r>
              <w:rPr>
                <w:rFonts w:ascii="Times New Roman" w:hAnsi="Times New Roman"/>
                <w:color w:val="000000"/>
                <w:sz w:val="19"/>
              </w:rPr>
              <w:t>and 6,000,000</w:t>
            </w:r>
            <w:r>
              <w:rPr>
                <w:rFonts w:ascii="Times New Roman" w:hAnsi="Times New Roman"/>
                <w:color w:val="000000"/>
                <w:sz w:val="20"/>
              </w:rPr>
              <w:t> </w:t>
            </w:r>
            <w:r>
              <w:rPr>
                <w:rFonts w:ascii="Times New Roman" w:hAnsi="Times New Roman"/>
                <w:color w:val="000000"/>
                <w:sz w:val="19"/>
              </w:rPr>
              <w:t xml:space="preserve">shares </w:t>
              <w:br/>
              <w:t>    authorized as of December 31, 2025 and 2024, respectively; zero</w:t>
            </w:r>
            <w:r>
              <w:rPr>
                <w:rFonts w:ascii="Times New Roman" w:hAnsi="Times New Roman"/>
                <w:color w:val="000000"/>
                <w:sz w:val="20"/>
              </w:rPr>
              <w:t> </w:t>
            </w:r>
            <w:r>
              <w:rPr>
                <w:rFonts w:ascii="Times New Roman" w:hAnsi="Times New Roman"/>
                <w:color w:val="000000"/>
                <w:sz w:val="19"/>
              </w:rPr>
              <w:t xml:space="preserve">and </w:t>
              <w:br/>
              <w:t>    4,044,969</w:t>
            </w:r>
            <w:r>
              <w:rPr>
                <w:rFonts w:ascii="Times New Roman" w:hAnsi="Times New Roman"/>
                <w:color w:val="000000"/>
                <w:sz w:val="20"/>
              </w:rPr>
              <w:t> </w:t>
            </w:r>
            <w:r>
              <w:rPr>
                <w:rFonts w:ascii="Times New Roman" w:hAnsi="Times New Roman"/>
                <w:color w:val="000000"/>
                <w:sz w:val="19"/>
              </w:rPr>
              <w:t xml:space="preserve">shares issued and outstanding as of December 31, 2025 and </w:t>
              <w:br/>
              <w:t>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(392,372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19" w:name="consolidated_statements_of_operations"/>
      <w:bookmarkEnd w:id="19"/>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793" w:type="dxa"/>
        <w:jc w:val="left"/>
        <w:tblInd w:w="0" w:type="dxa"/>
        <w:tblLayout w:type="fixed"/>
        <w:tblCellMar>
          <w:top w:w="28" w:type="dxa"/>
          <w:left w:w="28" w:type="dxa"/>
          <w:bottom w:w="28" w:type="dxa"/>
          <w:right w:w="28" w:type="dxa"/>
        </w:tblCellMar>
      </w:tblPr>
      <w:tblGrid>
        <w:gridCol w:w="6376"/>
        <w:gridCol w:w="211"/>
        <w:gridCol w:w="1036"/>
        <w:gridCol w:w="166"/>
        <w:gridCol w:w="146"/>
        <w:gridCol w:w="211"/>
        <w:gridCol w:w="1036"/>
        <w:gridCol w:w="611"/>
      </w:tblGrid>
      <w:tr>
        <w:trPr/>
        <w:tc>
          <w:tcPr>
            <w:tcW w:w="6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Class B common stockholders, </w:t>
              <w:br/>
              <w:t>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share attributable to </w:t>
              <w:br/>
              <w:t>  Class A and Class B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57,447,580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62,348,012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20" w:name="consolidatedstatementsstockholdersequity"/>
      <w:bookmarkEnd w:id="20"/>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3"/>
        <w:gridCol w:w="146"/>
        <w:gridCol w:w="146"/>
        <w:gridCol w:w="916"/>
        <w:gridCol w:w="166"/>
        <w:gridCol w:w="146"/>
        <w:gridCol w:w="206"/>
        <w:gridCol w:w="365"/>
        <w:gridCol w:w="146"/>
        <w:gridCol w:w="146"/>
        <w:gridCol w:w="215"/>
        <w:gridCol w:w="759"/>
        <w:gridCol w:w="166"/>
        <w:gridCol w:w="146"/>
        <w:gridCol w:w="196"/>
        <w:gridCol w:w="751"/>
        <w:gridCol w:w="166"/>
        <w:gridCol w:w="146"/>
        <w:gridCol w:w="412"/>
        <w:gridCol w:w="920"/>
        <w:gridCol w:w="166"/>
        <w:gridCol w:w="146"/>
        <w:gridCol w:w="196"/>
        <w:gridCol w:w="691"/>
        <w:gridCol w:w="413"/>
      </w:tblGrid>
      <w:tr>
        <w:trPr/>
        <w:tc>
          <w:tcPr>
            <w:tcW w:w="2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64,298,676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396,904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exercise of options and </w:t>
              <w:br/>
              <w:t>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(6,470,102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(86,599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327,569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exercise of options and </w:t>
              <w:br/>
              <w:t xml:space="preserve">  release of restricted stock units, net of shares settled for tax </w:t>
              <w:br/>
              <w:t>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 employee</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(73,600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56,219,599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259,307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184" w:type="dxa"/>
        <w:jc w:val="left"/>
        <w:tblInd w:w="0" w:type="dxa"/>
        <w:tblLayout w:type="fixed"/>
        <w:tblCellMar>
          <w:top w:w="28" w:type="dxa"/>
          <w:left w:w="28" w:type="dxa"/>
          <w:bottom w:w="28" w:type="dxa"/>
          <w:right w:w="28" w:type="dxa"/>
        </w:tblCellMar>
      </w:tblPr>
      <w:tblGrid>
        <w:gridCol w:w="7021"/>
        <w:gridCol w:w="146"/>
        <w:gridCol w:w="196"/>
        <w:gridCol w:w="751"/>
        <w:gridCol w:w="166"/>
        <w:gridCol w:w="146"/>
        <w:gridCol w:w="196"/>
        <w:gridCol w:w="751"/>
        <w:gridCol w:w="811"/>
      </w:tblGrid>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amortization of premium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inventory excess and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342,025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equity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Class A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 under share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 related to net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Class A common stock in connection with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stock-based compensation related to internal-use software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Inventory transferred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transferred to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22" w:name="notes_to_consolidated_financial_statemen"/>
      <w:bookmarkEnd w:id="22"/>
      <w:r>
        <w:rPr>
          <w:rFonts w:ascii="Times New Roman" w:hAnsi="Times New Roman"/>
          <w:b/>
          <w:color w:val="000000"/>
          <w:sz w:val="20"/>
        </w:rPr>
        <w:t>Notes to Consolidated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ORGANIZATION AND DESCRIPTION OF THE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2025, the Company has incurred significant losses and has had negative cash flows from operations. As of December 31, 2025, the Company had cash and cash equivalents and investments of $240.6 million and an accumulated deficit of $466.0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2025 provide sufficient capital resources to continue its operations for at least twelve months from the issuance date of the accompanying consolidated financial statements.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consolidated financial statements have been prepared in accordance with accounting principles generally accepted in the United States of America (U.S. GAAP). The consolidated financial statements include the accounts of Seer, Inc. and its wholly-owned subsidiaries. All intercompany transactions and balances have been eliminated.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capitalization and useful life of capitalized internal-use software, income tax uncertainties, and tax valuation allowances.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restricted cash, accounts receivable,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fiscal years 2025 and 2024, the Company recognized revenue from a related party that represented 5% and 17%, respectively, of the Company’s total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fiscal years 2025 and 2024, 40% and 33%, respectively, of the total revenue was generated outside of the United States, primarily from countries in Asia and Europe.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there were three customers, which represented 13%, 11%, and 10% of the total accounts receivable balance. As of December 31, 2024, no single customer accounted for 10% or more of the total accounts receivable balance, including related party receivables.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Equity Method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utilizes the equity method to account for investments when it possesses the ability to exercise significant influence, but not control, over the operating and financial decisions of the investee.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the Company has an equity method investment in PrognomiQ. Refer to Note 11 for additional information.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Cash equivalents consist primarily of amounts invested in money market funds, U.S. Treasury securities, U.S. Non-Treasury securities, commercial paper, and corporate debt securities and are stated at fair value.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Restricted cash represents cash held by a financial institution as security for a letter of credit issued to the lessor for one of the Company’s operating leases and is classified as noncurrent.</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amounts shown in the consolidated statements of cash flows (in thousands):</w:t>
      </w:r>
    </w:p>
    <w:p>
      <w:pPr>
        <w:pStyle w:val="TextBody"/>
        <w:bidi w:val="0"/>
        <w:jc w:val="left"/>
        <w:rPr/>
      </w:pPr>
      <w:r>
        <w:rPr/>
        <w:t> </w:t>
      </w:r>
    </w:p>
    <w:tbl>
      <w:tblPr>
        <w:tblW w:w="6349" w:type="dxa"/>
        <w:jc w:val="left"/>
        <w:tblInd w:w="0" w:type="dxa"/>
        <w:tblLayout w:type="fixed"/>
        <w:tblCellMar>
          <w:top w:w="28" w:type="dxa"/>
          <w:left w:w="28" w:type="dxa"/>
          <w:bottom w:w="28" w:type="dxa"/>
          <w:right w:w="28" w:type="dxa"/>
        </w:tblCellMar>
      </w:tblPr>
      <w:tblGrid>
        <w:gridCol w:w="3946"/>
        <w:gridCol w:w="146"/>
        <w:gridCol w:w="211"/>
        <w:gridCol w:w="676"/>
        <w:gridCol w:w="146"/>
        <w:gridCol w:w="146"/>
        <w:gridCol w:w="211"/>
        <w:gridCol w:w="67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0" w:after="180"/>
        <w:jc w:val="left"/>
        <w:rPr>
          <w:rFonts w:ascii="Times New Roman" w:hAnsi="Times New Roman"/>
          <w:sz w:val="20"/>
        </w:rPr>
      </w:pPr>
      <w:r>
        <w:rPr>
          <w:rFonts w:ascii="Times New Roman" w:hAnsi="Times New Roman"/>
          <w:color w:val="000000"/>
          <w:sz w:val="20"/>
        </w:rPr>
        <w:t>The Company has designated all investments, which include U.S. Treasury securities, U.S. Non-Treasury securities,</w:t>
      </w:r>
      <w:r>
        <w:rPr>
          <w:rFonts w:ascii="Times New Roman" w:hAnsi="Times New Roman"/>
          <w:color w:val="000000"/>
          <w:sz w:val="20"/>
          <w:u w:val="single"/>
        </w:rPr>
        <w:t xml:space="preserve"> </w:t>
      </w:r>
      <w:r>
        <w:rPr>
          <w:rFonts w:ascii="Times New Roman" w:hAnsi="Times New Roman"/>
          <w:color w:val="000000"/>
          <w:sz w:val="20"/>
        </w:rPr>
        <w:t>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2025, the Company classifies its available-for-sale securities as short-term investments or long-term investments based on the remaining contractual maturity of the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2025, the Company did not recognize any impairment charges on its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unrealized losses on available-for-sale debt securities that are attributed to credit risk are recorded to the consolidated statements of operations and comprehensive loss through an allowance for credit losses.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Investment in Equity Security</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Equity investments without readily determinable fair values are non-marketable equity securities. These are investments in certain equity securities of privately-held companies that do not provide the Company the ability to exercise significant influence. Such investments are accounted for under the measurement alternative in accordance with Accounting Standards Codification (ASC) 321, </w:t>
      </w:r>
      <w:r>
        <w:rPr>
          <w:rFonts w:ascii="Times New Roman" w:hAnsi="Times New Roman"/>
          <w:i/>
          <w:color w:val="000000"/>
          <w:sz w:val="20"/>
        </w:rPr>
        <w:t>Investments - Equity Securities</w:t>
      </w:r>
      <w:r>
        <w:rPr>
          <w:rFonts w:ascii="Times New Roman" w:hAnsi="Times New Roman"/>
          <w:color w:val="000000"/>
          <w:sz w:val="20"/>
        </w:rPr>
        <w:t>. Under the measurement alternative, equity investment is accounted for at cost, adjusted for impairment and changes resulting from observable price fluctuations in orderly transactions for the identical or a similar investment of the same issuer. The election is reassessed each reporting period to determine whether investment under the measurement alternative has readily determinable fair values, in which case it would no longer be eligible for this election.</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At each reporting period, the Company makes a qualitative assessment considering impairment indicators to evaluate whether the investment is impaired. If a qualitative assessment indicates the investment is impaired, the Company estimates the investment’s fair value in accordance with ASC 820, </w:t>
      </w:r>
      <w:r>
        <w:rPr>
          <w:rFonts w:ascii="Times New Roman" w:hAnsi="Times New Roman"/>
          <w:i/>
          <w:color w:val="000000"/>
          <w:sz w:val="20"/>
        </w:rPr>
        <w:t>Fair Value Measurement</w:t>
      </w:r>
      <w:r>
        <w:rPr>
          <w:rFonts w:ascii="Times New Roman" w:hAnsi="Times New Roman"/>
          <w:color w:val="000000"/>
          <w:sz w:val="20"/>
        </w:rPr>
        <w:t>. If the fair value is less than the investment’s carrying value, an impairment charge is recorded in the consolidated statements of operations and comprehensive loss equal to the difference between the carrying value and fair value.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As of December 31, 2025 and 2024, the allowance for credit losses related to accounts receivable was $0.1 million.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Inventory is recorded at the lower of cost or net realizable value using standard cost, which approximates actual cost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 and comprehensive loss.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are recorded at cost less accumulated depreciation and amortization. Depreciation is recorded using the straight-line method over the estimated useful lives of the assets. Estimated useful lives are as follows: laboratory equipment and furniture and fixtures - five years, and computer equipment and software - three years. Leasehold improvements are capitalized and amortized over the shorter of the lease term or the estimated useful life of the related asset. Major replacements and improvements are capitalized, while general repairs and maintenance are expensed as incurred. When assets are retired or otherwise disposed of, the cost and related accumulated depreciation and amortization are removed from the consolidated balance sheet and any resulting gain or loss is included as a part of other expense within the consolidated statements of operations and comprehensive loss.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capitalizes certain internal and external costs incurred to develop internal-use software. The costs incurred in the preliminary stages of development are expensed as incurred. Once an application has reached the development stage, costs incurred are capitalized. Capitalized costs include external consulting fees, payroll and payroll-related costs and stock-based compensation for employees who are directly associated with, and who devote time to, the Company’s internal-use software project.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The Company amortizes capitalized internal-use software costs using the straight-line method over the estimated useful life of three years. Amortization of capitalized internal-use software is recorded in cost of revenue in the consolidated statements of operations and comprehensive loss.</w:t>
        <w:b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determines if an arrangement is or contains a lease at contract inception and classifies each lease as operating, sales-type or finance 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elected to not separate non-lease components from the associated lease components and to not recognize ROU assets and lease liabilities for leases with a term of twelve months or less. Variable lease payments are primarily related to common area maintenance, and are recognized as lease costs when incurred.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Revenue from services is recognized once the report is delivered to a customer, which is when the customer obtains the benefit of the service.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Revenue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 portion of the Company’s revenue relates to lease arrangements. Standalone lease arrangements are outside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The related shipping and handling costs are included in the cost of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utilizes third-party manufacturers for production of SP100 and SP200 instruments and it manufactures the nanoparticles and assembles the assay kits internally. Cost of revenue consists primarily of costs of the components of the Proteograph Product Suite, including the instruments and consumables, cost of services related to the generation and analysis of proteomic data on behalf of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include costs associated with research and development of the Company’s technology and product candidates. Research and development expenses primarily consist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primarily consist of employee compensation, including stock-based compensation, and benefits for executive management, sales and marketing, finance, administrative, human resources, legal functions, allocated costs, professional service fees and other general overhead costs to support the Company's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Stock-based compensation expense relates to stock options with service-based vesting conditions, stock options with market-based vesting conditions, stock purchase rights under the employee stock purchase plan (ESPP), and restricted stock units (RSUs). All awards are measured at fair value on grant date and forfeitures are recognized as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fair value of stock options with service conditions and stock purchase rights under our ESPP on the grant date is determined using the Black-Scholes option pricing model. The fair value of the awards is recognized as expense on a straight-line basis over the requisite service period in which the awards are expected to vest.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Black-Scholes option pricing model considers several variables and assumptions in estimating the fair value of service-based stock options and stock purchase rights under the ESPP. These variables include the per share fair value of the underlying common stock, expected term, expected volatility, risk-free interest rate and expected dividend yield over the expected term. For all service-based stock options granted, the Company calculates the expected term using the simplified method for “plain vanilla” stock option awards. For the expected volatility, the Company uses the historical volatility of the stock price of its Class A common stock. The risk-free interest rate is based on the yield available on U.S. Treasury zero-coupon issues in effect at the time of grant for periods corresponding with the expected term of the options. The expected dividend yield is assumed to be zero as the Company has never paid dividends and has no current plans to pay dividends on its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fair value of RSUs is the fair value of the underlying stock at the measurement date.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Repurchases of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May 3, 2024, the Company’s Board of Directors approved a share repurchase program (the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records the share repurchase at cost based on the settlement date of the transaction. The shares repurchased are retired immediately and included in the category of authorized but unissued shares. The par value of the shares retired is charged against Class A common stock and the remaining purchase price is charged to additional paid-in capital. The total cost of the broker commissions is charged directly to additional paid-in capital.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Company records uncertain tax positions in accordance with ASC 740, </w:t>
      </w:r>
      <w:r>
        <w:rPr>
          <w:rFonts w:ascii="Times New Roman" w:hAnsi="Times New Roman"/>
          <w:i/>
          <w:color w:val="000000"/>
          <w:sz w:val="20"/>
        </w:rPr>
        <w:t>Income Taxes</w:t>
      </w:r>
      <w:r>
        <w:rPr>
          <w:rFonts w:ascii="Times New Roman" w:hAnsi="Times New Roman"/>
          <w:color w:val="000000"/>
          <w:sz w:val="20"/>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liability that is more likely than 50 percent to be realized. Interest and penalties related to unrecognized tax benefits are included within the provision for income tax. For the years ended December 31, 2025 and 2024, there were no interest and penalties.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net loss per share attributable to common stockholders is calculated by dividing the net loss attributable to common stockholders by the weighted-average number of shares of common stock outstanding during the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determined the fair value of financial assets and liabilities using the fair value hierarchy that describes three levels of inputs that may be used to measure fair value, as follows: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Level 1 - Quoted prices in active markets for identical assets and liabilities;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adopted ASU 2023-09 effective January 1, 2025, on a prospective basis and did not have a material impact on the consolidated financial statements. Refer to Note 13 for further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July 4, 2025, the One Big Beautiful Bill Act (OBBBA) was enacted. The OBBBA makes permanent key elements of the Tax Cuts and Jobs Act of 2017, including 100% bonus depreciation and immediate deduction of domestic research and development costs, among other tax changes. The new legislation has multiple effective dates, with certain provisions effective in 2025 and others in the future. The Company evaluated the potential impact of the OBBBA legislation on its financial position, results of operations and cash flows. However, due to the Company’s valuation allowance position on its deferred tax assets, the OBBBA did not have a material impact on the Company’s effective tax rate or cash flow in the current fiscal year.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which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to measure credit losses on current accounts receivable and current contract assets that arise from transactions accounted for under Topic 606. The practical expedient assumes that current conditions as of the balance sheet date do not change for the remaining life of the asset when developing reasonable and supportable forecasts as part of estimating expected credit losses. The update is effective for annual reporting periods beginning after December 15, 2025, and interim reporting periods within those annual reporting periods, on a prospective basis, with early adoption permitted. The Company is currently in the process of evaluating the impact of this pronouncement on its consolidated financial statements and related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which replaces the current stage-based capitalization model with a principles-based approach. Under the new guidance, costs are capitalized once management authorizes and commits to funding the software project, it is probable that the project will be completed and the software will be used to perform the function intended. The update is effective for annual periods beginning after December 15, 2027, with early adoption permitted as of the beginning of an annual period. The Company is currently in the process of evaluating the impact of this pronouncement on its consolidated financial statements and related disclosures.</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monitor new accounting pronouncements issued by the FASB and does not believe any accounting pronouncements issued through the date of this report will have a material impact on the Company’s consolidated financial statements.</w:t>
        <w:b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the fair value of the Company’s financial assets that were measured at fair value on a recurring basis by level within the fair value hierarchy (in thousands):</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Company’s cash equivalents and investments and the gross unrealized holding gains and losses (in thousands):</w:t>
      </w:r>
    </w:p>
    <w:p>
      <w:pPr>
        <w:pStyle w:val="TextBody"/>
        <w:bidi w:val="0"/>
        <w:jc w:val="left"/>
        <w:rPr/>
      </w:pPr>
      <w:r>
        <w:rPr/>
        <w:t> </w:t>
      </w:r>
    </w:p>
    <w:tbl>
      <w:tblPr>
        <w:tblW w:w="996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522"/>
        <w:gridCol w:w="858"/>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2025, the Company does not have investments that have been in a continuous unrealized loss position for twelve months or longer. To date, the Company has not recorded any credit loss charges on marketable securities related to other-than-temporary declines in market value. As of December 31, 2025, $54.7 million of available-for-sale investments had remaining maturities between one and two years. The remainder of the available-for-sale investments have a remaining maturity of one year or less. As of December 31, 2025 and 2024, the Company recorded $1.4 million and $1.9 million, respectively, of accrued interest related to its available-for-sale investments and is presented as other receivables on the consolidated balance sheets.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OTHER FINANCIAL STATEMENT INFORMATION</w:t>
      </w:r>
    </w:p>
    <w:p>
      <w:pPr>
        <w:pStyle w:val="TextBody"/>
        <w:bidi w:val="0"/>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3724" w:type="dxa"/>
        <w:jc w:val="left"/>
        <w:tblInd w:w="0" w:type="dxa"/>
        <w:tblLayout w:type="fixed"/>
        <w:tblCellMar>
          <w:top w:w="28" w:type="dxa"/>
          <w:left w:w="28" w:type="dxa"/>
          <w:bottom w:w="28" w:type="dxa"/>
          <w:right w:w="28" w:type="dxa"/>
        </w:tblCellMar>
      </w:tblPr>
      <w:tblGrid>
        <w:gridCol w:w="1531"/>
        <w:gridCol w:w="146"/>
        <w:gridCol w:w="211"/>
        <w:gridCol w:w="571"/>
        <w:gridCol w:w="146"/>
        <w:gridCol w:w="146"/>
        <w:gridCol w:w="211"/>
        <w:gridCol w:w="57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2025 and 2024, the Company recognized depreciation and amortization expense of $6.1 million and $6.2 million,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4714"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11"/>
        <w:gridCol w:w="57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5.</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REVENUE AND DEFERRED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11. Other revenue consists of shipping revenue and lease arrangements.</w:t>
      </w:r>
    </w:p>
    <w:p>
      <w:pPr>
        <w:pStyle w:val="TextBody"/>
        <w:bidi w:val="0"/>
        <w:jc w:val="left"/>
        <w:rPr>
          <w:rFonts w:ascii="Times New Roman" w:hAnsi="Times New Roman"/>
          <w:color w:val="000000"/>
          <w:sz w:val="20"/>
        </w:rPr>
      </w:pPr>
      <w:r>
        <w:rPr>
          <w:rFonts w:ascii="Times New Roman" w:hAnsi="Times New Roman"/>
          <w:color w:val="000000"/>
          <w:sz w:val="20"/>
        </w:rPr>
        <w:t>Deferred revenue activities consist of the following (in thousands):</w:t>
      </w:r>
    </w:p>
    <w:p>
      <w:pPr>
        <w:pStyle w:val="TextBody"/>
        <w:bidi w:val="0"/>
        <w:jc w:val="left"/>
        <w:rPr/>
      </w:pPr>
      <w:r>
        <w:rPr/>
        <w:t> </w:t>
      </w:r>
    </w:p>
    <w:tbl>
      <w:tblPr>
        <w:tblW w:w="7919" w:type="dxa"/>
        <w:jc w:val="left"/>
        <w:tblInd w:w="0" w:type="dxa"/>
        <w:tblLayout w:type="fixed"/>
        <w:tblCellMar>
          <w:top w:w="28" w:type="dxa"/>
          <w:left w:w="28" w:type="dxa"/>
          <w:bottom w:w="28" w:type="dxa"/>
          <w:right w:w="28" w:type="dxa"/>
        </w:tblCellMar>
      </w:tblPr>
      <w:tblGrid>
        <w:gridCol w:w="5866"/>
        <w:gridCol w:w="146"/>
        <w:gridCol w:w="211"/>
        <w:gridCol w:w="481"/>
        <w:gridCol w:w="166"/>
        <w:gridCol w:w="146"/>
        <w:gridCol w:w="211"/>
        <w:gridCol w:w="481"/>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transaction price allocated to remaining performance obligations relates to amounts allocated to products, services and lease arrangements for which revenue has not yet been recognized. A significant portion of these performance obligations relate to service obligations that will be satisfied and recognized as revenue in future periods. As of December 31, 2025, the Company had $0.3 million of remaining performance obligations, of which 82% is expected to be recognized within twelve months.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6. CAPITAL STOCK AND STOCKHOLDERS’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the Company is authorized to issue 99,134,268 shares of capital stock consisting of 94,000,000 shares of Class A common stock, 134,268 shares of Class B common stock, and 5,000,000 shares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On December 9, 2025, all of the Company's outstanding Class B common stock were automatically converted (the "Conversion") into the same number of shares of Class A common stock pursuant to the terms of the Company’s Amended and Restated Certificate of Incorporation, as amended. We do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Holders of common stock are entitled to dividends as declared by the Board of Directors, subject to rights of holders of all classes of stock outstanding having priority rights as to dividends. There have been no dividends declared to date.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summarizes the Company's share repurchase activity for each fiscal year (in thousands except per share data):</w:t>
      </w:r>
    </w:p>
    <w:tbl>
      <w:tblPr>
        <w:tblW w:w="5303" w:type="dxa"/>
        <w:jc w:val="left"/>
        <w:tblInd w:w="0" w:type="dxa"/>
        <w:tblLayout w:type="fixed"/>
        <w:tblCellMar>
          <w:top w:w="28" w:type="dxa"/>
          <w:left w:w="28" w:type="dxa"/>
          <w:bottom w:w="28" w:type="dxa"/>
          <w:right w:w="28" w:type="dxa"/>
        </w:tblCellMar>
      </w:tblPr>
      <w:tblGrid>
        <w:gridCol w:w="2536"/>
        <w:gridCol w:w="211"/>
        <w:gridCol w:w="931"/>
        <w:gridCol w:w="146"/>
        <w:gridCol w:w="146"/>
        <w:gridCol w:w="211"/>
        <w:gridCol w:w="93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cost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per share cost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Includes broker commissions and excludes excise tax.</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Average price paid per share is calculated on a settlement basis and excludes broker commissions and excise tax.</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2025, the Company has a total of $3.1 million, excluding broker commissions and excise tax, available under the current authorization for additional share repurchases.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February 25, 2026, the Company's Board of Directors authorized an additional repurchase of up to $25.0 million of its issued and outstanding Class A common stock.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2017, the Company adopted the 2017 Stock Incentive Plan (2017 Plan), which provided for the granting of awards to employees, directors, and consultants of the Company. Awards issuable under the 2017 Plan included incentive stock options (ISOs), nonqualified stock options (NSOs), and restricted stock awards. In 2020, the Company adopted the 2020 RSU Equity Incentive Plan (2020 RSU Plan), which provided for the granting of RSUs to employees and consultants of the Company and any parent or subsidiary of the Company and members of the board of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2020, the Company adopted the 2020 Equity Incentive Plan (2020 Plan), which became effective in connection with the IPO. Awards issuable under the 2020 Plan include ISOs, NSOs, restricted stock awards, RSUs, stock appreciation rights and performance awards, to employees and consultants of the Company or any parent or subsidiary of the Company and members of the board of directors. The Company’s 2017 Plan and 2020 RSU Plan were terminated in connection with the IPO and no further grants will be made under the 2017 Plan and 2020 RSU Plan from the date that the 2020 Plan became effective.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Option Repricing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4, 2024 (the Effective Date), the Board of Directors approved an option repricing. The repricing applied to nonstatutory stock options to purchase shares of the Company’s Class A common stock that (i) were granted to employees under the Company’s 2020 Plan or the 2017 Plan (together with the 2020 Plan, the Plans) and applicable award agreements thereunder; (ii) as of the Effective Date, were held by continuing employees; and (iii) had an exercise price per share greater than $2.00.</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 In addition, certain option awards granted in 2023 with market conditions were amended to have an exercise price of $2.00 and stock price hurdle amount of $3.00 per share. There was no change to the expiration dates or service-based vesting criteria, or number of shares, and such options remain subject to the terms of the applicable Plans and award agreements.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service-based stock options, the repricing resulted in a total incremental stock-based compensation expense of $2.5 million, which was calculated using the Black-Scholes option pricing model, of which $2.1 million is associated with vested repriced options and will be recognized on a straight-line basis through the Retention Period. The remaining $0.4 million of the incremental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or (b) if the Retention Period is less than the remaining original vesting term of the repriced option, the incremental costs will be amortized on a straight-line basis over the remaining original vesting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2023 market condition options, the repricing resulted in a total incremental compensation expense of $0.2 million, which was calculated using a lattice-binomial option pricing model based on a Monte Carlo simulation.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options to purchase the Company’s Class A common stock may be granted at a per share exercise price not less than the fair market value of a share of the Company’s Class A common stock at the date of grant in the case of both NSOs and ISOs, except for grants of ISOs to an employee who owns more than 10% of the voting power of all classes of stock of the Company or any parent or subsidiary of the Company, in which case the per share exercise price shall be no less than 110% of the fair market value per Class A common stock on the grant date. Stock options granted under the 2017 Plan and 2020 Plan generally vest over four years and expire no later than 10 years from the date of grant. Additional shares subject to certain equity awards that otherwise would have returned to the 2017 Plan or the 2020 RSU Plan may become available for issuance under the 2020 Plan. The 2020 Plan also provides for an annual, automatic increase in the number of shares of the Company’s Class A common stock reserved for issuance under the 2020 Plan as of the first day of each fiscal year of the Company beginning with the Company’s 2021 fiscal year, in an amount equal to the least of (a) 9,037,149 shares, (b) a number of shares equal to 5% of the total number of shares of all classes of common stock of the Company outstanding on the last day of the immediately preceding fiscal year, or (c) such number of shares determined by the administrator of the 2020 Plan prior to the date of such share increase. As of December 31, 2025, there are 3,591,506 shares of Class A common stock reserved for issuance under the 2020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option activity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1999"/>
        <w:gridCol w:w="146"/>
        <w:gridCol w:w="165"/>
        <w:gridCol w:w="1173"/>
        <w:gridCol w:w="166"/>
        <w:gridCol w:w="146"/>
        <w:gridCol w:w="576"/>
        <w:gridCol w:w="1275"/>
        <w:gridCol w:w="146"/>
        <w:gridCol w:w="146"/>
        <w:gridCol w:w="612"/>
        <w:gridCol w:w="1518"/>
        <w:gridCol w:w="146"/>
        <w:gridCol w:w="146"/>
        <w:gridCol w:w="444"/>
        <w:gridCol w:w="1204"/>
        <w:gridCol w:w="197"/>
      </w:tblGrid>
      <w:tr>
        <w:trPr/>
        <w:tc>
          <w:tcPr>
            <w:tcW w:w="1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weighted-average grant date fair value of stock options granted to employees during the years ended December 31, 2025 and 2024, was $1.58 and $1.37 per share, respectively. The total intrinsic value of stock options exercised during the years ended December 31, 2025 and 2024, was $6,000 and $11,000, respectively. As of December 31, 2025, the total unrecognized stock-based compensation related to unvested stock options, was $3.6 million, which the Company expects to recognize over a remaining weighted-average period of 2.0 years.</w:t>
      </w:r>
    </w:p>
    <w:p>
      <w:pPr>
        <w:pStyle w:val="TextBody"/>
        <w:bidi w:val="0"/>
        <w:jc w:val="left"/>
        <w:rPr>
          <w:rFonts w:ascii="Times New Roman" w:hAnsi="Times New Roman"/>
          <w:color w:val="000000"/>
          <w:sz w:val="20"/>
        </w:rPr>
      </w:pPr>
      <w:r>
        <w:rPr>
          <w:rFonts w:ascii="Times New Roman" w:hAnsi="Times New Roman"/>
          <w:color w:val="000000"/>
          <w:sz w:val="20"/>
        </w:rPr>
        <w:t>The fair value of stock options granted to employees, directors, and non-employees that are calculated using the Black-Scholes option pricing model using the following assumptions:</w:t>
      </w:r>
    </w:p>
    <w:p>
      <w:pPr>
        <w:pStyle w:val="TextBody"/>
        <w:bidi w:val="0"/>
        <w:jc w:val="left"/>
        <w:rPr/>
      </w:pPr>
      <w:r>
        <w:rPr/>
        <w:t> </w:t>
      </w:r>
    </w:p>
    <w:tbl>
      <w:tblPr>
        <w:tblW w:w="5528" w:type="dxa"/>
        <w:jc w:val="left"/>
        <w:tblInd w:w="0" w:type="dxa"/>
        <w:tblLayout w:type="fixed"/>
        <w:tblCellMar>
          <w:top w:w="28" w:type="dxa"/>
          <w:left w:w="28" w:type="dxa"/>
          <w:bottom w:w="28" w:type="dxa"/>
          <w:right w:w="28" w:type="dxa"/>
        </w:tblCellMar>
      </w:tblPr>
      <w:tblGrid>
        <w:gridCol w:w="2131"/>
        <w:gridCol w:w="146"/>
        <w:gridCol w:w="374"/>
        <w:gridCol w:w="931"/>
        <w:gridCol w:w="225"/>
        <w:gridCol w:w="225"/>
        <w:gridCol w:w="386"/>
        <w:gridCol w:w="919"/>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- 4.5%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 - 85.5%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 - 88.8%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5.8 - 6.1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Market Condition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2024, the Company granted options to certain Company executives to purchase an aggregate of 1,896,901 shares of the Company’s Class A common stock,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2023, the Company granted options to certain Company executives to purchase an aggregate of 1,794,000 shares of the Company’s Class A common stock, with vesting subject to market conditions. These Market Condition Options become eligible to vest if the average of the closing sales prices of a share of Class A common stock over a trailing twenty trading day period within seven years from the date of grant reaches a stock price of $6.89 per share (also a Market Price Milestone). After the repricing, the modified stock price hurdle is $3.00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each of the above Market Condition Options,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2024 Market Condition Options, the following assumptions were used to determine the grant date fair value:</w:t>
      </w:r>
    </w:p>
    <w:tbl>
      <w:tblPr>
        <w:tblW w:w="4515" w:type="dxa"/>
        <w:jc w:val="left"/>
        <w:tblInd w:w="0" w:type="dxa"/>
        <w:tblLayout w:type="fixed"/>
        <w:tblCellMar>
          <w:top w:w="28" w:type="dxa"/>
          <w:left w:w="28" w:type="dxa"/>
          <w:bottom w:w="28" w:type="dxa"/>
          <w:right w:w="28" w:type="dxa"/>
        </w:tblCellMar>
      </w:tblPr>
      <w:tblGrid>
        <w:gridCol w:w="3271"/>
        <w:gridCol w:w="146"/>
        <w:gridCol w:w="211"/>
        <w:gridCol w:w="571"/>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2023 Market Condition Options, the following assumptions were used to determine the grant date fair value:</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271"/>
        <w:gridCol w:w="146"/>
        <w:gridCol w:w="448"/>
        <w:gridCol w:w="1217"/>
        <w:gridCol w:w="271"/>
        <w:gridCol w:w="146"/>
        <w:gridCol w:w="456"/>
        <w:gridCol w:w="1239"/>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Assumptions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Modified Assumptions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hurdle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years ended December 31, 2025 and 2024, the Company recognized compensation expense of $1.0 million and $1.8 million,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$0.7 million of unrecognized compensation cost related to unvested 2024 Market Condition Options is expected to be recognized as expense over a remaining weighted-average period of 1.9 years.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$0.6 million of unrecognized compensation cost related to unvested 2023 Market Condition Options is expected to be recognized as expense over a remaining weighted-average period of 2.0 years.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four years from the vesting start date.</w:t>
      </w:r>
    </w:p>
    <w:p>
      <w:pPr>
        <w:pStyle w:val="TextBody"/>
        <w:bidi w:val="0"/>
        <w:jc w:val="left"/>
        <w:rPr>
          <w:rFonts w:ascii="Times New Roman" w:hAnsi="Times New Roman"/>
          <w:color w:val="000000"/>
          <w:sz w:val="20"/>
        </w:rPr>
      </w:pPr>
      <w:r>
        <w:rPr>
          <w:rFonts w:ascii="Times New Roman" w:hAnsi="Times New Roman"/>
          <w:color w:val="000000"/>
          <w:sz w:val="20"/>
        </w:rPr>
        <w:t>RSU activity for the year ended December 31, 2025 is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596"/>
        <w:gridCol w:w="146"/>
        <w:gridCol w:w="181"/>
        <w:gridCol w:w="1229"/>
        <w:gridCol w:w="166"/>
        <w:gridCol w:w="146"/>
        <w:gridCol w:w="472"/>
        <w:gridCol w:w="104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connection with the vesting of restricted stock units, the Company withheld shares of Class A common stock to satisfy tax withholding and remittance obligations. For the year ended December 31, 2025, the Company withheld 359,664 shares of Class A common stock, which were retired, for $0.8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the total unrecognized stock-based compensation related to RSUs was $6.5 million, which the Company expects to recognize over a remaining weighted-average period of 2.2 years.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ESPP provides for an annual, automatic increase in the number of shares of the Company’s Class A common stock reserved for issuance under the ESPP as of the first day of each fiscal year of the Company beginning with the Company’s 2021 fiscal year, in an amount equal to the least of (a) 1,807,476 shares, (b) a number of shares equal to 1% of the total number of shares of all classes of common stock of the Company outstanding on the last day of the immediately preceding fiscal year, or (c) such number of shares determined by the administrator of the ESPP prior to the date of such share increase.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a total of 2,026,531 shares of Class A common stock are reserved for issuance under the ESPP. During the year ended December 31, 2025, 231,665 shares of Class A common stock were issued under the ESPP. As of December 31, 2025, the total unrecognized stock-based compensation related to the ESPP was $41,000, which the Company expects to recognize over a remaining weighted-average period of 0.4 years.</w:t>
      </w:r>
    </w:p>
    <w:p>
      <w:pPr>
        <w:pStyle w:val="TextBody"/>
        <w:bidi w:val="0"/>
        <w:jc w:val="left"/>
        <w:rPr>
          <w:rFonts w:ascii="Times New Roman" w:hAnsi="Times New Roman"/>
          <w:color w:val="000000"/>
          <w:sz w:val="20"/>
        </w:rPr>
      </w:pPr>
      <w:r>
        <w:rPr>
          <w:rFonts w:ascii="Times New Roman" w:hAnsi="Times New Roman"/>
          <w:color w:val="000000"/>
          <w:sz w:val="20"/>
        </w:rPr>
        <w:t>The fair value of the ESPP shares is estimated using the Black-Scholes option pricing model, based on the following assumptions:</w:t>
      </w:r>
    </w:p>
    <w:p>
      <w:pPr>
        <w:pStyle w:val="TextBody"/>
        <w:bidi w:val="0"/>
        <w:jc w:val="left"/>
        <w:rPr/>
      </w:pPr>
      <w:r>
        <w:rPr/>
        <w:t> </w:t>
      </w:r>
    </w:p>
    <w:tbl>
      <w:tblPr>
        <w:tblW w:w="5524" w:type="dxa"/>
        <w:jc w:val="left"/>
        <w:tblInd w:w="0" w:type="dxa"/>
        <w:tblLayout w:type="fixed"/>
        <w:tblCellMar>
          <w:top w:w="28" w:type="dxa"/>
          <w:left w:w="28" w:type="dxa"/>
          <w:bottom w:w="28" w:type="dxa"/>
          <w:right w:w="28" w:type="dxa"/>
        </w:tblCellMar>
      </w:tblPr>
      <w:tblGrid>
        <w:gridCol w:w="2131"/>
        <w:gridCol w:w="146"/>
        <w:gridCol w:w="375"/>
        <w:gridCol w:w="930"/>
        <w:gridCol w:w="223"/>
        <w:gridCol w:w="223"/>
        <w:gridCol w:w="375"/>
        <w:gridCol w:w="930"/>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- 4.3%</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 - 5.4%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 - 42.4%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 - 66.3%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recognized in the Company’s consolidated statements of operations and comprehensive loss (in thousands):</w:t>
      </w:r>
    </w:p>
    <w:p>
      <w:pPr>
        <w:pStyle w:val="TextBody"/>
        <w:bidi w:val="0"/>
        <w:jc w:val="left"/>
        <w:rPr/>
      </w:pPr>
      <w:r>
        <w:rPr/>
        <w:t> </w:t>
      </w:r>
    </w:p>
    <w:tbl>
      <w:tblPr>
        <w:tblW w:w="5213" w:type="dxa"/>
        <w:jc w:val="left"/>
        <w:tblInd w:w="0" w:type="dxa"/>
        <w:tblLayout w:type="fixed"/>
        <w:tblCellMar>
          <w:top w:w="28" w:type="dxa"/>
          <w:left w:w="28" w:type="dxa"/>
          <w:bottom w:w="28" w:type="dxa"/>
          <w:right w:w="28" w:type="dxa"/>
        </w:tblCellMar>
      </w:tblPr>
      <w:tblGrid>
        <w:gridCol w:w="295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8.</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For the fiscal years ended 2025 and 2024, the Company contributed $0.3 million and $0.6 million to the 401(k) plan, respectively.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December 31, 2025 and 2024, which is secured by restricted cash and is presented as noncurrent at each date based on the term of the underlying lease.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components of lease expense and supplemental information were as follows (in thousands):</w:t>
      </w:r>
    </w:p>
    <w:tbl>
      <w:tblPr>
        <w:tblW w:w="4207" w:type="dxa"/>
        <w:jc w:val="left"/>
        <w:tblInd w:w="0" w:type="dxa"/>
        <w:tblLayout w:type="fixed"/>
        <w:tblCellMar>
          <w:top w:w="28" w:type="dxa"/>
          <w:left w:w="28" w:type="dxa"/>
          <w:bottom w:w="28" w:type="dxa"/>
          <w:right w:w="28" w:type="dxa"/>
        </w:tblCellMar>
      </w:tblPr>
      <w:tblGrid>
        <w:gridCol w:w="1876"/>
        <w:gridCol w:w="146"/>
        <w:gridCol w:w="226"/>
        <w:gridCol w:w="614"/>
        <w:gridCol w:w="157"/>
        <w:gridCol w:w="157"/>
        <w:gridCol w:w="226"/>
        <w:gridCol w:w="614"/>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80" w:type="dxa"/>
        <w:jc w:val="left"/>
        <w:tblInd w:w="0" w:type="dxa"/>
        <w:tblLayout w:type="fixed"/>
        <w:tblCellMar>
          <w:top w:w="28" w:type="dxa"/>
          <w:left w:w="28" w:type="dxa"/>
          <w:bottom w:w="28" w:type="dxa"/>
          <w:right w:w="28" w:type="dxa"/>
        </w:tblCellMar>
      </w:tblPr>
      <w:tblGrid>
        <w:gridCol w:w="4126"/>
        <w:gridCol w:w="146"/>
        <w:gridCol w:w="203"/>
        <w:gridCol w:w="503"/>
        <w:gridCol w:w="377"/>
        <w:gridCol w:w="203"/>
        <w:gridCol w:w="203"/>
        <w:gridCol w:w="503"/>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Variable lease costs primarily consist of common area maintenance.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tbl>
      <w:tblPr>
        <w:tblW w:w="8137" w:type="dxa"/>
        <w:jc w:val="left"/>
        <w:tblInd w:w="0" w:type="dxa"/>
        <w:tblLayout w:type="fixed"/>
        <w:tblCellMar>
          <w:top w:w="28" w:type="dxa"/>
          <w:left w:w="28" w:type="dxa"/>
          <w:bottom w:w="28" w:type="dxa"/>
          <w:right w:w="28" w:type="dxa"/>
        </w:tblCellMar>
      </w:tblPr>
      <w:tblGrid>
        <w:gridCol w:w="5806"/>
        <w:gridCol w:w="146"/>
        <w:gridCol w:w="226"/>
        <w:gridCol w:w="614"/>
        <w:gridCol w:w="157"/>
        <w:gridCol w:w="157"/>
        <w:gridCol w:w="226"/>
        <w:gridCol w:w="614"/>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2025, future minimum commitments under the Company’s non-cancelable facility operating leases are as follows:</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4831"/>
        <w:gridCol w:w="146"/>
        <w:gridCol w:w="211"/>
        <w:gridCol w:w="676"/>
        <w:gridCol w:w="3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 for minimum lease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left"/>
        <w:rPr>
          <w:rFonts w:ascii="Times New Roman" w:hAnsi="Times New Roman"/>
          <w:b/>
          <w:i/>
          <w:color w:val="000000"/>
          <w:sz w:val="20"/>
        </w:rPr>
      </w:pPr>
      <w:r>
        <w:rPr>
          <w:rFonts w:ascii="Times New Roman" w:hAnsi="Times New Roman"/>
          <w:b/>
          <w:i/>
          <w:color w:val="000000"/>
          <w:sz w:val="20"/>
        </w:rPr>
        <w:t>Purchase Commitments and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From time to time, the Company has certain purchase commitments related to its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$0.4 million and $4.5 million as of December 31, 2025 and 2024,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2025 and 2024, the Company does not have any material indemnification claims that were probable or reasonably possible and consequently has not recorded related liabilities.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not currently a party to any material legal proceedings.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jc w:val="left"/>
        <w:rPr>
          <w:rFonts w:ascii="Times New Roman" w:hAnsi="Times New Roman"/>
          <w:color w:val="000000"/>
          <w:sz w:val="20"/>
        </w:rPr>
      </w:pPr>
      <w:r>
        <w:rPr>
          <w:rFonts w:ascii="Times New Roman" w:hAnsi="Times New Roman"/>
          <w:color w:val="000000"/>
          <w:sz w:val="20"/>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2025 and 2024, the Company recorded $0.3 million and $0.4 million in related party receivables, respectively, on the consolidated balance sheets mainly due from product sales and service revenue. For the years ended December 31, 2025 and 2024, the Company recognized revenue of $0.8 million, primarily from services, and $2.3 million, of which $1.6 million was from product sales, respectively, and is presented as related party revenue on the consolidated statements of operations and comprehensive loss.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August 12, 2024, the Company entered into a preferred stock purchase agreement with PrognomiQ, pursuant to which the Company purchased $10.0 million of PrognomiQ's Series D Preferred Stock. On July 31, 2025, the Company made an additional $1.9 million investment in the same series. Subsequently, in January 2026, the Company made an additional $1.5 million investment. The investment is accounted for as an equity security in accordance with ASC 321.</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2025, the carrying value of the investment was $3.4 million and is included in other assets on the consolidated balance sheets. The carrying value is adjusted by the Company's share in loss in the equity method investment. For the year ended December 31, 2025 and 2024, there were no impairment and recognized gains or losses to the carrying value.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discussed above in Note 6, on December 9, 2025, all of the Company's outstanding Class B common stock were automatically converted (the "Conversion") into the same number of shares of Class A common stock pursuant to the terms of the Company’s Amended and Restated Certificate of Incorporation, as amended. We do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 As the liquidation and dividend rights were identical, the Company’s undistributed earnings or losses were allocated on a proportionate basis among the holders of Class A and Class B common stock. As a result, the net loss per share attributed to common stockholders was, therefore, the same for both Class A and Class B common stock on an individual or combined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shows the computation of basic and diluted net loss per share (in thousands, except share and per share data):</w:t>
      </w:r>
    </w:p>
    <w:tbl>
      <w:tblPr>
        <w:tblW w:w="7034" w:type="dxa"/>
        <w:jc w:val="left"/>
        <w:tblInd w:w="0" w:type="dxa"/>
        <w:tblLayout w:type="fixed"/>
        <w:tblCellMar>
          <w:top w:w="28" w:type="dxa"/>
          <w:left w:w="28" w:type="dxa"/>
          <w:bottom w:w="28" w:type="dxa"/>
          <w:right w:w="28" w:type="dxa"/>
        </w:tblCellMar>
      </w:tblPr>
      <w:tblGrid>
        <w:gridCol w:w="3871"/>
        <w:gridCol w:w="146"/>
        <w:gridCol w:w="211"/>
        <w:gridCol w:w="1036"/>
        <w:gridCol w:w="166"/>
        <w:gridCol w:w="146"/>
        <w:gridCol w:w="211"/>
        <w:gridCol w:w="1036"/>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Net loss attributable to Class A and Class B </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shares used in computing </w:t>
              <w:br/>
              <w:t xml:space="preserve">    net loss per share attributable to Class A </w:t>
              <w:br/>
              <w:t>    and Class B common stockholders,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57,447,580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62,348,012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w:t>
              <w:br/>
              <w:t xml:space="preserve">    Class B common stockholders, basic and </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539"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103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ESPP shares to be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17,770,021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components of the provision for income taxes are summarized as follows (in thousands):</w:t>
      </w:r>
    </w:p>
    <w:tbl>
      <w:tblPr>
        <w:tblW w:w="4781" w:type="dxa"/>
        <w:jc w:val="left"/>
        <w:tblInd w:w="0" w:type="dxa"/>
        <w:tblLayout w:type="fixed"/>
        <w:tblCellMar>
          <w:top w:w="28" w:type="dxa"/>
          <w:left w:w="28" w:type="dxa"/>
          <w:bottom w:w="28" w:type="dxa"/>
          <w:right w:w="28" w:type="dxa"/>
        </w:tblCellMar>
      </w:tblPr>
      <w:tblGrid>
        <w:gridCol w:w="2281"/>
        <w:gridCol w:w="146"/>
        <w:gridCol w:w="253"/>
        <w:gridCol w:w="505"/>
        <w:gridCol w:w="199"/>
        <w:gridCol w:w="175"/>
        <w:gridCol w:w="253"/>
        <w:gridCol w:w="578"/>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 reconciliation of the U.S. federal statutory rate to the Company's effective tax rate for the year ended December 31, 2025, subsequent to the adoption of ASU 2023-09, including the amount and percentage of income before taxes, was as follows (in thousands, except percentages):</w:t>
      </w:r>
    </w:p>
    <w:tbl>
      <w:tblPr>
        <w:tblW w:w="6283" w:type="dxa"/>
        <w:jc w:val="left"/>
        <w:tblInd w:w="0" w:type="dxa"/>
        <w:tblLayout w:type="fixed"/>
        <w:tblCellMar>
          <w:top w:w="28" w:type="dxa"/>
          <w:left w:w="28" w:type="dxa"/>
          <w:bottom w:w="28" w:type="dxa"/>
          <w:right w:w="28" w:type="dxa"/>
        </w:tblCellMar>
      </w:tblPr>
      <w:tblGrid>
        <w:gridCol w:w="3181"/>
        <w:gridCol w:w="146"/>
        <w:gridCol w:w="262"/>
        <w:gridCol w:w="915"/>
        <w:gridCol w:w="206"/>
        <w:gridCol w:w="181"/>
        <w:gridCol w:w="199"/>
        <w:gridCol w:w="717"/>
        <w:gridCol w:w="47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benefit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taxes, net of federal benefit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State taxes in California made up greater than 50% of the tax effect in this category.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 reconciliation of the U.S. federal statutory rate to the Company's effective tax rate for the year ended December 31, 2024, prior to the adoption of ASU 2023-09, was as follows (in thousands):</w:t>
      </w:r>
    </w:p>
    <w:tbl>
      <w:tblPr>
        <w:tblW w:w="7798" w:type="dxa"/>
        <w:jc w:val="left"/>
        <w:tblInd w:w="0" w:type="dxa"/>
        <w:tblLayout w:type="fixed"/>
        <w:tblCellMar>
          <w:top w:w="28" w:type="dxa"/>
          <w:left w:w="28" w:type="dxa"/>
          <w:bottom w:w="28" w:type="dxa"/>
          <w:right w:w="28" w:type="dxa"/>
        </w:tblCellMar>
      </w:tblPr>
      <w:tblGrid>
        <w:gridCol w:w="5041"/>
        <w:gridCol w:w="146"/>
        <w:gridCol w:w="534"/>
        <w:gridCol w:w="1866"/>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benefit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tax deduction over book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compensation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Income taxes paid, net of refunds, during the period presented were as follows (in thousands):</w:t>
      </w:r>
    </w:p>
    <w:tbl>
      <w:tblPr>
        <w:tblW w:w="6108" w:type="dxa"/>
        <w:jc w:val="left"/>
        <w:tblInd w:w="0" w:type="dxa"/>
        <w:tblLayout w:type="fixed"/>
        <w:tblCellMar>
          <w:top w:w="28" w:type="dxa"/>
          <w:left w:w="28" w:type="dxa"/>
          <w:bottom w:w="28" w:type="dxa"/>
          <w:right w:w="28" w:type="dxa"/>
        </w:tblCellMar>
      </w:tblPr>
      <w:tblGrid>
        <w:gridCol w:w="3271"/>
        <w:gridCol w:w="146"/>
        <w:gridCol w:w="799"/>
        <w:gridCol w:w="1601"/>
        <w:gridCol w:w="2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Kingdon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Deferred income tax reflects the tax effects of temporary differences between the carrying amounts of assets and liabilities for financial reporting purposes and the amounts used for income tax purposes. The categories that give rise to significant components of the Company's deferred tax assets and liabilities are as follows (in thousands):</w:t>
      </w:r>
    </w:p>
    <w:tbl>
      <w:tblPr>
        <w:tblW w:w="6664" w:type="dxa"/>
        <w:jc w:val="left"/>
        <w:tblInd w:w="0" w:type="dxa"/>
        <w:tblLayout w:type="fixed"/>
        <w:tblCellMar>
          <w:top w:w="28" w:type="dxa"/>
          <w:left w:w="28" w:type="dxa"/>
          <w:bottom w:w="28" w:type="dxa"/>
          <w:right w:w="28" w:type="dxa"/>
        </w:tblCellMar>
      </w:tblPr>
      <w:tblGrid>
        <w:gridCol w:w="3696"/>
        <w:gridCol w:w="146"/>
        <w:gridCol w:w="211"/>
        <w:gridCol w:w="841"/>
        <w:gridCol w:w="166"/>
        <w:gridCol w:w="146"/>
        <w:gridCol w:w="211"/>
        <w:gridCol w:w="736"/>
        <w:gridCol w:w="51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experimentation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In the U.S, a significant piece of objective negative evidence evaluated was the cumulative loss incurred since the Company’s incorporation in 2017. Such objective evidence limits the ability to recognize the domestic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2025 and 2024, the net changes in the net valuation allowance were an increase of $16.4 million and $17.1 million,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and 2024, the Company had federal net operating loss carryforwards of approximately $262.4 million and $182.3 million, respectively, which will carryforward indefinitely for federal tax purposes. At December 31, 2025 and 2024, the Company had state net operating loss carryforwards of approximately $226.6 million and $185.7 million, respectively, which will begin to expire in 2035 for state tax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and 2024, the Company had federal research and development credit carryforwards of approximately $8.6 million and $7.0 million, respectively, which begin to expire in 2039 and state research and development credit carryforwards of approximately $6.8 million and $5.5 million, respectively, which will carry forward indefinitely.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concluded that while ownership changes occurred in 2018, 2020, and 2022, no tax attributes are expected to expire unutilized as a result of the Section 382 limitation.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and 2024, the Company had unrecognized tax benefits of approximately $3.8 million and $3.1 million, respectively. The amount of unrecognized tax benefits is not expected to significantly change over the next twelve months. No amounts, outside of valuation allowance, would impact the effective tax rate on the continuing operations. The beginning and ending unrecognized tax benefits amounts are as follows (in thousands):</w:t>
      </w:r>
    </w:p>
    <w:tbl>
      <w:tblPr>
        <w:tblW w:w="5554" w:type="dxa"/>
        <w:jc w:val="left"/>
        <w:tblInd w:w="0" w:type="dxa"/>
        <w:tblLayout w:type="fixed"/>
        <w:tblCellMar>
          <w:top w:w="28" w:type="dxa"/>
          <w:left w:w="28" w:type="dxa"/>
          <w:bottom w:w="28" w:type="dxa"/>
          <w:right w:w="28" w:type="dxa"/>
        </w:tblCellMar>
      </w:tblPr>
      <w:tblGrid>
        <w:gridCol w:w="3361"/>
        <w:gridCol w:w="146"/>
        <w:gridCol w:w="211"/>
        <w:gridCol w:w="571"/>
        <w:gridCol w:w="146"/>
        <w:gridCol w:w="146"/>
        <w:gridCol w:w="211"/>
        <w:gridCol w:w="57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related to current year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It is the Company’s policy to include penalties and interest expense related to income taxes as a component of other expense and interest expense, respectively, as necessary. Management determined that no accrual for interest and penalties was required as of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files tax returns in the U.S., United Kingdom, and Germany. Domestic tax returns will remain open for examination by the federal and state taxing authorities for three and four years, respectively, from the date of utilization of any net operating loss carryforwards or research and development credits.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operates in one reportable segment.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chief operating decision maker (CODM) is the chief executive officer. The CODM makes decisions on resource allocation, assesses performance of the business, and monitors budget versus actual results using net loss. The CODM does not evaluate operating segment using asset or liability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sets forth information on segment net loss, including significant segment expenses (in thousands):</w:t>
      </w:r>
    </w:p>
    <w:tbl>
      <w:tblPr>
        <w:tblW w:w="5914" w:type="dxa"/>
        <w:jc w:val="left"/>
        <w:tblInd w:w="0" w:type="dxa"/>
        <w:tblLayout w:type="fixed"/>
        <w:tblCellMar>
          <w:top w:w="28" w:type="dxa"/>
          <w:left w:w="28" w:type="dxa"/>
          <w:bottom w:w="28" w:type="dxa"/>
          <w:right w:w="28" w:type="dxa"/>
        </w:tblCellMar>
      </w:tblPr>
      <w:tblGrid>
        <w:gridCol w:w="2926"/>
        <w:gridCol w:w="146"/>
        <w:gridCol w:w="211"/>
        <w:gridCol w:w="736"/>
        <w:gridCol w:w="166"/>
        <w:gridCol w:w="146"/>
        <w:gridCol w:w="211"/>
        <w:gridCol w:w="781"/>
        <w:gridCol w:w="5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Other includes laboratory expenses, travel expenses, and allocated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2025 and 2024, long-lived assets were primarily located in the United States.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jc w:val="left"/>
        <w:rPr>
          <w:rFonts w:ascii="Times New Roman" w:hAnsi="Times New Roman"/>
          <w:color w:val="000000"/>
          <w:sz w:val="20"/>
        </w:rPr>
      </w:pPr>
      <w:r>
        <w:rPr>
          <w:rFonts w:ascii="Times New Roman" w:hAnsi="Times New Roman"/>
          <w:color w:val="000000"/>
          <w:sz w:val="20"/>
        </w:rPr>
        <w:t>The Company evaluated subsequent events from December 31, 2025, the date of these consolidated financial statements, through March 2, 2026, which represents the date the consolidated financial statements were available to be issued for events requiring recording or disclosure in the consolidated financial statements for the year ended December 31, 2025. The Company concluded that no events have occurred that would require recognition or disclosure in the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24" w:name="item_9a_controls_and_procedures"/>
      <w:bookmarkEnd w:id="24"/>
      <w:r>
        <w:rPr>
          <w:rFonts w:ascii="Times New Roman" w:hAnsi="Times New Roman"/>
          <w:b/>
          <w:color w:val="000000"/>
          <w:sz w:val="20"/>
        </w:rPr>
        <w:t>Item 9A.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2025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As of December 31, 2025, our management conducted an evaluation, under the supervision and with the participation of our CEO and CFO, of the effectiveness of our internal control over financial reporting based upon the framework in the </w:t>
      </w:r>
      <w:r>
        <w:rPr>
          <w:rFonts w:ascii="Times New Roman" w:hAnsi="Times New Roman"/>
          <w:i/>
          <w:color w:val="000000"/>
          <w:sz w:val="20"/>
        </w:rPr>
        <w:t xml:space="preserve">Internal Control - Integrated Framework </w:t>
      </w:r>
      <w:r>
        <w:rPr>
          <w:rFonts w:ascii="Times New Roman" w:hAnsi="Times New Roman"/>
          <w:color w:val="000000"/>
          <w:sz w:val="20"/>
        </w:rPr>
        <w:t>(2013), issued by the Committee of Sponsoring Organizations of the Treadway Commission. Based upon that evaluation, our CEO and CFO concluded that our internal control over financial reporting was effective as of December 31,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a smaller reporting company, and therefore our independent registered public accounting firm has not issued a report on the effectiveness of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year ended December 31, 2025 that have materially affected, or are reasonably likely to materially affect, our internal control over financial reporting.</w:t>
      </w:r>
    </w:p>
    <w:p>
      <w:pPr>
        <w:pStyle w:val="TextBody"/>
        <w:bidi w:val="0"/>
        <w:spacing w:before="180" w:after="180"/>
        <w:jc w:val="left"/>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jc w:val="left"/>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 officers or directors, as defined in Rule 16a-1(f) under the Exchange Act, adopted or terminated a “Rule 10b5-1 trading arrangement” or “non-Rule 10b5-1 trading arrangement,” each as defined in Regulation S-K Item 408, during the last fiscal quarter.</w:t>
      </w:r>
    </w:p>
    <w:p>
      <w:pPr>
        <w:pStyle w:val="TextBody"/>
        <w:bidi w:val="0"/>
        <w:spacing w:before="180" w:after="180"/>
        <w:jc w:val="left"/>
        <w:rPr>
          <w:rFonts w:ascii="Times New Roman" w:hAnsi="Times New Roman"/>
          <w:b/>
          <w:color w:val="000000"/>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180" w:after="283"/>
        <w:jc w:val="left"/>
        <w:rPr>
          <w:rFonts w:ascii="Times New Roman" w:hAnsi="Times New Roman"/>
          <w:sz w:val="20"/>
        </w:rPr>
      </w:pPr>
      <w:bookmarkStart w:id="28" w:name="item_10_directors_executive"/>
      <w:bookmarkEnd w:id="28"/>
      <w:r>
        <w:rPr>
          <w:rFonts w:ascii="Times New Roman" w:hAnsi="Times New Roman"/>
          <w:b/>
          <w:color w:val="000000"/>
          <w:sz w:val="20"/>
        </w:rPr>
        <w:t>Item 10. Directors, Executive</w:t>
      </w:r>
      <w:r>
        <w:rPr>
          <w:rFonts w:ascii="Times New Roman" w:hAnsi="Times New Roman"/>
          <w:color w:val="000000"/>
          <w:sz w:val="20"/>
        </w:rPr>
        <w:t xml:space="preserve"> </w:t>
      </w:r>
      <w:r>
        <w:rPr>
          <w:rFonts w:ascii="Times New Roman" w:hAnsi="Times New Roman"/>
          <w:b/>
          <w:color w:val="000000"/>
          <w:sz w:val="20"/>
        </w:rPr>
        <w:t>Officers and Corporate Governance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2025.</w:t>
      </w:r>
    </w:p>
    <w:p>
      <w:pPr>
        <w:pStyle w:val="TextBody"/>
        <w:bidi w:val="0"/>
        <w:spacing w:before="180" w:after="180"/>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180"/>
        <w:jc w:val="left"/>
        <w:rPr>
          <w:rFonts w:ascii="Times New Roman" w:hAnsi="Times New Roman"/>
          <w:b/>
          <w:color w:val="000000"/>
          <w:sz w:val="20"/>
        </w:rPr>
      </w:pPr>
      <w:bookmarkStart w:id="30" w:name="item_12_security_ownership_of_certain"/>
      <w:bookmarkEnd w:id="30"/>
      <w:r>
        <w:rPr>
          <w:rFonts w:ascii="Times New Roman" w:hAnsi="Times New Roman"/>
          <w:b/>
          <w:color w:val="000000"/>
          <w:sz w:val="20"/>
        </w:rPr>
        <w:t>Item 12. Security Ownership of Certain Beneficial Owners and Management and Related Stockholder Matters</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180"/>
        <w:jc w:val="left"/>
        <w:rPr>
          <w:rFonts w:ascii="Times New Roman" w:hAnsi="Times New Roman"/>
          <w:b/>
          <w:color w:val="000000"/>
          <w:sz w:val="20"/>
        </w:rPr>
      </w:pPr>
      <w:bookmarkStart w:id="31" w:name="item_13_certain_relationships"/>
      <w:bookmarkEnd w:id="31"/>
      <w:r>
        <w:rPr>
          <w:rFonts w:ascii="Times New Roman" w:hAnsi="Times New Roman"/>
          <w:b/>
          <w:color w:val="000000"/>
          <w:sz w:val="20"/>
        </w:rPr>
        <w:t>Item 13. Certain Relationships and Related Transactions, and Director Independence</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180"/>
        <w:jc w:val="left"/>
        <w:rPr>
          <w:rFonts w:ascii="Times New Roman" w:hAnsi="Times New Roman"/>
          <w:b/>
          <w:color w:val="000000"/>
          <w:sz w:val="20"/>
        </w:rPr>
      </w:pPr>
      <w:bookmarkStart w:id="32" w:name="item_14_principal_accounting"/>
      <w:bookmarkEnd w:id="32"/>
      <w:r>
        <w:rPr>
          <w:rFonts w:ascii="Times New Roman" w:hAnsi="Times New Roman"/>
          <w:b/>
          <w:color w:val="000000"/>
          <w:sz w:val="20"/>
        </w:rPr>
        <w:t>Item 14. Principal Accounting Fees and Services</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spacing w:before="0" w:after="180"/>
        <w:jc w:val="left"/>
        <w:rPr>
          <w:rFonts w:ascii="Times New Roman" w:hAnsi="Times New Roman"/>
          <w:sz w:val="20"/>
        </w:rPr>
      </w:pPr>
      <w:bookmarkStart w:id="34" w:name="item_15_exhibits_and_financial"/>
      <w:bookmarkEnd w:id="34"/>
      <w:r>
        <w:rPr>
          <w:rFonts w:ascii="Times New Roman" w:hAnsi="Times New Roman"/>
          <w:b/>
          <w:color w:val="000000"/>
          <w:sz w:val="20"/>
        </w:rPr>
        <w:t>Item 15. Exhibits and Financial</w:t>
      </w:r>
      <w:r>
        <w:rPr>
          <w:rFonts w:ascii="Times New Roman" w:hAnsi="Times New Roman"/>
          <w:color w:val="000000"/>
          <w:sz w:val="20"/>
        </w:rPr>
        <w:t xml:space="preserve"> </w:t>
      </w:r>
      <w:r>
        <w:rPr>
          <w:rFonts w:ascii="Times New Roman" w:hAnsi="Times New Roman"/>
          <w:b/>
          <w:color w:val="000000"/>
          <w:sz w:val="20"/>
        </w:rPr>
        <w:t>Statement Schedules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Financial Statements: The financial statements filed as part of this Annual Report are included in Part II, Item 8 of this Annual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9"/>
        <w:gridCol w:w="146"/>
        <w:gridCol w:w="5643"/>
        <w:gridCol w:w="542"/>
        <w:gridCol w:w="146"/>
        <w:gridCol w:w="935"/>
        <w:gridCol w:w="146"/>
        <w:gridCol w:w="631"/>
        <w:gridCol w:w="146"/>
        <w:gridCol w:w="861"/>
      </w:tblGrid>
      <w:tr>
        <w:trPr/>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0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64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4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9"/>
                  <w:u w:val="single"/>
                </w:rPr>
                <w:t>Amended and Restated Certificate of Incorporation of the Registrant</w:t>
              </w:r>
            </w:hyperlink>
            <w:r>
              <w:rPr>
                <w:rFonts w:ascii="Times New Roman" w:hAnsi="Times New Roman"/>
                <w:color w:val="000000"/>
                <w:sz w:val="19"/>
              </w:rPr>
              <w:t>.</w:t>
            </w:r>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12/8/2020</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9"/>
                  <w:u w:val="single"/>
                </w:rPr>
                <w:t>Amendment to the Amended and Restatement Certificate of Incorporation of the Company.</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6/16/2023</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9"/>
                  <w:u w:val="single"/>
                </w:rPr>
                <w:t>Amended and Restated Bylaws of the Registrant.</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6/16/2023</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9"/>
                  <w:u w:val="single"/>
                </w:rPr>
                <w:t>Certificate of Retirement.</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12/12/2025</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9"/>
                  <w:u w:val="single"/>
                </w:rPr>
                <w:t>Form of common stock certificate of the Registrant.</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9"/>
                  <w:u w:val="single"/>
                </w:rPr>
                <w:t>Description of the Registrant’s securities registered pursuant to Section 12 of the Securities Exchange Act of 1934.</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001-39747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3/3/2025</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9"/>
                  <w:u w:val="single"/>
                </w:rPr>
                <w:t>Form of Indemnification Agreement between the Registrant and each of its directors and executive officers.</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19"/>
                  <w:u w:val="single"/>
                </w:rPr>
                <w:t>2020 Equity Incentive Plan and related form agreements.</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9"/>
                  <w:u w:val="single"/>
                </w:rPr>
                <w:t>2017 Stock Incentive Plan and related form agreements.</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3/3/2025</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9"/>
                  <w:u w:val="single"/>
                </w:rPr>
                <w:t>2020 RSU Equity Incentive Plan and related form agreements.</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9"/>
                  <w:u w:val="single"/>
                </w:rPr>
                <w:t>Amended and Restated 2020 Employee Stock Purchase Plan and related form agreements.</w:t>
              </w:r>
            </w:hyperlink>
            <w:hyperlink r:id="rId27">
              <w:r>
                <w:rPr>
                  <w:rStyle w:val="InternetLink"/>
                  <w:rFonts w:ascii="Times New Roman" w:hAnsi="Times New Roman"/>
                  <w:color w:val="0000FF"/>
                  <w:sz w:val="19"/>
                </w:rPr>
                <w:t xml:space="preserve"> </w:t>
              </w:r>
            </w:hyperlink>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333-270351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3/8/2023</w:t>
            </w:r>
          </w:p>
        </w:tc>
      </w:tr>
      <w:tr>
        <w:trPr/>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0"/>
        <w:gridCol w:w="146"/>
        <w:gridCol w:w="6378"/>
        <w:gridCol w:w="440"/>
        <w:gridCol w:w="146"/>
        <w:gridCol w:w="860"/>
        <w:gridCol w:w="146"/>
        <w:gridCol w:w="571"/>
        <w:gridCol w:w="146"/>
        <w:gridCol w:w="752"/>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9"/>
                  <w:u w:val="single"/>
                </w:rPr>
                <w:t>Confirmatory Offer Letter between the Registrant and Dr. Omid Farokhzad, dated November 30, 2020.</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9"/>
                  <w:u w:val="single"/>
                </w:rPr>
                <w:t>Confirmatory Offer Letter between the Registrant and David Horn, dated November 30, 2020.</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9"/>
                  <w:u w:val="single"/>
                </w:rPr>
                <w:t>CEO Change in Control and Severance Agreement between the Registrant and Dr. Omid Farokhzad, dated November 30, 2020.</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19"/>
                  <w:u w:val="single"/>
                </w:rPr>
                <w:t>Executive Incentive Compensation Plan</w:t>
              </w:r>
            </w:hyperlink>
            <w:r>
              <w:rPr>
                <w:rFonts w:ascii="Times New Roman" w:hAnsi="Times New Roman"/>
                <w:color w:val="000000"/>
                <w:sz w:val="19"/>
              </w:rPr>
              <w:t>.</w:t>
            </w:r>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11/30/2020</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9"/>
                  <w:u w:val="single"/>
                </w:rPr>
                <w:t>Umbrella Development &amp; Supply Agreement between the Registrant and Hamilton Company, dated March 9, 2020.</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19"/>
                  <w:u w:val="single"/>
                </w:rPr>
                <w:t>Exclusive Patent License Agreement between the Registrant and The Brigham and Women’s Hospital, Inc., dated December 18, 2017.</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333-250035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11/12/2020</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w:anchor="ck0001726445-ex10_12.htm">
              <w:r>
                <w:rPr>
                  <w:rStyle w:val="InternetLink"/>
                  <w:rFonts w:ascii="Times New Roman" w:hAnsi="Times New Roman"/>
                  <w:color w:val="0000FF"/>
                  <w:sz w:val="19"/>
                  <w:u w:val="single"/>
                </w:rPr>
                <w:t>Outside Director Compensation Policy (as amended on February 25, 2026).</w:t>
              </w:r>
            </w:hyperlink>
          </w:p>
        </w:tc>
        <w:tc>
          <w:tcPr>
            <w:tcW w:w="4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9"/>
                  <w:u w:val="single"/>
                </w:rPr>
                <w:t>Key Executive Change in Control and Severance Plan, and form of Participation Agreement thereunder.</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11/7/2023</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Insider Trading Policy.</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3/4/2024</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9"/>
                  <w:u w:val="single"/>
                </w:rPr>
                <w:t>List of Subsidiaries of the Registrant.</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3/3/2025</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w:anchor="ck0001726445-ex23_1.htm">
              <w:r>
                <w:rPr>
                  <w:rStyle w:val="InternetLink"/>
                  <w:rFonts w:ascii="Times New Roman" w:hAnsi="Times New Roman"/>
                  <w:color w:val="0000FF"/>
                  <w:sz w:val="19"/>
                  <w:u w:val="single"/>
                </w:rPr>
                <w:t>Consent of Deloitte &amp; Touche LLP, independent registered public accounting firm.</w:t>
              </w:r>
            </w:hyperlink>
            <w:r>
              <w:rPr>
                <w:rFonts w:ascii="Times New Roman" w:hAnsi="Times New Roman"/>
                <w:color w:val="000000"/>
                <w:sz w:val="19"/>
              </w:rPr>
              <w:t xml:space="preserve">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w:anchor="ck0001726445-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w:anchor="ck0001726445-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w:anchor="ck0001726445-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w:anchor="ck0001726445-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9"/>
                  <w:u w:val="single"/>
                </w:rPr>
                <w:t>Compensation Clawback Policy</w:t>
              </w:r>
            </w:hyperlink>
          </w:p>
        </w:tc>
        <w:tc>
          <w:tcPr>
            <w:tcW w:w="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3/4/2024</w:t>
            </w:r>
          </w:p>
        </w:tc>
      </w:tr>
    </w:tbl>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0"/>
        <w:gridCol w:w="146"/>
        <w:gridCol w:w="8311"/>
        <w:gridCol w:w="146"/>
        <w:gridCol w:w="146"/>
        <w:gridCol w:w="146"/>
        <w:gridCol w:w="146"/>
        <w:gridCol w:w="146"/>
        <w:gridCol w:w="146"/>
        <w:gridCol w:w="192"/>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jc w:val="left"/>
        <w:rPr>
          <w:rFonts w:ascii="Times New Roman" w:hAnsi="Times New Roman"/>
          <w:color w:val="000000"/>
          <w:sz w:val="16"/>
        </w:rPr>
      </w:pPr>
      <w:r>
        <w:rPr>
          <w:rFonts w:ascii="Times New Roman" w:hAnsi="Times New Roman"/>
          <w:color w:val="000000"/>
          <w:sz w:val="16"/>
        </w:rPr>
        <w:t> 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jc w:val="left"/>
        <w:rPr>
          <w:rFonts w:ascii="Times New Roman" w:hAnsi="Times New Roman"/>
          <w:color w:val="000000"/>
          <w:sz w:val="16"/>
        </w:rPr>
      </w:pPr>
      <w:r>
        <w:rPr>
          <w:rFonts w:ascii="Times New Roman" w:hAnsi="Times New Roman"/>
          <w:color w:val="000000"/>
          <w:sz w:val="16"/>
        </w:rPr>
        <w:t># Confidential treatment has been requested for portions of this exhibit. These portions have been omitted and have been filed separately with the Securities and Exchange Commission.</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80" w:after="283"/>
        <w:jc w:val="left"/>
        <w:rPr>
          <w:rFonts w:ascii="Times New Roman" w:hAnsi="Times New Roman"/>
          <w:b/>
          <w:color w:val="000000"/>
          <w:sz w:val="20"/>
        </w:rPr>
      </w:pPr>
      <w:bookmarkStart w:id="35" w:name="item_16_form"/>
      <w:bookmarkEnd w:id="35"/>
      <w:r>
        <w:rPr>
          <w:rFonts w:ascii="Times New Roman" w:hAnsi="Times New Roman"/>
          <w:b/>
          <w:color w:val="000000"/>
          <w:sz w:val="20"/>
        </w:rPr>
        <w:t>Item 16. Form 10-K Summary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March 2, 2026</w:t>
      </w:r>
    </w:p>
    <w:p>
      <w:pPr>
        <w:pStyle w:val="TextBody"/>
        <w:bidi w:val="0"/>
        <w:jc w:val="left"/>
        <w:rPr/>
      </w:pPr>
      <w:r>
        <w:rPr/>
        <w:t> </w:t>
      </w:r>
    </w:p>
    <w:tbl>
      <w:tblPr>
        <w:tblW w:w="2657" w:type="dxa"/>
        <w:jc w:val="left"/>
        <w:tblInd w:w="0" w:type="dxa"/>
        <w:tblLayout w:type="fixed"/>
        <w:tblCellMar>
          <w:top w:w="28" w:type="dxa"/>
          <w:left w:w="28" w:type="dxa"/>
          <w:bottom w:w="28" w:type="dxa"/>
          <w:right w:w="28" w:type="dxa"/>
        </w:tblCellMar>
      </w:tblPr>
      <w:tblGrid>
        <w:gridCol w:w="421"/>
        <w:gridCol w:w="2236"/>
      </w:tblGrid>
      <w:tr>
        <w:trPr/>
        <w:tc>
          <w:tcPr>
            <w:tcW w:w="42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6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Omid Farokhzad,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2206"/>
        <w:gridCol w:w="146"/>
        <w:gridCol w:w="4441"/>
        <w:gridCol w:w="146"/>
        <w:gridCol w:w="129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Omid Farokhzad,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w:t>
            </w:r>
          </w:p>
          <w:p>
            <w:pPr>
              <w:pStyle w:val="TableContents"/>
              <w:bidi w:val="0"/>
              <w:jc w:val="center"/>
              <w:rPr>
                <w:rFonts w:ascii="Times New Roman" w:hAnsi="Times New Roman"/>
                <w:color w:val="000000"/>
                <w:sz w:val="20"/>
              </w:rPr>
            </w:pPr>
            <w:r>
              <w:rPr>
                <w:rFonts w:ascii="Times New Roman" w:hAnsi="Times New Roman"/>
                <w:color w:val="000000"/>
                <w:sz w:val="20"/>
              </w:rPr>
              <w:t>Chair of the Board of Directors</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Omid Farokhzad,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R. Horn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 and President</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R. Horn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Meeta Gulyani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Meeta Gulyani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Langer, Sc.D.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Langer, Sc.D.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Terrance McGuire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Deep Nishar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Deep Nishar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Isaac Ro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Isaac 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Nicolas Roelofs,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2026</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Nicolas Roelofs,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7" w:name="ck0001726445-ex10_12.htm"/>
      <w:bookmarkStart w:id="38" w:name="ksck0001726445ex10_12"/>
      <w:bookmarkEnd w:id="37"/>
      <w:bookmarkEnd w:id="38"/>
      <w:r>
        <w:rPr>
          <w:rFonts w:ascii="Times New Roman" w:hAnsi="Times New Roman"/>
          <w:color w:val="000000"/>
          <w:sz w:val="20"/>
        </w:rPr>
        <w:t>Exhibit 10.12</w:t>
      </w:r>
      <w:r>
        <w:br w:type="page"/>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SEER,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 xml:space="preserve">(as most recently amended and restated effective as of </w:t>
        <w:br/>
        <w:t>February 25, 2026 (the “Restatement Date”))</w:t>
      </w:r>
    </w:p>
    <w:p>
      <w:pPr>
        <w:pStyle w:val="TextBody"/>
        <w:bidi w:val="0"/>
        <w:spacing w:before="480" w:after="283"/>
        <w:jc w:val="both"/>
        <w:rPr>
          <w:rFonts w:ascii="Times New Roman" w:hAnsi="Times New Roman"/>
          <w:sz w:val="20"/>
        </w:rPr>
      </w:pPr>
      <w:r>
        <w:rPr>
          <w:rFonts w:ascii="Times New Roman" w:hAnsi="Times New Roman"/>
          <w:color w:val="000000"/>
          <w:sz w:val="24"/>
        </w:rPr>
        <w:t>Seer,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b/>
          <w:color w:val="000000"/>
          <w:sz w:val="24"/>
        </w:rPr>
        <w:t>Board</w:t>
      </w:r>
      <w:r>
        <w:rPr>
          <w:rFonts w:ascii="Times New Roman" w:hAnsi="Times New Roman"/>
          <w:color w:val="000000"/>
          <w:sz w:val="24"/>
        </w:rPr>
        <w:t>,” and members of the Board, “</w:t>
      </w:r>
      <w:r>
        <w:rPr>
          <w:rFonts w:ascii="Times New Roman" w:hAnsi="Times New Roman"/>
          <w:b/>
          <w:color w:val="000000"/>
          <w:sz w:val="24"/>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w:t>
      </w:r>
      <w:r>
        <w:rPr>
          <w:rFonts w:ascii="Times New Roman" w:hAnsi="Times New Roman"/>
          <w:b/>
          <w:color w:val="000000"/>
          <w:sz w:val="24"/>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b/>
          <w:color w:val="000000"/>
          <w:sz w:val="24"/>
        </w:rPr>
        <w:t>Effective Date</w:t>
      </w:r>
      <w:r>
        <w:rPr>
          <w:rFonts w:ascii="Times New Roman" w:hAnsi="Times New Roman"/>
          <w:color w:val="000000"/>
          <w:sz w:val="24"/>
        </w:rPr>
        <w:t>. This Policy, as initially adopted and prior to any subsequent amendments and restatements, became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hAnsi="Times New Roman"/>
          <w:b/>
          <w:color w:val="000000"/>
          <w:sz w:val="24"/>
        </w:rPr>
        <w:t>Registration Date</w:t>
      </w:r>
      <w:r>
        <w:rPr>
          <w:rFonts w:ascii="Times New Roman" w:hAnsi="Times New Roman"/>
          <w:color w:val="000000"/>
          <w:sz w:val="24"/>
        </w:rPr>
        <w:t>,” and the effective date of this Policy,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This Policy, as most recently amended and restated, is effective as of the Restatement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rPr>
        <w:t>Cash Compensation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Board Member Annual Cash Retainer</w:t>
      </w:r>
      <w:r>
        <w:rPr>
          <w:rFonts w:ascii="Times New Roman" w:hAnsi="Times New Roman"/>
          <w:color w:val="000000"/>
          <w:sz w:val="24"/>
        </w:rPr>
        <w:t>. Each Outside Director will be paid an annual cash retainer of $42,500. There are no per meeting attendance fees for attending Board meetings or meetings of any committee of the Board.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Additional Annual Cash Retainers</w:t>
      </w:r>
      <w:r>
        <w:rPr>
          <w:rFonts w:ascii="Times New Roman" w:hAnsi="Times New Roman"/>
          <w:color w:val="000000"/>
          <w:sz w:val="24"/>
        </w:rPr>
        <w:t>. Each Outside Director who serves as the Lead Independent Director, or the chair or a member of a committee of the Board, will be eligible to earn additional annual fees as follows:</w:t>
      </w:r>
      <w:r>
        <w:rPr>
          <w:rFonts w:ascii="Times New Roman" w:hAnsi="Times New Roman"/>
          <w:color w:val="000000"/>
          <w:sz w:val="20"/>
        </w:rPr>
        <w:t xml:space="preserve"> </w:t>
      </w:r>
    </w:p>
    <w:tbl>
      <w:tblPr>
        <w:tblW w:w="5332" w:type="dxa"/>
        <w:jc w:val="left"/>
        <w:tblInd w:w="0" w:type="dxa"/>
        <w:tblLayout w:type="fixed"/>
        <w:tblCellMar>
          <w:top w:w="28" w:type="dxa"/>
          <w:left w:w="28" w:type="dxa"/>
          <w:bottom w:w="28" w:type="dxa"/>
          <w:right w:w="28" w:type="dxa"/>
        </w:tblCellMar>
      </w:tblPr>
      <w:tblGrid>
        <w:gridCol w:w="4346"/>
        <w:gridCol w:w="986"/>
      </w:tblGrid>
      <w:tr>
        <w:trPr/>
        <w:tc>
          <w:tcPr>
            <w:tcW w:w="43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434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Lead Independent Director:</w:t>
            </w:r>
          </w:p>
        </w:tc>
        <w:tc>
          <w:tcPr>
            <w:tcW w:w="98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$25,000</w:t>
            </w:r>
          </w:p>
        </w:tc>
      </w:tr>
      <w:tr>
        <w:trPr/>
        <w:tc>
          <w:tcPr>
            <w:tcW w:w="4346" w:type="dxa"/>
            <w:tcBorders/>
            <w:shd w:fill="D9D9D9" w:val="clear"/>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Audit Committee Chair:</w:t>
            </w:r>
          </w:p>
        </w:tc>
        <w:tc>
          <w:tcPr>
            <w:tcW w:w="986" w:type="dxa"/>
            <w:tcBorders/>
            <w:shd w:fill="D9D9D9" w:val="clear"/>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$20,000</w:t>
            </w:r>
          </w:p>
        </w:tc>
      </w:tr>
      <w:tr>
        <w:trPr/>
        <w:tc>
          <w:tcPr>
            <w:tcW w:w="434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Audit Committee Member:</w:t>
            </w:r>
          </w:p>
        </w:tc>
        <w:tc>
          <w:tcPr>
            <w:tcW w:w="98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$10,000</w:t>
            </w:r>
          </w:p>
        </w:tc>
      </w:tr>
      <w:tr>
        <w:trPr/>
        <w:tc>
          <w:tcPr>
            <w:tcW w:w="4346" w:type="dxa"/>
            <w:tcBorders/>
            <w:shd w:fill="D9D9D9" w:val="clear"/>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Talent and Compensation Committee Chair:</w:t>
            </w:r>
          </w:p>
        </w:tc>
        <w:tc>
          <w:tcPr>
            <w:tcW w:w="986" w:type="dxa"/>
            <w:tcBorders/>
            <w:shd w:fill="D9D9D9" w:val="clear"/>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$15,000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922" w:type="dxa"/>
        <w:jc w:val="left"/>
        <w:tblInd w:w="0" w:type="dxa"/>
        <w:tblLayout w:type="fixed"/>
        <w:tblCellMar>
          <w:top w:w="28" w:type="dxa"/>
          <w:left w:w="28" w:type="dxa"/>
          <w:bottom w:w="28" w:type="dxa"/>
          <w:right w:w="28" w:type="dxa"/>
        </w:tblCellMar>
      </w:tblPr>
      <w:tblGrid>
        <w:gridCol w:w="5936"/>
        <w:gridCol w:w="986"/>
      </w:tblGrid>
      <w:tr>
        <w:trPr/>
        <w:tc>
          <w:tcPr>
            <w:tcW w:w="593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593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Talent and Compensation Committee Member:</w:t>
            </w:r>
          </w:p>
        </w:tc>
        <w:tc>
          <w:tcPr>
            <w:tcW w:w="98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$7,500</w:t>
            </w:r>
          </w:p>
        </w:tc>
      </w:tr>
      <w:tr>
        <w:trPr/>
        <w:tc>
          <w:tcPr>
            <w:tcW w:w="5936" w:type="dxa"/>
            <w:tcBorders/>
            <w:shd w:fill="D9D9D9" w:val="clear"/>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Corporate Governance and Nominating Committee Chair:</w:t>
            </w:r>
          </w:p>
        </w:tc>
        <w:tc>
          <w:tcPr>
            <w:tcW w:w="986" w:type="dxa"/>
            <w:tcBorders/>
            <w:shd w:fill="D9D9D9" w:val="clear"/>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$10,000</w:t>
            </w:r>
          </w:p>
        </w:tc>
      </w:tr>
      <w:tr>
        <w:trPr/>
        <w:tc>
          <w:tcPr>
            <w:tcW w:w="593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Corporate Governance and Nominating Committee Member:</w:t>
            </w:r>
          </w:p>
        </w:tc>
        <w:tc>
          <w:tcPr>
            <w:tcW w:w="98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$5,000</w:t>
            </w:r>
          </w:p>
        </w:tc>
      </w:tr>
      <w:tr>
        <w:trPr/>
        <w:tc>
          <w:tcPr>
            <w:tcW w:w="5936" w:type="dxa"/>
            <w:tcBorders/>
            <w:shd w:fill="D9D9D9"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Science and Technology Committee Chair:</w:t>
            </w:r>
          </w:p>
        </w:tc>
        <w:tc>
          <w:tcPr>
            <w:tcW w:w="986" w:type="dxa"/>
            <w:tcBorders/>
            <w:shd w:fill="D9D9D9"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$10,000</w:t>
            </w:r>
          </w:p>
        </w:tc>
      </w:tr>
      <w:tr>
        <w:trPr/>
        <w:tc>
          <w:tcPr>
            <w:tcW w:w="593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Science and Technology Committee Member:</w:t>
            </w:r>
          </w:p>
        </w:tc>
        <w:tc>
          <w:tcPr>
            <w:tcW w:w="986" w:type="dxa"/>
            <w:tcBorders/>
            <w:tcMar>
              <w:top w:w="0" w:type="dxa"/>
              <w:left w:w="0" w:type="dxa"/>
              <w:bottom w:w="0" w:type="dxa"/>
              <w:right w:w="0" w:type="dxa"/>
            </w:tcMar>
            <w:vAlign w:val="center"/>
          </w:tcPr>
          <w:p>
            <w:pPr>
              <w:pStyle w:val="TableContents"/>
              <w:bidi w:val="0"/>
              <w:spacing w:before="0" w:after="120"/>
              <w:ind w:left="0" w:right="0" w:firstLine="55"/>
              <w:jc w:val="both"/>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83"/>
        <w:jc w:val="both"/>
        <w:rPr>
          <w:rFonts w:ascii="Times New Roman" w:hAnsi="Times New Roman"/>
          <w:sz w:val="20"/>
        </w:rPr>
      </w:pPr>
      <w:r>
        <w:rPr>
          <w:rFonts w:ascii="Times New Roman" w:hAnsi="Times New Roman"/>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Lead Independent Director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2.3 </w:t>
      </w:r>
      <w:r>
        <w:rPr>
          <w:rFonts w:ascii="Times New Roman" w:hAnsi="Times New Roman"/>
          <w:b/>
          <w:color w:val="000000"/>
          <w:sz w:val="24"/>
        </w:rPr>
        <w:t>Payment Timing and Proration</w:t>
      </w:r>
      <w:r>
        <w:rPr>
          <w:rFonts w:ascii="Times New Roman" w:hAnsi="Times New Roman"/>
          <w:color w:val="000000"/>
          <w:sz w:val="24"/>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b/>
          <w:color w:val="000000"/>
          <w:sz w:val="24"/>
        </w:rPr>
        <w:t>Fiscal Quarter</w:t>
      </w:r>
      <w:r>
        <w:rPr>
          <w:rFonts w:ascii="Times New Roman" w:hAnsi="Times New Roman"/>
          <w:color w:val="000000"/>
          <w:sz w:val="20"/>
        </w:rPr>
        <w:t>”</w:t>
      </w:r>
      <w:r>
        <w:rPr>
          <w:rFonts w:ascii="Times New Roman" w:hAnsi="Times New Roman"/>
          <w:color w:val="000000"/>
          <w:sz w:val="24"/>
        </w:rPr>
        <w:t>),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rPr>
        <w:t>Equity Compensation</w:t>
      </w:r>
      <w:r>
        <w:rPr>
          <w:rFonts w:ascii="Times New Roman" w:hAnsi="Times New Roman"/>
          <w:color w:val="000000"/>
          <w:sz w:val="24"/>
        </w:rPr>
        <w:t>. Outside Directors will be eligible to receive all types of Awards (except Incentive Stock Options) under the Plan, including discretionary Awards not covered under this Policy. All grants of Awards to Outside Directors pursuant to Sections 3.2 and 3.3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No Discretion</w:t>
      </w:r>
      <w:r>
        <w:rPr>
          <w:rFonts w:ascii="Times New Roman" w:hAnsi="Times New Roman"/>
          <w:color w:val="000000"/>
          <w:sz w:val="24"/>
        </w:rPr>
        <w:t>. No person will have any discretion to select which Outside Directors will be granted Awards under this Policy or to determine the number of Shares to be covered by such Awards (except as provided in Sections 3.5.4 and 10 below).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3.2 </w:t>
      </w:r>
      <w:r>
        <w:rPr>
          <w:rFonts w:ascii="Times New Roman" w:hAnsi="Times New Roman"/>
          <w:b/>
          <w:color w:val="000000"/>
          <w:sz w:val="24"/>
        </w:rPr>
        <w:t>Initial Awards</w:t>
      </w:r>
      <w:r>
        <w:rPr>
          <w:rFonts w:ascii="Times New Roman" w:hAnsi="Times New Roman"/>
          <w:color w:val="000000"/>
          <w:sz w:val="24"/>
        </w:rPr>
        <w:t>. Each individual who first becomes an Outside Director on or following the Restatement Date automatically will be granted an award of Options (an “</w:t>
      </w:r>
      <w:r>
        <w:rPr>
          <w:rFonts w:ascii="Times New Roman" w:hAnsi="Times New Roman"/>
          <w:b/>
          <w:color w:val="000000"/>
          <w:sz w:val="24"/>
        </w:rPr>
        <w:t>Initial Option Award</w:t>
      </w:r>
      <w:r>
        <w:rPr>
          <w:rFonts w:ascii="Times New Roman" w:hAnsi="Times New Roman"/>
          <w:color w:val="000000"/>
          <w:sz w:val="20"/>
        </w:rPr>
        <w:t>”</w:t>
      </w:r>
      <w:r>
        <w:rPr>
          <w:rFonts w:ascii="Times New Roman" w:hAnsi="Times New Roman"/>
          <w:color w:val="000000"/>
          <w:sz w:val="24"/>
        </w:rPr>
        <w:t>) to purchase 61,000 Shares and an award of Restricted Stock Units covering 41,000 Shares (an “</w:t>
      </w:r>
      <w:r>
        <w:rPr>
          <w:rFonts w:ascii="Times New Roman" w:hAnsi="Times New Roman"/>
          <w:b/>
          <w:color w:val="000000"/>
          <w:sz w:val="24"/>
        </w:rPr>
        <w:t>Initial RSU Award</w:t>
      </w:r>
      <w:r>
        <w:rPr>
          <w:rFonts w:ascii="Times New Roman" w:hAnsi="Times New Roman"/>
          <w:color w:val="000000"/>
          <w:sz w:val="20"/>
        </w:rPr>
        <w:t xml:space="preserve">” </w:t>
      </w:r>
      <w:r>
        <w:rPr>
          <w:rFonts w:ascii="Times New Roman" w:hAnsi="Times New Roman"/>
          <w:color w:val="000000"/>
          <w:sz w:val="24"/>
        </w:rPr>
        <w:t>and together with the Initial Option Award, the “</w:t>
      </w:r>
      <w:r>
        <w:rPr>
          <w:rFonts w:ascii="Times New Roman" w:hAnsi="Times New Roman"/>
          <w:b/>
          <w:color w:val="000000"/>
          <w:sz w:val="24"/>
        </w:rPr>
        <w:t>Initial Awards</w:t>
      </w:r>
      <w:r>
        <w:rPr>
          <w:rFonts w:ascii="Times New Roman" w:hAnsi="Times New Roman"/>
          <w:color w:val="000000"/>
          <w:sz w:val="20"/>
        </w:rPr>
        <w:t>”</w:t>
      </w:r>
      <w:r>
        <w:rPr>
          <w:rFonts w:ascii="Times New Roman" w:hAnsi="Times New Roman"/>
          <w:color w:val="000000"/>
          <w:sz w:val="24"/>
        </w:rPr>
        <w:t>). The grant date of the Initial Awards will be the first Trading Day on or after the date on which such individual first becomes an Outside Director (such first date as an Outside Director, the “</w:t>
      </w:r>
      <w:r>
        <w:rPr>
          <w:rFonts w:ascii="Times New Roman" w:hAnsi="Times New Roman"/>
          <w:b/>
          <w:color w:val="000000"/>
          <w:sz w:val="24"/>
        </w:rPr>
        <w:t>Initial Start Date</w:t>
      </w:r>
      <w:r>
        <w:rPr>
          <w:rFonts w:ascii="Times New Roman" w:hAnsi="Times New Roman"/>
          <w:color w:val="000000"/>
          <w:sz w:val="20"/>
        </w:rPr>
        <w:t>”</w:t>
      </w:r>
      <w:r>
        <w:rPr>
          <w:rFonts w:ascii="Times New Roman" w:hAnsi="Times New Roman"/>
          <w:color w:val="000000"/>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any Initial Awards. Each Initial Award will be scheduled to vest as to one-third (1/3rd) of the Shares subject to the Initial Award on each of the one (1), two (2) and three (3)</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year anniversaries of the Initial Start Date, subject to the Outside Director remaining a Service Provider through the applicable vesting 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3.3 </w:t>
      </w:r>
      <w:r>
        <w:rPr>
          <w:rFonts w:ascii="Times New Roman" w:hAnsi="Times New Roman"/>
          <w:b/>
          <w:color w:val="000000"/>
          <w:sz w:val="24"/>
        </w:rPr>
        <w:t>Annual Awards</w:t>
      </w:r>
      <w:r>
        <w:rPr>
          <w:rFonts w:ascii="Times New Roman" w:hAnsi="Times New Roman"/>
          <w:color w:val="000000"/>
          <w:sz w:val="24"/>
        </w:rPr>
        <w:t>. On the date of each Annual Meeting of the Company’s stockholders (an “</w:t>
      </w:r>
      <w:r>
        <w:rPr>
          <w:rFonts w:ascii="Times New Roman" w:hAnsi="Times New Roman"/>
          <w:b/>
          <w:color w:val="000000"/>
          <w:sz w:val="24"/>
        </w:rPr>
        <w:t>Annual Meeting</w:t>
      </w:r>
      <w:r>
        <w:rPr>
          <w:rFonts w:ascii="Times New Roman" w:hAnsi="Times New Roman"/>
          <w:color w:val="000000"/>
          <w:sz w:val="20"/>
        </w:rPr>
        <w:t>”</w:t>
      </w:r>
      <w:r>
        <w:rPr>
          <w:rFonts w:ascii="Times New Roman" w:hAnsi="Times New Roman"/>
          <w:color w:val="000000"/>
          <w:sz w:val="24"/>
        </w:rPr>
        <w:t>) that occurs on or after the Restatement Date, each Outside Director automatically will be granted an award of Options (an “</w:t>
      </w:r>
      <w:r>
        <w:rPr>
          <w:rFonts w:ascii="Times New Roman" w:hAnsi="Times New Roman"/>
          <w:b/>
          <w:color w:val="000000"/>
          <w:sz w:val="24"/>
        </w:rPr>
        <w:t>Annual Option Award</w:t>
      </w:r>
      <w:r>
        <w:rPr>
          <w:rFonts w:ascii="Times New Roman" w:hAnsi="Times New Roman"/>
          <w:color w:val="000000"/>
          <w:sz w:val="20"/>
        </w:rPr>
        <w:t>”</w:t>
      </w:r>
      <w:r>
        <w:rPr>
          <w:rFonts w:ascii="Times New Roman" w:hAnsi="Times New Roman"/>
          <w:color w:val="000000"/>
          <w:sz w:val="24"/>
        </w:rPr>
        <w:t>) to purchase 25,000 Shares and an award of Restricted Stock Units covering 16,500 Shares (an “</w:t>
      </w:r>
      <w:r>
        <w:rPr>
          <w:rFonts w:ascii="Times New Roman" w:hAnsi="Times New Roman"/>
          <w:b/>
          <w:color w:val="000000"/>
          <w:sz w:val="24"/>
        </w:rPr>
        <w:t>Annual RSU Award</w:t>
      </w:r>
      <w:r>
        <w:rPr>
          <w:rFonts w:ascii="Times New Roman" w:hAnsi="Times New Roman"/>
          <w:color w:val="000000"/>
          <w:sz w:val="20"/>
        </w:rPr>
        <w:t xml:space="preserve">” </w:t>
      </w:r>
      <w:r>
        <w:rPr>
          <w:rFonts w:ascii="Times New Roman" w:hAnsi="Times New Roman"/>
          <w:color w:val="000000"/>
          <w:sz w:val="24"/>
        </w:rPr>
        <w:t>and together with the Annual Option Award, the “</w:t>
      </w:r>
      <w:r>
        <w:rPr>
          <w:rFonts w:ascii="Times New Roman" w:hAnsi="Times New Roman"/>
          <w:b/>
          <w:color w:val="000000"/>
          <w:sz w:val="24"/>
        </w:rPr>
        <w:t>Annual Awards</w:t>
      </w:r>
      <w:r>
        <w:rPr>
          <w:rFonts w:ascii="Times New Roman" w:hAnsi="Times New Roman"/>
          <w:color w:val="000000"/>
          <w:sz w:val="20"/>
        </w:rPr>
        <w:t>”</w:t>
      </w:r>
      <w:r>
        <w:rPr>
          <w:rFonts w:ascii="Times New Roman" w:hAnsi="Times New Roman"/>
          <w:color w:val="000000"/>
          <w:sz w:val="24"/>
        </w:rPr>
        <w:t>); provided that any Outside Director who is not continuing as an Outside Director following the applicable Annual Meeting will not receive any Annual Award with respect to such Annual Meeting; provided, further, however, that if an individual commenced service as an Outside Director after the date of the Annual Meeting that occurred immediately prior to such Annual Meeting, then each Annual Award granted to such Outside Director on the date of such Annual Meeting will be prorated based on the number of whole months that the individual served as an Outside Director prior to the Annual Award’s grant date during the twelve (12) month period immediately preceding such Annual Meeting (with any resulting fractional Share rounded down to the nearest whole Share). Each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3.4</w:t>
      </w:r>
      <w:r>
        <w:rPr>
          <w:rFonts w:ascii="Times New Roman" w:hAnsi="Times New Roman"/>
          <w:color w:val="000000"/>
          <w:sz w:val="20"/>
        </w:rPr>
        <w:t xml:space="preserve"> </w:t>
      </w:r>
      <w:r>
        <w:rPr>
          <w:rFonts w:ascii="Times New Roman" w:hAnsi="Times New Roman"/>
          <w:b/>
          <w:color w:val="000000"/>
          <w:sz w:val="24"/>
        </w:rPr>
        <w:t>Additional Terms of Initial Awards and Annual Awards</w:t>
      </w:r>
      <w:r>
        <w:rPr>
          <w:rFonts w:ascii="Times New Roman" w:hAnsi="Times New Roman"/>
          <w:color w:val="000000"/>
          <w:sz w:val="24"/>
        </w:rPr>
        <w:t>. The terms and conditions of each Initial Option Award and Annual Option Award (each, an “</w:t>
      </w:r>
      <w:r>
        <w:rPr>
          <w:rFonts w:ascii="Times New Roman" w:hAnsi="Times New Roman"/>
          <w:b/>
          <w:color w:val="000000"/>
          <w:sz w:val="24"/>
        </w:rPr>
        <w:t>Option Award</w:t>
      </w:r>
      <w:r>
        <w:rPr>
          <w:rFonts w:ascii="Times New Roman" w:hAnsi="Times New Roman"/>
          <w:color w:val="000000"/>
          <w:sz w:val="20"/>
        </w:rPr>
        <w:t>”</w:t>
      </w:r>
      <w:r>
        <w:rPr>
          <w:rFonts w:ascii="Times New Roman" w:hAnsi="Times New Roman"/>
          <w:color w:val="000000"/>
          <w:sz w:val="24"/>
        </w:rPr>
        <w:t>), and each Initial RSU Award and Annual RSU Award (each, an “</w:t>
      </w:r>
      <w:r>
        <w:rPr>
          <w:rFonts w:ascii="Times New Roman" w:hAnsi="Times New Roman"/>
          <w:b/>
          <w:color w:val="000000"/>
          <w:sz w:val="24"/>
        </w:rPr>
        <w:t>RSU Award</w:t>
      </w:r>
      <w:r>
        <w:rPr>
          <w:rFonts w:ascii="Times New Roman" w:hAnsi="Times New Roman"/>
          <w:color w:val="000000"/>
          <w:sz w:val="20"/>
        </w:rPr>
        <w:t>”</w:t>
      </w:r>
      <w:r>
        <w:rPr>
          <w:rFonts w:ascii="Times New Roman" w:hAnsi="Times New Roman"/>
          <w:color w:val="000000"/>
          <w:sz w:val="24"/>
        </w:rPr>
        <w:t>)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3.4.1 The term of each Option Award will be ten (10) years, subject to earlier termination as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3.4.2 The per Share exercise price of each Option Award will be equal to one hundred percent (100%) of the Fair Market Value per Share on such Option Award’s grant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3.4.3 Each Option Award and RSU Award will be granted under and subject to the terms and conditions of the Plan and the applicable form of Award Agreement previously approved by the Board or its Committee (as defined below), as applicable, for use thereunder.</w:t>
      </w:r>
    </w:p>
    <w:p>
      <w:pPr>
        <w:pStyle w:val="TextBody"/>
        <w:bidi w:val="0"/>
        <w:spacing w:before="240" w:after="283"/>
        <w:jc w:val="both"/>
        <w:rPr>
          <w:rFonts w:ascii="Times New Roman" w:hAnsi="Times New Roman"/>
          <w:sz w:val="20"/>
        </w:rPr>
      </w:pPr>
      <w:r>
        <w:rPr>
          <w:rFonts w:ascii="Times New Roman" w:hAnsi="Times New Roman"/>
          <w:color w:val="000000"/>
          <w:sz w:val="24"/>
        </w:rPr>
        <w:t>3.4.4 The Board or its Committee, as applicable and in its discretion, may change and otherwise revise the terms of Option Awards and RSU Awards to be granted in the future pursuant to this Policy, including without limitation the number of Shares subject thereto and type of Award.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b/>
          <w:color w:val="000000"/>
          <w:sz w:val="24"/>
        </w:rPr>
        <w:t>Change in Control</w:t>
      </w:r>
      <w:r>
        <w:rPr>
          <w:rFonts w:ascii="Times New Roman" w:hAnsi="Times New Roman"/>
          <w:color w:val="000000"/>
          <w:sz w:val="24"/>
        </w:rPr>
        <w:t>. In the event of a Change in Control, each Outside Director will fully vest in his or her outstanding Company equity awards that were granted to him or her while an Outside Director, as of immediately prior to the Change in Control, including any Option Award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RSU Award, provided that the Outside Director continues to be an Outside Director through the date of such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5. </w:t>
      </w:r>
      <w:r>
        <w:rPr>
          <w:rFonts w:ascii="Times New Roman" w:hAnsi="Times New Roman"/>
          <w:b/>
          <w:color w:val="000000"/>
          <w:sz w:val="24"/>
        </w:rPr>
        <w:t>Annual Compensation Limit</w:t>
      </w:r>
      <w:r>
        <w:rPr>
          <w:rFonts w:ascii="Times New Roman" w:hAnsi="Times New Roman"/>
          <w:color w:val="000000"/>
          <w:sz w:val="24"/>
        </w:rPr>
        <w:t>. No Outside Director may be granted, in any Fiscal Year, Awards with values (based on their grant date fair value determined in accordance with U.S. generally accepted accounting principles (“</w:t>
      </w:r>
      <w:r>
        <w:rPr>
          <w:rFonts w:ascii="Times New Roman" w:hAnsi="Times New Roman"/>
          <w:b/>
          <w:color w:val="000000"/>
          <w:sz w:val="24"/>
        </w:rPr>
        <w:t>GAAP</w:t>
      </w:r>
      <w:r>
        <w:rPr>
          <w:rFonts w:ascii="Times New Roman" w:hAnsi="Times New Roman"/>
          <w:color w:val="000000"/>
          <w:sz w:val="20"/>
        </w:rPr>
        <w:t>”</w:t>
      </w:r>
      <w:r>
        <w:rPr>
          <w:rFonts w:ascii="Times New Roman" w:hAnsi="Times New Roman"/>
          <w:color w:val="000000"/>
          <w:sz w:val="24"/>
        </w:rPr>
        <w:t>))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 If a reduction in any Awards and/or other compensation provided or to be provided to an Outside Director in a given Fiscal Year is necessary so that the aggregate compensation provided to such Outside Director in such Fiscal Year does not exceed the applicable limit provided in the first sentence of this Section 5, the Awards and/or other compensation to the Outside Director will be reduced in reverse chronological order, such that the latest Award granted or to be granted or other compensation paid or to be paid will be reduced first. If more than one Award is granted on the same date or other compensation is paid on the same date, all such Awards and other compensation paid on the same date will be reduced pro rata (with the value of any Awards being based on their grant date fair value determined in accordance with GAAP). In no event will an Outside Director have any discretion with respect to the ordering of payment reductions.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rPr>
        <w:t>Travel Expenses</w:t>
      </w:r>
      <w:r>
        <w:rPr>
          <w:rFonts w:ascii="Times New Roman" w:hAnsi="Times New Roman"/>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b/>
          <w:color w:val="000000"/>
          <w:sz w:val="24"/>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Option Awards and RSU Awards and/or the number, class, and price of shares of stock covered by each outstanding Option Award and RSU Award.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rPr>
        <w:t>Section 409A</w:t>
      </w:r>
      <w:r>
        <w:rPr>
          <w:rFonts w:ascii="Times New Roman" w:hAnsi="Times New Roman"/>
          <w:color w:val="000000"/>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b/>
          <w:color w:val="000000"/>
          <w:sz w:val="24"/>
        </w:rPr>
        <w:t>Stockholder Approval</w:t>
      </w:r>
      <w:r>
        <w:rPr>
          <w:rFonts w:ascii="Times New Roman" w:hAnsi="Times New Roman"/>
          <w:color w:val="000000"/>
          <w:sz w:val="24"/>
        </w:rPr>
        <w:t>. This Policy as initially adopted was approved by the Company’s stockholders prior to its initial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b/>
          <w:color w:val="000000"/>
          <w:sz w:val="24"/>
        </w:rPr>
        <w:t>Revisions</w:t>
      </w:r>
      <w:r>
        <w:rPr>
          <w:rFonts w:ascii="Times New Roman" w:hAnsi="Times New Roman"/>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hAnsi="Times New Roman"/>
          <w:b/>
          <w:color w:val="000000"/>
          <w:sz w:val="24"/>
        </w:rPr>
        <w:t>Committee</w:t>
      </w:r>
      <w:r>
        <w:rPr>
          <w:rFonts w:ascii="Times New Roman" w:hAnsi="Times New Roman"/>
          <w:color w:val="000000"/>
          <w:sz w:val="20"/>
        </w:rPr>
        <w:t>”</w:t>
      </w:r>
      <w:r>
        <w:rPr>
          <w:rFonts w:ascii="Times New Roman" w:hAnsi="Times New Roman"/>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9" w:name="ck0001726445-ex23_1.htm"/>
      <w:bookmarkStart w:id="40" w:name="ksck0001726445ex23_1"/>
      <w:bookmarkEnd w:id="39"/>
      <w:bookmarkEnd w:id="40"/>
      <w:r>
        <w:rPr>
          <w:rFonts w:ascii="Times New Roman" w:hAnsi="Times New Roman"/>
          <w:b/>
          <w:color w:val="000000"/>
          <w:sz w:val="22"/>
        </w:rPr>
        <w:t>Exhibit 23.1</w:t>
      </w:r>
      <w:r>
        <w:br w:type="page"/>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consent to the incorporation by reference in Registration Statement Nos. 333-277700, 333-270351, 333-263268, 333-252534, and 333-251158 on Form S-8 of our report dated March 2, 2026, relating to the financial statements of Seer, Inc. appearing in this Annual Report on Form 10-K for the year ended December 31, 2025.</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 Deloitte &amp; Touche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San Francisco, California</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March 2, 2026</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41" w:name="ck0001726445-ex31_1.htm"/>
      <w:bookmarkStart w:id="42" w:name="ksck0001726445ex31_1"/>
      <w:bookmarkEnd w:id="41"/>
      <w:bookmarkEnd w:id="4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bookmarkStart w:id="43" w:name="section1"/>
      <w:bookmarkEnd w:id="43"/>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 of Seer,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1786"/>
        <w:gridCol w:w="4996"/>
      </w:tblGrid>
      <w:tr>
        <w:trPr/>
        <w:tc>
          <w:tcPr>
            <w:tcW w:w="178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 2026</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Chair of the Board of Directors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44" w:name="ck0001726445-ex31_2.htm"/>
      <w:bookmarkStart w:id="45" w:name="ksck0001726445ex31_2"/>
      <w:bookmarkEnd w:id="44"/>
      <w:bookmarkEnd w:id="45"/>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bookmarkStart w:id="46" w:name="section11"/>
      <w:bookmarkEnd w:id="46"/>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 of Seer,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1786"/>
        <w:gridCol w:w="3766"/>
      </w:tblGrid>
      <w:tr>
        <w:trPr/>
        <w:tc>
          <w:tcPr>
            <w:tcW w:w="178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 2026</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/s/ 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President</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ck0001726445-ex32_1.htm"/>
      <w:bookmarkStart w:id="48" w:name="ksck0001726445ex32_1"/>
      <w:bookmarkEnd w:id="47"/>
      <w:bookmarkEnd w:id="48"/>
      <w:r>
        <w:rPr>
          <w:rFonts w:ascii="Times New Roman" w:hAnsi="Times New Roman"/>
          <w:b/>
          <w:color w:val="000000"/>
          <w:sz w:val="20"/>
        </w:rPr>
        <w:t>Exhibit 32.1</w:t>
      </w:r>
      <w:r>
        <w:br w:type="page"/>
      </w:r>
    </w:p>
    <w:p>
      <w:pPr>
        <w:pStyle w:val="TextBody"/>
        <w:bidi w:val="0"/>
        <w:jc w:val="left"/>
        <w:rPr/>
      </w:pPr>
      <w:r>
        <w:rPr/>
        <w:t> </w:t>
      </w:r>
    </w:p>
    <w:p>
      <w:pPr>
        <w:pStyle w:val="TextBody"/>
        <w:bidi w:val="0"/>
        <w:jc w:val="left"/>
        <w:rPr>
          <w:rFonts w:ascii="Times New Roman" w:hAnsi="Times New Roman"/>
          <w:b/>
          <w:color w:val="000000"/>
          <w:sz w:val="20"/>
        </w:rPr>
      </w:pPr>
      <w:bookmarkStart w:id="49" w:name="section12"/>
      <w:bookmarkEnd w:id="49"/>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Annual Report of Seer, Inc. (the “Company”) on Form 10-K for the period ended December 31, 2025 as filed with the Securities and Exchange Commission on the date hereof (the “Report”), I, Omid Farokhzad, hereby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928" w:type="dxa"/>
        <w:jc w:val="left"/>
        <w:tblInd w:w="0" w:type="dxa"/>
        <w:tblLayout w:type="fixed"/>
        <w:tblCellMar>
          <w:top w:w="28" w:type="dxa"/>
          <w:left w:w="28" w:type="dxa"/>
          <w:bottom w:w="28" w:type="dxa"/>
          <w:right w:w="28" w:type="dxa"/>
        </w:tblCellMar>
      </w:tblPr>
      <w:tblGrid>
        <w:gridCol w:w="1786"/>
        <w:gridCol w:w="146"/>
        <w:gridCol w:w="499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Chair of the Board of Directors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ck0001726445-ex32_2.htm"/>
      <w:bookmarkStart w:id="51" w:name="ksck0001726445ex32_2"/>
      <w:bookmarkEnd w:id="50"/>
      <w:bookmarkEnd w:id="51"/>
      <w:r>
        <w:rPr>
          <w:rFonts w:ascii="Times New Roman" w:hAnsi="Times New Roman"/>
          <w:b/>
          <w:color w:val="000000"/>
          <w:sz w:val="20"/>
        </w:rPr>
        <w:t>Exhibit 32.2</w:t>
      </w:r>
      <w:r>
        <w:br w:type="page"/>
      </w:r>
    </w:p>
    <w:p>
      <w:pPr>
        <w:pStyle w:val="TextBody"/>
        <w:bidi w:val="0"/>
        <w:jc w:val="left"/>
        <w:rPr/>
      </w:pPr>
      <w:r>
        <w:rPr/>
        <w:t> </w:t>
      </w:r>
    </w:p>
    <w:p>
      <w:pPr>
        <w:pStyle w:val="TextBody"/>
        <w:bidi w:val="0"/>
        <w:jc w:val="left"/>
        <w:rPr>
          <w:rFonts w:ascii="Times New Roman" w:hAnsi="Times New Roman"/>
          <w:b/>
          <w:color w:val="000000"/>
          <w:sz w:val="20"/>
        </w:rPr>
      </w:pPr>
      <w:bookmarkStart w:id="52" w:name="section13"/>
      <w:bookmarkEnd w:id="52"/>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Annual Report of Seer, Inc. (the “Company”) on Form 10-K for the period ended December 31, 2025 as filed with the Securities and Exchange Commission on the date hereof (the “Report”), I, David Horn, hereby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786"/>
        <w:gridCol w:w="146"/>
        <w:gridCol w:w="436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President</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726445/000162828020017214/exhibit31-closing8xk.htm" TargetMode="External"/><Relationship Id="rId17" Type="http://schemas.openxmlformats.org/officeDocument/2006/relationships/hyperlink" Target="https://www.sec.gov/Archives/edgar/data/1726445/000162828023022349/a31amendmenttotheamendedan.htm" TargetMode="External"/><Relationship Id="rId18" Type="http://schemas.openxmlformats.org/officeDocument/2006/relationships/hyperlink" Target="https://www.sec.gov/Archives/edgar/data/1726445/000162828023022349/a32amendedandrestatedbylaw.htm" TargetMode="External"/><Relationship Id="rId19" Type="http://schemas.openxmlformats.org/officeDocument/2006/relationships/hyperlink" Target="https://www.sec.gov/Archives/edgar/data/1726445/000119312525317535/ck0001726445-ex3_1.htm" TargetMode="External"/><Relationship Id="rId20" Type="http://schemas.openxmlformats.org/officeDocument/2006/relationships/hyperlink" Target="https://www.sec.gov/Archives/edgar/data/1726445/000162828020016325/exhibit41-stockcertifi.htm" TargetMode="External"/><Relationship Id="rId21" Type="http://schemas.openxmlformats.org/officeDocument/2006/relationships/hyperlink" Target="https://www.sec.gov/Archives/edgar/data/1726445/000095017025030878/ck0001726445-ex4_2.htm" TargetMode="External"/><Relationship Id="rId22" Type="http://schemas.openxmlformats.org/officeDocument/2006/relationships/hyperlink" Target="https://www.sec.gov/Archives/edgar/data/1726445/000162828020016325/exhibit101-sx1xformofi.htm" TargetMode="External"/><Relationship Id="rId23" Type="http://schemas.openxmlformats.org/officeDocument/2006/relationships/hyperlink" Target="https://www.sec.gov/Archives/edgar/data/1726445/000162828020016863/exhibit102-sx1a1.htm" TargetMode="External"/><Relationship Id="rId24" Type="http://schemas.openxmlformats.org/officeDocument/2006/relationships/hyperlink" Target="https://www.sec.gov/Archives/edgar/data/1726445/000095017025030878/ck0001726445-ex10_3.htm" TargetMode="External"/><Relationship Id="rId25" Type="http://schemas.openxmlformats.org/officeDocument/2006/relationships/hyperlink" Target="https://www.sec.gov/Archives/edgar/data/1726445/000162828020016863/exhibit104-sx1a1.htm" TargetMode="External"/><Relationship Id="rId26" Type="http://schemas.openxmlformats.org/officeDocument/2006/relationships/hyperlink" Target="https://www.sec.gov/Archives/edgar/data/1726445/000162828023006976/exhibit43-2020employeestoc.htm" TargetMode="External"/><Relationship Id="rId27" Type="http://schemas.openxmlformats.org/officeDocument/2006/relationships/hyperlink" Target="https://www.sec.gov/Archives/edgar/data/1726445/000162828023006976/exhibit43-2020employeestoc.htm" TargetMode="External"/><Relationship Id="rId28" Type="http://schemas.openxmlformats.org/officeDocument/2006/relationships/hyperlink" Target="https://www.sec.gov/Archives/edgar/data/1726445/000162828020016863/exhibit107-sx1a1.htm" TargetMode="External"/><Relationship Id="rId29" Type="http://schemas.openxmlformats.org/officeDocument/2006/relationships/hyperlink" Target="https://www.sec.gov/Archives/edgar/data/1726445/000162828020016863/exhibit109-sx1a1.htm" TargetMode="External"/><Relationship Id="rId30" Type="http://schemas.openxmlformats.org/officeDocument/2006/relationships/hyperlink" Target="https://www.sec.gov/Archives/edgar/data/1726445/000162828020016863/exhibit1010-sx1a1.htm" TargetMode="External"/><Relationship Id="rId31" Type="http://schemas.openxmlformats.org/officeDocument/2006/relationships/hyperlink" Target="https://www.sec.gov/Archives/edgar/data/1726445/000162828020016863/exhibit1011-sx1a1.htm" TargetMode="External"/><Relationship Id="rId32" Type="http://schemas.openxmlformats.org/officeDocument/2006/relationships/hyperlink" Target="https://www.sec.gov/Archives/edgar/data/1726445/000162828020016325/exhibit1014-sx1xumbrel.htm" TargetMode="External"/><Relationship Id="rId33" Type="http://schemas.openxmlformats.org/officeDocument/2006/relationships/hyperlink" Target="https://www.sec.gov/Archives/edgar/data/1726445/000162828020016325/exhibit1015-sx1xexclus.htm" TargetMode="External"/><Relationship Id="rId34" Type="http://schemas.openxmlformats.org/officeDocument/2006/relationships/hyperlink" Target="https://www.sec.gov/Archives/edgar/data/1726445/000162828023037381/a101keyexecutivechangeinco.htm" TargetMode="External"/><Relationship Id="rId35" Type="http://schemas.openxmlformats.org/officeDocument/2006/relationships/hyperlink" Target="https://www.sec.gov/Archives/edgar/data/1726445/000095017024024967/ck0001726445-ex19_1.htm" TargetMode="External"/><Relationship Id="rId36" Type="http://schemas.openxmlformats.org/officeDocument/2006/relationships/hyperlink" Target="https://www.sec.gov/Archives/edgar/data/1726445/000095017025030878/ck0001726445-ex21_1.htm" TargetMode="External"/><Relationship Id="rId37" Type="http://schemas.openxmlformats.org/officeDocument/2006/relationships/hyperlink" Target="https://www.sec.gov/Archives/edgar/data/1726445/000095017024024967/ck0001726445-ex97_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73126</Words>
  <Characters>412062</Characters>
  <CharactersWithSpaces>485328</CharactersWithSpaces>
  <Paragraphs>7371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