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3880"/>
        <w:spacing w:after="0"/>
        <w:rPr>
          <w:sz w:val="20"/>
          <w:szCs w:val="20"/>
          <w:color w:val="auto"/>
        </w:rPr>
      </w:pPr>
      <w:r>
        <w:rPr>
          <w:rFonts w:ascii="Arial" w:cs="Arial" w:eastAsia="Arial" w:hAnsi="Arial"/>
          <w:sz w:val="22"/>
          <w:szCs w:val="22"/>
          <w:color w:val="auto"/>
        </w:rPr>
        <w:t>_____________________________</w:t>
      </w:r>
    </w:p>
    <w:p>
      <w:pPr>
        <w:spacing w:after="0" w:line="8"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SCHEDULE 14A</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SECURITIES EXCHANGE ACT OF 1934</w:t>
      </w:r>
    </w:p>
    <w:p>
      <w:pPr>
        <w:spacing w:after="0" w:line="10" w:lineRule="exact"/>
        <w:rPr>
          <w:sz w:val="24"/>
          <w:szCs w:val="24"/>
          <w:color w:val="auto"/>
        </w:rPr>
      </w:pPr>
    </w:p>
    <w:p>
      <w:pPr>
        <w:ind w:left="3880"/>
        <w:spacing w:after="0"/>
        <w:rPr>
          <w:sz w:val="20"/>
          <w:szCs w:val="20"/>
          <w:color w:val="auto"/>
        </w:rPr>
      </w:pPr>
      <w:r>
        <w:rPr>
          <w:rFonts w:ascii="Arial" w:cs="Arial" w:eastAsia="Arial" w:hAnsi="Arial"/>
          <w:sz w:val="22"/>
          <w:szCs w:val="22"/>
          <w:color w:val="auto"/>
        </w:rPr>
        <w:t>_____________________________</w:t>
      </w:r>
    </w:p>
    <w:p>
      <w:pPr>
        <w:spacing w:after="0" w:line="11" w:lineRule="exact"/>
        <w:rPr>
          <w:sz w:val="24"/>
          <w:szCs w:val="24"/>
          <w:color w:val="auto"/>
        </w:rPr>
      </w:pPr>
    </w:p>
    <w:p>
      <w:pPr>
        <w:spacing w:after="0"/>
        <w:tabs>
          <w:tab w:leader="none" w:pos="2100" w:val="left"/>
        </w:tabs>
        <w:rPr>
          <w:sz w:val="20"/>
          <w:szCs w:val="20"/>
          <w:color w:val="auto"/>
        </w:rPr>
      </w:pPr>
      <w:r>
        <w:rPr>
          <w:rFonts w:ascii="Arial" w:cs="Arial" w:eastAsia="Arial" w:hAnsi="Arial"/>
          <w:sz w:val="16"/>
          <w:szCs w:val="16"/>
          <w:color w:val="auto"/>
        </w:rPr>
        <w:t>Filed by the Registrant x</w:t>
      </w:r>
      <w:r>
        <w:rPr>
          <w:sz w:val="20"/>
          <w:szCs w:val="20"/>
          <w:color w:val="auto"/>
        </w:rPr>
        <w:tab/>
      </w:r>
      <w:r>
        <w:rPr>
          <w:rFonts w:ascii="Arial" w:cs="Arial" w:eastAsia="Arial" w:hAnsi="Arial"/>
          <w:sz w:val="16"/>
          <w:szCs w:val="16"/>
          <w:color w:val="auto"/>
        </w:rPr>
        <w:t>Filed by a Party other than the Registrant o</w:t>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1"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14" w:lineRule="exact"/>
        <w:rPr>
          <w:rFonts w:ascii="Arial" w:cs="Arial" w:eastAsia="Arial" w:hAnsi="Arial"/>
          <w:sz w:val="16"/>
          <w:szCs w:val="16"/>
          <w:color w:val="auto"/>
        </w:rPr>
      </w:pPr>
    </w:p>
    <w:p>
      <w:pPr>
        <w:ind w:right="5120" w:firstLine="8"/>
        <w:spacing w:after="0" w:line="255" w:lineRule="auto"/>
        <w:tabs>
          <w:tab w:leader="none" w:pos="27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 x Definitive Proxy Statement</w:t>
      </w: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8" w:lineRule="exact"/>
        <w:rPr>
          <w:rFonts w:ascii="Arial" w:cs="Arial" w:eastAsia="Arial" w:hAnsi="Arial"/>
          <w:sz w:val="16"/>
          <w:szCs w:val="16"/>
          <w:color w:val="auto"/>
        </w:rPr>
      </w:pP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§240.14a-12</w:t>
      </w:r>
    </w:p>
    <w:p>
      <w:pPr>
        <w:spacing w:after="0" w:line="212"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46"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262" w:lineRule="exact"/>
        <w:rPr>
          <w:sz w:val="24"/>
          <w:szCs w:val="24"/>
          <w:color w:val="auto"/>
        </w:rPr>
      </w:pPr>
    </w:p>
    <w:p>
      <w:pPr>
        <w:ind w:left="680" w:hanging="654"/>
        <w:spacing w:after="0"/>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32" w:lineRule="exact"/>
        <w:rPr>
          <w:sz w:val="24"/>
          <w:szCs w:val="24"/>
          <w:color w:val="auto"/>
        </w:rPr>
      </w:pPr>
    </w:p>
    <w:p>
      <w:pPr>
        <w:ind w:left="680" w:hanging="654"/>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45" w:lineRule="exact"/>
        <w:rPr>
          <w:rFonts w:ascii="Arial" w:cs="Arial" w:eastAsia="Arial" w:hAnsi="Arial"/>
          <w:sz w:val="16"/>
          <w:szCs w:val="16"/>
          <w:color w:val="auto"/>
        </w:rPr>
      </w:pPr>
    </w:p>
    <w:p>
      <w:pPr>
        <w:ind w:left="680" w:hanging="654"/>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-124460</wp:posOffset>
            </wp:positionV>
            <wp:extent cx="6720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April 28,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We are pleased to invite you to attend the 2022 Annual Meeting of Stockholders (the Annual Meeting) of Seer, Inc. (Seer or the Company), which will take place on Wednesday, June 15, 2022 at 1:00 p.m. Pacific Time. The Annual Meeting will be held in virtual format this year, in light of the ongoing COVID-19 pandemic. You will be able to attend the Annual Meeting by visiting www.virtualshareholdermeeting.com/SEER2022, where you will be able to listen to the meeting live, submit questions and vote online by entering the control number located on your proxy card.</w:t>
      </w:r>
    </w:p>
    <w:p>
      <w:pPr>
        <w:spacing w:after="0" w:line="179" w:lineRule="exact"/>
        <w:rPr>
          <w:sz w:val="24"/>
          <w:szCs w:val="24"/>
          <w:color w:val="auto"/>
        </w:rPr>
      </w:pPr>
    </w:p>
    <w:p>
      <w:pPr>
        <w:ind w:right="80"/>
        <w:spacing w:after="0" w:line="287" w:lineRule="auto"/>
        <w:rPr>
          <w:sz w:val="20"/>
          <w:szCs w:val="20"/>
          <w:color w:val="auto"/>
        </w:rPr>
      </w:pPr>
      <w:r>
        <w:rPr>
          <w:rFonts w:ascii="Arial" w:cs="Arial" w:eastAsia="Arial" w:hAnsi="Arial"/>
          <w:sz w:val="18"/>
          <w:szCs w:val="18"/>
          <w:color w:val="auto"/>
        </w:rPr>
        <w:t>The attached Notice of Annual Meeting of Stockholders and Proxy Statement contain details of the business to be conducted at the Annual Meeting.</w:t>
      </w:r>
    </w:p>
    <w:p>
      <w:pPr>
        <w:spacing w:after="0" w:line="153"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Whether or not you attend the Annual Meeting, it is important that your shares be represented and voted at the meeting. Therefore, we urge you to promptly vote and submit your proxy via the Internet, by phone, or by signing, dating and returning the enclosed proxy card. If you decide to attend the Annual Meeting, you will be able to change your vote or revoke your proxy, even if you have previously submitted your proxy.</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On behalf of the Company’s Board of Directors, we would like to thank you for your continued support of and interest in Seer.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120"/>
          </w:cols>
          <w:pgMar w:left="320" w:top="1334" w:right="459" w:bottom="1440" w:gutter="0" w:footer="0" w:header="0"/>
        </w:sectPr>
      </w:pPr>
    </w:p>
    <w:bookmarkStart w:id="1" w:name="page2"/>
    <w:bookmarkEnd w:id="1"/>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Omid Farokhzad, M.D.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Chief Executive Officer and Chair of the Board of Directors</w:t>
      </w:r>
    </w:p>
    <w:p>
      <w:pPr>
        <w:sectPr>
          <w:pgSz w:w="11900" w:h="16838" w:orient="portrait"/>
          <w:cols w:equalWidth="0" w:num="1">
            <w:col w:w="10119"/>
          </w:cols>
          <w:pgMar w:left="340" w:top="1440" w:right="1440"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20" w:type="dxa"/>
            <w:vAlign w:val="bottom"/>
          </w:tcPr>
          <w:p>
            <w:pPr>
              <w:jc w:val="center"/>
              <w:ind w:right="2990"/>
              <w:spacing w:after="0"/>
              <w:rPr>
                <w:sz w:val="20"/>
                <w:szCs w:val="20"/>
                <w:color w:val="auto"/>
              </w:rPr>
            </w:pPr>
            <w:r>
              <w:rPr>
                <w:rFonts w:ascii="Arial" w:cs="Arial" w:eastAsia="Arial" w:hAnsi="Arial"/>
                <w:sz w:val="18"/>
                <w:szCs w:val="18"/>
                <w:b w:val="1"/>
                <w:bCs w:val="1"/>
                <w:color w:val="auto"/>
              </w:rPr>
              <w:t>SEER, INC.</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20" w:type="dxa"/>
            <w:vAlign w:val="bottom"/>
          </w:tcPr>
          <w:p>
            <w:pPr>
              <w:jc w:val="center"/>
              <w:ind w:right="2990"/>
              <w:spacing w:after="0"/>
              <w:rPr>
                <w:sz w:val="20"/>
                <w:szCs w:val="20"/>
                <w:color w:val="auto"/>
              </w:rPr>
            </w:pPr>
            <w:r>
              <w:rPr>
                <w:rFonts w:ascii="Arial" w:cs="Arial" w:eastAsia="Arial" w:hAnsi="Arial"/>
                <w:sz w:val="18"/>
                <w:szCs w:val="18"/>
                <w:b w:val="1"/>
                <w:bCs w:val="1"/>
                <w:color w:val="auto"/>
                <w:w w:val="99"/>
              </w:rPr>
              <w:t>3800 Bridge Parkway</w:t>
            </w:r>
          </w:p>
        </w:tc>
        <w:tc>
          <w:tcPr>
            <w:tcW w:w="0" w:type="dxa"/>
            <w:vAlign w:val="bottom"/>
          </w:tcPr>
          <w:p>
            <w:pPr>
              <w:spacing w:after="0"/>
              <w:rPr>
                <w:sz w:val="1"/>
                <w:szCs w:val="1"/>
                <w:color w:val="auto"/>
              </w:rPr>
            </w:pPr>
          </w:p>
        </w:tc>
      </w:tr>
      <w:tr>
        <w:trPr>
          <w:trHeight w:val="247"/>
        </w:trPr>
        <w:tc>
          <w:tcPr>
            <w:tcW w:w="2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120" w:type="dxa"/>
            <w:vAlign w:val="bottom"/>
          </w:tcPr>
          <w:p>
            <w:pPr>
              <w:jc w:val="center"/>
              <w:ind w:right="2970"/>
              <w:spacing w:after="0"/>
              <w:rPr>
                <w:sz w:val="20"/>
                <w:szCs w:val="20"/>
                <w:color w:val="auto"/>
              </w:rPr>
            </w:pPr>
            <w:r>
              <w:rPr>
                <w:rFonts w:ascii="Arial" w:cs="Arial" w:eastAsia="Arial" w:hAnsi="Arial"/>
                <w:sz w:val="18"/>
                <w:szCs w:val="18"/>
                <w:b w:val="1"/>
                <w:bCs w:val="1"/>
                <w:color w:val="auto"/>
                <w:w w:val="99"/>
              </w:rPr>
              <w:t>Redwood City, CA 94065</w:t>
            </w: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20" w:type="dxa"/>
            <w:vAlign w:val="bottom"/>
          </w:tcPr>
          <w:p>
            <w:pPr>
              <w:jc w:val="center"/>
              <w:ind w:right="2990"/>
              <w:spacing w:after="0"/>
              <w:rPr>
                <w:sz w:val="20"/>
                <w:szCs w:val="20"/>
                <w:color w:val="auto"/>
              </w:rPr>
            </w:pPr>
            <w:r>
              <w:rPr>
                <w:rFonts w:ascii="Arial" w:cs="Arial" w:eastAsia="Arial" w:hAnsi="Arial"/>
                <w:sz w:val="18"/>
                <w:szCs w:val="18"/>
                <w:b w:val="1"/>
                <w:bCs w:val="1"/>
                <w:color w:val="auto"/>
                <w:w w:val="99"/>
              </w:rPr>
              <w:t>NOTICE OF ANNUAL MEETING OF STOCKHOLDERS</w:t>
            </w:r>
          </w:p>
        </w:tc>
        <w:tc>
          <w:tcPr>
            <w:tcW w:w="0" w:type="dxa"/>
            <w:vAlign w:val="bottom"/>
          </w:tcPr>
          <w:p>
            <w:pPr>
              <w:spacing w:after="0"/>
              <w:rPr>
                <w:sz w:val="1"/>
                <w:szCs w:val="1"/>
                <w:color w:val="auto"/>
              </w:rPr>
            </w:pPr>
          </w:p>
        </w:tc>
      </w:tr>
      <w:tr>
        <w:trPr>
          <w:trHeight w:val="455"/>
        </w:trPr>
        <w:tc>
          <w:tcPr>
            <w:tcW w:w="252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8680" w:type="dxa"/>
            <w:vAlign w:val="bottom"/>
            <w:gridSpan w:val="2"/>
          </w:tcPr>
          <w:p>
            <w:pPr>
              <w:ind w:left="220"/>
              <w:spacing w:after="0"/>
              <w:rPr>
                <w:sz w:val="20"/>
                <w:szCs w:val="20"/>
                <w:color w:val="auto"/>
              </w:rPr>
            </w:pPr>
            <w:r>
              <w:rPr>
                <w:rFonts w:ascii="Arial" w:cs="Arial" w:eastAsia="Arial" w:hAnsi="Arial"/>
                <w:sz w:val="18"/>
                <w:szCs w:val="18"/>
                <w:color w:val="auto"/>
              </w:rPr>
              <w:t>Wednesday, June 15, 2022 at 1:00 p.m. Pacific Time</w:t>
            </w:r>
          </w:p>
        </w:tc>
        <w:tc>
          <w:tcPr>
            <w:tcW w:w="0" w:type="dxa"/>
            <w:vAlign w:val="bottom"/>
          </w:tcPr>
          <w:p>
            <w:pPr>
              <w:spacing w:after="0"/>
              <w:rPr>
                <w:sz w:val="1"/>
                <w:szCs w:val="1"/>
                <w:color w:val="auto"/>
              </w:rPr>
            </w:pPr>
          </w:p>
        </w:tc>
      </w:tr>
      <w:tr>
        <w:trPr>
          <w:trHeight w:val="181"/>
        </w:trPr>
        <w:tc>
          <w:tcPr>
            <w:tcW w:w="2520" w:type="dxa"/>
            <w:vAlign w:val="bottom"/>
          </w:tcPr>
          <w:p>
            <w:pPr>
              <w:spacing w:after="0" w:line="181" w:lineRule="exact"/>
              <w:rPr>
                <w:sz w:val="20"/>
                <w:szCs w:val="20"/>
                <w:color w:val="auto"/>
              </w:rPr>
            </w:pPr>
            <w:r>
              <w:rPr>
                <w:rFonts w:ascii="Arial" w:cs="Arial" w:eastAsia="Arial" w:hAnsi="Arial"/>
                <w:sz w:val="18"/>
                <w:szCs w:val="18"/>
                <w:b w:val="1"/>
                <w:bCs w:val="1"/>
                <w:color w:val="auto"/>
              </w:rPr>
              <w:t>Place</w:t>
            </w:r>
          </w:p>
        </w:tc>
        <w:tc>
          <w:tcPr>
            <w:tcW w:w="8680" w:type="dxa"/>
            <w:vAlign w:val="bottom"/>
            <w:gridSpan w:val="2"/>
          </w:tcPr>
          <w:p>
            <w:pPr>
              <w:ind w:left="220"/>
              <w:spacing w:after="0" w:line="181" w:lineRule="exact"/>
              <w:rPr>
                <w:sz w:val="20"/>
                <w:szCs w:val="20"/>
                <w:color w:val="auto"/>
              </w:rPr>
            </w:pPr>
            <w:r>
              <w:rPr>
                <w:rFonts w:ascii="Arial" w:cs="Arial" w:eastAsia="Arial" w:hAnsi="Arial"/>
                <w:sz w:val="18"/>
                <w:szCs w:val="18"/>
                <w:color w:val="auto"/>
              </w:rPr>
              <w:t>The Annual Meeting will be a completely virtual meeting of stockholders, to be conducted via live</w:t>
            </w: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5"/>
                <w:szCs w:val="15"/>
                <w:color w:val="auto"/>
              </w:rPr>
            </w:pPr>
          </w:p>
        </w:tc>
        <w:tc>
          <w:tcPr>
            <w:tcW w:w="8680" w:type="dxa"/>
            <w:vAlign w:val="bottom"/>
            <w:gridSpan w:val="2"/>
          </w:tcPr>
          <w:p>
            <w:pPr>
              <w:ind w:left="220"/>
              <w:spacing w:after="0" w:line="183" w:lineRule="exact"/>
              <w:rPr>
                <w:sz w:val="20"/>
                <w:szCs w:val="20"/>
                <w:color w:val="auto"/>
              </w:rPr>
            </w:pPr>
            <w:r>
              <w:rPr>
                <w:rFonts w:ascii="Arial" w:cs="Arial" w:eastAsia="Arial" w:hAnsi="Arial"/>
                <w:sz w:val="18"/>
                <w:szCs w:val="18"/>
                <w:color w:val="auto"/>
              </w:rPr>
              <w:t>webcast. You will be able to attend the Annual Meeting virtually, examine a list of our stockholders entitled</w:t>
            </w:r>
          </w:p>
        </w:tc>
        <w:tc>
          <w:tcPr>
            <w:tcW w:w="0" w:type="dxa"/>
            <w:vAlign w:val="bottom"/>
          </w:tcPr>
          <w:p>
            <w:pPr>
              <w:spacing w:after="0"/>
              <w:rPr>
                <w:sz w:val="1"/>
                <w:szCs w:val="1"/>
                <w:color w:val="auto"/>
              </w:rPr>
            </w:pPr>
          </w:p>
        </w:tc>
      </w:tr>
      <w:tr>
        <w:trPr>
          <w:trHeight w:val="181"/>
        </w:trPr>
        <w:tc>
          <w:tcPr>
            <w:tcW w:w="2520" w:type="dxa"/>
            <w:vAlign w:val="bottom"/>
          </w:tcPr>
          <w:p>
            <w:pPr>
              <w:spacing w:after="0"/>
              <w:rPr>
                <w:sz w:val="15"/>
                <w:szCs w:val="15"/>
                <w:color w:val="auto"/>
              </w:rPr>
            </w:pPr>
          </w:p>
        </w:tc>
        <w:tc>
          <w:tcPr>
            <w:tcW w:w="8680" w:type="dxa"/>
            <w:vAlign w:val="bottom"/>
            <w:gridSpan w:val="2"/>
          </w:tcPr>
          <w:p>
            <w:pPr>
              <w:ind w:left="220"/>
              <w:spacing w:after="0" w:line="181" w:lineRule="exact"/>
              <w:rPr>
                <w:sz w:val="20"/>
                <w:szCs w:val="20"/>
                <w:color w:val="auto"/>
              </w:rPr>
            </w:pPr>
            <w:r>
              <w:rPr>
                <w:rFonts w:ascii="Arial" w:cs="Arial" w:eastAsia="Arial" w:hAnsi="Arial"/>
                <w:sz w:val="18"/>
                <w:szCs w:val="18"/>
                <w:color w:val="auto"/>
              </w:rPr>
              <w:t>to vote at the meeting, submit questions and vote online during the meeting by visiting</w:t>
            </w:r>
          </w:p>
        </w:tc>
        <w:tc>
          <w:tcPr>
            <w:tcW w:w="0" w:type="dxa"/>
            <w:vAlign w:val="bottom"/>
          </w:tcPr>
          <w:p>
            <w:pPr>
              <w:spacing w:after="0"/>
              <w:rPr>
                <w:sz w:val="1"/>
                <w:szCs w:val="1"/>
                <w:color w:val="auto"/>
              </w:rPr>
            </w:pPr>
          </w:p>
        </w:tc>
      </w:tr>
      <w:tr>
        <w:trPr>
          <w:trHeight w:val="239"/>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Items of Business</w:t>
            </w:r>
          </w:p>
        </w:tc>
        <w:tc>
          <w:tcPr>
            <w:tcW w:w="8680" w:type="dxa"/>
            <w:vAlign w:val="bottom"/>
            <w:gridSpan w:val="2"/>
          </w:tcPr>
          <w:p>
            <w:pPr>
              <w:ind w:left="220"/>
              <w:spacing w:after="0"/>
              <w:rPr>
                <w:sz w:val="20"/>
                <w:szCs w:val="20"/>
                <w:color w:val="auto"/>
              </w:rPr>
            </w:pPr>
            <w:r>
              <w:rPr>
                <w:rFonts w:ascii="Arial" w:cs="Arial" w:eastAsia="Arial" w:hAnsi="Arial"/>
                <w:sz w:val="18"/>
                <w:szCs w:val="18"/>
                <w:color w:val="auto"/>
              </w:rPr>
              <w:t>www.virtualshareholdermeeting.com/SEER2022.</w:t>
            </w:r>
          </w:p>
        </w:tc>
        <w:tc>
          <w:tcPr>
            <w:tcW w:w="0" w:type="dxa"/>
            <w:vAlign w:val="bottom"/>
          </w:tcPr>
          <w:p>
            <w:pPr>
              <w:spacing w:after="0"/>
              <w:rPr>
                <w:sz w:val="1"/>
                <w:szCs w:val="1"/>
                <w:color w:val="auto"/>
              </w:rPr>
            </w:pPr>
          </w:p>
        </w:tc>
      </w:tr>
      <w:tr>
        <w:trPr>
          <w:trHeight w:val="232"/>
        </w:trPr>
        <w:tc>
          <w:tcPr>
            <w:tcW w:w="25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To elect three Class II directors to serve until the 2025 annual meeting of stockholders or until</w:t>
            </w:r>
          </w:p>
        </w:tc>
        <w:tc>
          <w:tcPr>
            <w:tcW w:w="0" w:type="dxa"/>
            <w:vAlign w:val="bottom"/>
          </w:tcPr>
          <w:p>
            <w:pPr>
              <w:spacing w:after="0"/>
              <w:rPr>
                <w:sz w:val="1"/>
                <w:szCs w:val="1"/>
                <w:color w:val="auto"/>
              </w:rPr>
            </w:pPr>
          </w:p>
        </w:tc>
      </w:tr>
      <w:tr>
        <w:trPr>
          <w:trHeight w:val="239"/>
        </w:trPr>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their successors are duly elected and qualified.</w:t>
            </w:r>
          </w:p>
        </w:tc>
        <w:tc>
          <w:tcPr>
            <w:tcW w:w="0" w:type="dxa"/>
            <w:vAlign w:val="bottom"/>
          </w:tcPr>
          <w:p>
            <w:pPr>
              <w:spacing w:after="0"/>
              <w:rPr>
                <w:sz w:val="1"/>
                <w:szCs w:val="1"/>
                <w:color w:val="auto"/>
              </w:rPr>
            </w:pPr>
          </w:p>
        </w:tc>
      </w:tr>
      <w:tr>
        <w:trPr>
          <w:trHeight w:val="342"/>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To ratify the appointment of Deloitte &amp; Touche LLP as our independent registered public</w:t>
            </w:r>
          </w:p>
        </w:tc>
        <w:tc>
          <w:tcPr>
            <w:tcW w:w="0" w:type="dxa"/>
            <w:vAlign w:val="bottom"/>
          </w:tcPr>
          <w:p>
            <w:pPr>
              <w:spacing w:after="0"/>
              <w:rPr>
                <w:sz w:val="1"/>
                <w:szCs w:val="1"/>
                <w:color w:val="auto"/>
              </w:rPr>
            </w:pPr>
          </w:p>
        </w:tc>
      </w:tr>
      <w:tr>
        <w:trPr>
          <w:trHeight w:val="239"/>
        </w:trPr>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accounting firm for our fiscal year ending December 31, 2022.</w:t>
            </w:r>
          </w:p>
        </w:tc>
        <w:tc>
          <w:tcPr>
            <w:tcW w:w="0" w:type="dxa"/>
            <w:vAlign w:val="bottom"/>
          </w:tcPr>
          <w:p>
            <w:pPr>
              <w:spacing w:after="0"/>
              <w:rPr>
                <w:sz w:val="1"/>
                <w:szCs w:val="1"/>
                <w:color w:val="auto"/>
              </w:rPr>
            </w:pPr>
          </w:p>
        </w:tc>
      </w:tr>
      <w:tr>
        <w:trPr>
          <w:trHeight w:val="336"/>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To vote, on an advisory, non-binding basis, on the frequency of advisory vote on executive</w:t>
            </w:r>
          </w:p>
        </w:tc>
        <w:tc>
          <w:tcPr>
            <w:tcW w:w="0" w:type="dxa"/>
            <w:vAlign w:val="bottom"/>
          </w:tcPr>
          <w:p>
            <w:pPr>
              <w:spacing w:after="0"/>
              <w:rPr>
                <w:sz w:val="1"/>
                <w:szCs w:val="1"/>
                <w:color w:val="auto"/>
              </w:rPr>
            </w:pPr>
          </w:p>
        </w:tc>
      </w:tr>
      <w:tr>
        <w:trPr>
          <w:trHeight w:val="239"/>
        </w:trPr>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333"/>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To transact such other business as may properly come before the Annual Meeting or any</w:t>
            </w:r>
          </w:p>
        </w:tc>
        <w:tc>
          <w:tcPr>
            <w:tcW w:w="0" w:type="dxa"/>
            <w:vAlign w:val="bottom"/>
          </w:tcPr>
          <w:p>
            <w:pPr>
              <w:spacing w:after="0"/>
              <w:rPr>
                <w:sz w:val="1"/>
                <w:szCs w:val="1"/>
                <w:color w:val="auto"/>
              </w:rPr>
            </w:pPr>
          </w:p>
        </w:tc>
      </w:tr>
      <w:tr>
        <w:trPr>
          <w:trHeight w:val="238"/>
        </w:trPr>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adjournments or postponements thereof.</w:t>
            </w:r>
          </w:p>
        </w:tc>
        <w:tc>
          <w:tcPr>
            <w:tcW w:w="0" w:type="dxa"/>
            <w:vAlign w:val="bottom"/>
          </w:tcPr>
          <w:p>
            <w:pPr>
              <w:spacing w:after="0"/>
              <w:rPr>
                <w:sz w:val="1"/>
                <w:szCs w:val="1"/>
                <w:color w:val="auto"/>
              </w:rPr>
            </w:pPr>
          </w:p>
        </w:tc>
      </w:tr>
      <w:tr>
        <w:trPr>
          <w:trHeight w:val="181"/>
        </w:trPr>
        <w:tc>
          <w:tcPr>
            <w:tcW w:w="2520" w:type="dxa"/>
            <w:vAlign w:val="bottom"/>
          </w:tcPr>
          <w:p>
            <w:pPr>
              <w:spacing w:after="0" w:line="181" w:lineRule="exact"/>
              <w:rPr>
                <w:sz w:val="20"/>
                <w:szCs w:val="20"/>
                <w:color w:val="auto"/>
              </w:rPr>
            </w:pPr>
            <w:r>
              <w:rPr>
                <w:rFonts w:ascii="Arial" w:cs="Arial" w:eastAsia="Arial" w:hAnsi="Arial"/>
                <w:sz w:val="18"/>
                <w:szCs w:val="18"/>
                <w:b w:val="1"/>
                <w:bCs w:val="1"/>
                <w:color w:val="auto"/>
              </w:rPr>
              <w:t>Record Date</w:t>
            </w:r>
          </w:p>
        </w:tc>
        <w:tc>
          <w:tcPr>
            <w:tcW w:w="8680" w:type="dxa"/>
            <w:vAlign w:val="bottom"/>
            <w:gridSpan w:val="2"/>
          </w:tcPr>
          <w:p>
            <w:pPr>
              <w:ind w:left="220"/>
              <w:spacing w:after="0" w:line="181" w:lineRule="exact"/>
              <w:rPr>
                <w:sz w:val="20"/>
                <w:szCs w:val="20"/>
                <w:color w:val="auto"/>
              </w:rPr>
            </w:pPr>
            <w:r>
              <w:rPr>
                <w:rFonts w:ascii="Arial" w:cs="Arial" w:eastAsia="Arial" w:hAnsi="Arial"/>
                <w:sz w:val="18"/>
                <w:szCs w:val="18"/>
                <w:color w:val="auto"/>
              </w:rPr>
              <w:t>April 20, 2022 (the Record Date). Only stockholders of record at the close of business on the Record Date</w:t>
            </w:r>
          </w:p>
        </w:tc>
        <w:tc>
          <w:tcPr>
            <w:tcW w:w="0" w:type="dxa"/>
            <w:vAlign w:val="bottom"/>
          </w:tcPr>
          <w:p>
            <w:pPr>
              <w:spacing w:after="0"/>
              <w:rPr>
                <w:sz w:val="1"/>
                <w:szCs w:val="1"/>
                <w:color w:val="auto"/>
              </w:rPr>
            </w:pPr>
          </w:p>
        </w:tc>
      </w:tr>
      <w:tr>
        <w:trPr>
          <w:trHeight w:val="238"/>
        </w:trPr>
        <w:tc>
          <w:tcPr>
            <w:tcW w:w="2520" w:type="dxa"/>
            <w:vAlign w:val="bottom"/>
          </w:tcPr>
          <w:p>
            <w:pPr>
              <w:spacing w:after="0"/>
              <w:rPr>
                <w:sz w:val="20"/>
                <w:szCs w:val="20"/>
                <w:color w:val="auto"/>
              </w:rPr>
            </w:pPr>
          </w:p>
        </w:tc>
        <w:tc>
          <w:tcPr>
            <w:tcW w:w="8680" w:type="dxa"/>
            <w:vAlign w:val="bottom"/>
            <w:gridSpan w:val="2"/>
          </w:tcPr>
          <w:p>
            <w:pPr>
              <w:ind w:left="220"/>
              <w:spacing w:after="0"/>
              <w:rPr>
                <w:sz w:val="20"/>
                <w:szCs w:val="20"/>
                <w:color w:val="auto"/>
              </w:rPr>
            </w:pPr>
            <w:r>
              <w:rPr>
                <w:rFonts w:ascii="Arial" w:cs="Arial" w:eastAsia="Arial" w:hAnsi="Arial"/>
                <w:sz w:val="18"/>
                <w:szCs w:val="18"/>
                <w:color w:val="auto"/>
              </w:rPr>
              <w:t>are entitled to receive notice of, and to vote at, the Annual Meeting.</w:t>
            </w:r>
          </w:p>
        </w:tc>
        <w:tc>
          <w:tcPr>
            <w:tcW w:w="0" w:type="dxa"/>
            <w:vAlign w:val="bottom"/>
          </w:tcPr>
          <w:p>
            <w:pPr>
              <w:spacing w:after="0"/>
              <w:rPr>
                <w:sz w:val="1"/>
                <w:szCs w:val="1"/>
                <w:color w:val="auto"/>
              </w:rPr>
            </w:pPr>
          </w:p>
        </w:tc>
      </w:tr>
      <w:tr>
        <w:trPr>
          <w:trHeight w:val="181"/>
        </w:trPr>
        <w:tc>
          <w:tcPr>
            <w:tcW w:w="2520" w:type="dxa"/>
            <w:vAlign w:val="bottom"/>
          </w:tcPr>
          <w:p>
            <w:pPr>
              <w:spacing w:after="0" w:line="181" w:lineRule="exact"/>
              <w:rPr>
                <w:sz w:val="20"/>
                <w:szCs w:val="20"/>
                <w:color w:val="auto"/>
              </w:rPr>
            </w:pPr>
            <w:r>
              <w:rPr>
                <w:rFonts w:ascii="Arial" w:cs="Arial" w:eastAsia="Arial" w:hAnsi="Arial"/>
                <w:sz w:val="18"/>
                <w:szCs w:val="18"/>
                <w:b w:val="1"/>
                <w:bCs w:val="1"/>
                <w:color w:val="auto"/>
              </w:rPr>
              <w:t>Virtual Meeting Philosophy</w:t>
            </w:r>
          </w:p>
        </w:tc>
        <w:tc>
          <w:tcPr>
            <w:tcW w:w="8680" w:type="dxa"/>
            <w:vAlign w:val="bottom"/>
            <w:gridSpan w:val="2"/>
          </w:tcPr>
          <w:p>
            <w:pPr>
              <w:ind w:left="220"/>
              <w:spacing w:after="0" w:line="181" w:lineRule="exact"/>
              <w:rPr>
                <w:sz w:val="20"/>
                <w:szCs w:val="20"/>
                <w:color w:val="auto"/>
              </w:rPr>
            </w:pPr>
            <w:r>
              <w:rPr>
                <w:rFonts w:ascii="Arial" w:cs="Arial" w:eastAsia="Arial" w:hAnsi="Arial"/>
                <w:sz w:val="18"/>
                <w:szCs w:val="18"/>
                <w:color w:val="auto"/>
              </w:rPr>
              <w:t>The Company has held its annual meeting of stockholders as a virtual meeting via the Internet since</w:t>
            </w: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5"/>
                <w:szCs w:val="15"/>
                <w:color w:val="auto"/>
              </w:rPr>
            </w:pPr>
          </w:p>
        </w:tc>
        <w:tc>
          <w:tcPr>
            <w:tcW w:w="8680" w:type="dxa"/>
            <w:vAlign w:val="bottom"/>
            <w:gridSpan w:val="2"/>
          </w:tcPr>
          <w:p>
            <w:pPr>
              <w:ind w:left="220"/>
              <w:spacing w:after="0" w:line="183" w:lineRule="exact"/>
              <w:rPr>
                <w:sz w:val="20"/>
                <w:szCs w:val="20"/>
                <w:color w:val="auto"/>
              </w:rPr>
            </w:pPr>
            <w:r>
              <w:rPr>
                <w:rFonts w:ascii="Arial" w:cs="Arial" w:eastAsia="Arial" w:hAnsi="Arial"/>
                <w:sz w:val="18"/>
                <w:szCs w:val="18"/>
                <w:color w:val="auto"/>
              </w:rPr>
              <w:t>becoming a publicly traded company in 2020. The Board believes that holding the annual meeting of</w:t>
            </w:r>
          </w:p>
        </w:tc>
        <w:tc>
          <w:tcPr>
            <w:tcW w:w="0" w:type="dxa"/>
            <w:vAlign w:val="bottom"/>
          </w:tcPr>
          <w:p>
            <w:pPr>
              <w:spacing w:after="0"/>
              <w:rPr>
                <w:sz w:val="1"/>
                <w:szCs w:val="1"/>
                <w:color w:val="auto"/>
              </w:rPr>
            </w:pPr>
          </w:p>
        </w:tc>
      </w:tr>
      <w:tr>
        <w:trPr>
          <w:trHeight w:val="181"/>
        </w:trPr>
        <w:tc>
          <w:tcPr>
            <w:tcW w:w="2520" w:type="dxa"/>
            <w:vAlign w:val="bottom"/>
          </w:tcPr>
          <w:p>
            <w:pPr>
              <w:spacing w:after="0"/>
              <w:rPr>
                <w:sz w:val="15"/>
                <w:szCs w:val="15"/>
                <w:color w:val="auto"/>
              </w:rPr>
            </w:pPr>
          </w:p>
        </w:tc>
        <w:tc>
          <w:tcPr>
            <w:tcW w:w="8680" w:type="dxa"/>
            <w:vAlign w:val="bottom"/>
            <w:gridSpan w:val="2"/>
          </w:tcPr>
          <w:p>
            <w:pPr>
              <w:ind w:left="220"/>
              <w:spacing w:after="0" w:line="181" w:lineRule="exact"/>
              <w:rPr>
                <w:sz w:val="20"/>
                <w:szCs w:val="20"/>
                <w:color w:val="auto"/>
              </w:rPr>
            </w:pPr>
            <w:r>
              <w:rPr>
                <w:rFonts w:ascii="Arial" w:cs="Arial" w:eastAsia="Arial" w:hAnsi="Arial"/>
                <w:sz w:val="18"/>
                <w:szCs w:val="18"/>
                <w:color w:val="auto"/>
              </w:rPr>
              <w:t>stockholders in a virtual format provides the opportunity for participation by a broader group of</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86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stockholders, while reducing the costs associated with planning, holding and arranging logistics for in-</w:t>
            </w: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5"/>
                <w:szCs w:val="15"/>
                <w:color w:val="auto"/>
              </w:rPr>
            </w:pPr>
          </w:p>
        </w:tc>
        <w:tc>
          <w:tcPr>
            <w:tcW w:w="8680" w:type="dxa"/>
            <w:vAlign w:val="bottom"/>
            <w:gridSpan w:val="2"/>
          </w:tcPr>
          <w:p>
            <w:pPr>
              <w:ind w:left="220"/>
              <w:spacing w:after="0" w:line="183" w:lineRule="exact"/>
              <w:rPr>
                <w:sz w:val="20"/>
                <w:szCs w:val="20"/>
                <w:color w:val="auto"/>
              </w:rPr>
            </w:pPr>
            <w:r>
              <w:rPr>
                <w:rFonts w:ascii="Arial" w:cs="Arial" w:eastAsia="Arial" w:hAnsi="Arial"/>
                <w:sz w:val="18"/>
                <w:szCs w:val="18"/>
                <w:color w:val="auto"/>
              </w:rPr>
              <w:t>person meeting proceedings and providing for the health and safety of the participants in light of the</w:t>
            </w:r>
          </w:p>
        </w:tc>
        <w:tc>
          <w:tcPr>
            <w:tcW w:w="0" w:type="dxa"/>
            <w:vAlign w:val="bottom"/>
          </w:tcPr>
          <w:p>
            <w:pPr>
              <w:spacing w:after="0"/>
              <w:rPr>
                <w:sz w:val="1"/>
                <w:szCs w:val="1"/>
                <w:color w:val="auto"/>
              </w:rPr>
            </w:pPr>
          </w:p>
        </w:tc>
      </w:tr>
      <w:tr>
        <w:trPr>
          <w:trHeight w:val="181"/>
        </w:trPr>
        <w:tc>
          <w:tcPr>
            <w:tcW w:w="2520" w:type="dxa"/>
            <w:vAlign w:val="bottom"/>
          </w:tcPr>
          <w:p>
            <w:pPr>
              <w:spacing w:after="0"/>
              <w:rPr>
                <w:sz w:val="15"/>
                <w:szCs w:val="15"/>
                <w:color w:val="auto"/>
              </w:rPr>
            </w:pPr>
          </w:p>
        </w:tc>
        <w:tc>
          <w:tcPr>
            <w:tcW w:w="8680" w:type="dxa"/>
            <w:vAlign w:val="bottom"/>
            <w:gridSpan w:val="2"/>
          </w:tcPr>
          <w:p>
            <w:pPr>
              <w:ind w:left="220"/>
              <w:spacing w:after="0" w:line="181" w:lineRule="exact"/>
              <w:rPr>
                <w:sz w:val="20"/>
                <w:szCs w:val="20"/>
                <w:color w:val="auto"/>
              </w:rPr>
            </w:pPr>
            <w:r>
              <w:rPr>
                <w:rFonts w:ascii="Arial" w:cs="Arial" w:eastAsia="Arial" w:hAnsi="Arial"/>
                <w:sz w:val="18"/>
                <w:szCs w:val="18"/>
                <w:color w:val="auto"/>
              </w:rPr>
              <w:t>ongoing COVID-19 pandemic. This balance allows the meetings to remain focused on matters directly</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86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relevant to the interests of stockholders in a way that recognizes the value to stockholders of an efficient</w:t>
            </w: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5"/>
                <w:szCs w:val="15"/>
                <w:color w:val="auto"/>
              </w:rPr>
            </w:pPr>
          </w:p>
        </w:tc>
        <w:tc>
          <w:tcPr>
            <w:tcW w:w="8680" w:type="dxa"/>
            <w:vAlign w:val="bottom"/>
            <w:gridSpan w:val="2"/>
          </w:tcPr>
          <w:p>
            <w:pPr>
              <w:ind w:left="220"/>
              <w:spacing w:after="0" w:line="183" w:lineRule="exact"/>
              <w:rPr>
                <w:sz w:val="20"/>
                <w:szCs w:val="20"/>
                <w:color w:val="auto"/>
              </w:rPr>
            </w:pPr>
            <w:r>
              <w:rPr>
                <w:rFonts w:ascii="Arial" w:cs="Arial" w:eastAsia="Arial" w:hAnsi="Arial"/>
                <w:sz w:val="18"/>
                <w:szCs w:val="18"/>
                <w:color w:val="auto"/>
              </w:rPr>
              <w:t>use of Company resources. The Board intends that the virtual meeting format provide stockholders a level</w:t>
            </w:r>
          </w:p>
        </w:tc>
        <w:tc>
          <w:tcPr>
            <w:tcW w:w="0" w:type="dxa"/>
            <w:vAlign w:val="bottom"/>
          </w:tcPr>
          <w:p>
            <w:pPr>
              <w:spacing w:after="0"/>
              <w:rPr>
                <w:sz w:val="1"/>
                <w:szCs w:val="1"/>
                <w:color w:val="auto"/>
              </w:rPr>
            </w:pPr>
          </w:p>
        </w:tc>
      </w:tr>
      <w:tr>
        <w:trPr>
          <w:trHeight w:val="181"/>
        </w:trPr>
        <w:tc>
          <w:tcPr>
            <w:tcW w:w="2520" w:type="dxa"/>
            <w:vAlign w:val="bottom"/>
          </w:tcPr>
          <w:p>
            <w:pPr>
              <w:spacing w:after="0"/>
              <w:rPr>
                <w:sz w:val="15"/>
                <w:szCs w:val="15"/>
                <w:color w:val="auto"/>
              </w:rPr>
            </w:pPr>
          </w:p>
        </w:tc>
        <w:tc>
          <w:tcPr>
            <w:tcW w:w="8680" w:type="dxa"/>
            <w:vAlign w:val="bottom"/>
            <w:gridSpan w:val="2"/>
          </w:tcPr>
          <w:p>
            <w:pPr>
              <w:ind w:left="220"/>
              <w:spacing w:after="0" w:line="181" w:lineRule="exact"/>
              <w:rPr>
                <w:sz w:val="20"/>
                <w:szCs w:val="20"/>
                <w:color w:val="auto"/>
              </w:rPr>
            </w:pPr>
            <w:r>
              <w:rPr>
                <w:rFonts w:ascii="Arial" w:cs="Arial" w:eastAsia="Arial" w:hAnsi="Arial"/>
                <w:sz w:val="18"/>
                <w:szCs w:val="18"/>
                <w:color w:val="auto"/>
              </w:rPr>
              <w:t>of transparency as close as possible to the traditional in-person meeting format and takes the following</w:t>
            </w:r>
          </w:p>
        </w:tc>
        <w:tc>
          <w:tcPr>
            <w:tcW w:w="0" w:type="dxa"/>
            <w:vAlign w:val="bottom"/>
          </w:tcPr>
          <w:p>
            <w:pPr>
              <w:spacing w:after="0"/>
              <w:rPr>
                <w:sz w:val="1"/>
                <w:szCs w:val="1"/>
                <w:color w:val="auto"/>
              </w:rPr>
            </w:pPr>
          </w:p>
        </w:tc>
      </w:tr>
      <w:tr>
        <w:trPr>
          <w:trHeight w:val="239"/>
        </w:trPr>
        <w:tc>
          <w:tcPr>
            <w:tcW w:w="2520" w:type="dxa"/>
            <w:vAlign w:val="bottom"/>
          </w:tcPr>
          <w:p>
            <w:pPr>
              <w:spacing w:after="0"/>
              <w:rPr>
                <w:sz w:val="20"/>
                <w:szCs w:val="20"/>
                <w:color w:val="auto"/>
              </w:rPr>
            </w:pPr>
          </w:p>
        </w:tc>
        <w:tc>
          <w:tcPr>
            <w:tcW w:w="8680" w:type="dxa"/>
            <w:vAlign w:val="bottom"/>
            <w:gridSpan w:val="2"/>
          </w:tcPr>
          <w:p>
            <w:pPr>
              <w:ind w:left="220"/>
              <w:spacing w:after="0"/>
              <w:rPr>
                <w:sz w:val="20"/>
                <w:szCs w:val="20"/>
                <w:color w:val="auto"/>
              </w:rPr>
            </w:pPr>
            <w:r>
              <w:rPr>
                <w:rFonts w:ascii="Arial" w:cs="Arial" w:eastAsia="Arial" w:hAnsi="Arial"/>
                <w:sz w:val="18"/>
                <w:szCs w:val="18"/>
                <w:color w:val="auto"/>
              </w:rPr>
              <w:t>steps to ensure such an experience:</w:t>
            </w:r>
          </w:p>
        </w:tc>
        <w:tc>
          <w:tcPr>
            <w:tcW w:w="0" w:type="dxa"/>
            <w:vAlign w:val="bottom"/>
          </w:tcPr>
          <w:p>
            <w:pPr>
              <w:spacing w:after="0"/>
              <w:rPr>
                <w:sz w:val="1"/>
                <w:szCs w:val="1"/>
                <w:color w:val="auto"/>
              </w:rPr>
            </w:pPr>
          </w:p>
        </w:tc>
      </w:tr>
      <w:tr>
        <w:trPr>
          <w:trHeight w:val="363"/>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providing stockholders with the ability to submit appropriate questions in advance of the meeting</w:t>
            </w:r>
          </w:p>
        </w:tc>
        <w:tc>
          <w:tcPr>
            <w:tcW w:w="0" w:type="dxa"/>
            <w:vAlign w:val="bottom"/>
          </w:tcPr>
          <w:p>
            <w:pPr>
              <w:spacing w:after="0"/>
              <w:rPr>
                <w:sz w:val="1"/>
                <w:szCs w:val="1"/>
                <w:color w:val="auto"/>
              </w:rPr>
            </w:pPr>
          </w:p>
        </w:tc>
      </w:tr>
      <w:tr>
        <w:trPr>
          <w:trHeight w:val="239"/>
        </w:trPr>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to ensure thoughtful responses from management and the Board;</w:t>
            </w:r>
          </w:p>
        </w:tc>
        <w:tc>
          <w:tcPr>
            <w:tcW w:w="0" w:type="dxa"/>
            <w:vAlign w:val="bottom"/>
          </w:tcPr>
          <w:p>
            <w:pPr>
              <w:spacing w:after="0"/>
              <w:rPr>
                <w:sz w:val="1"/>
                <w:szCs w:val="1"/>
                <w:color w:val="auto"/>
              </w:rPr>
            </w:pPr>
          </w:p>
        </w:tc>
      </w:tr>
      <w:tr>
        <w:trPr>
          <w:trHeight w:val="361"/>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providing stockholders with the ability to submit appropriate questions real-time either via</w:t>
            </w:r>
          </w:p>
        </w:tc>
        <w:tc>
          <w:tcPr>
            <w:tcW w:w="0" w:type="dxa"/>
            <w:vAlign w:val="bottom"/>
          </w:tcPr>
          <w:p>
            <w:pPr>
              <w:spacing w:after="0"/>
              <w:rPr>
                <w:sz w:val="1"/>
                <w:szCs w:val="1"/>
                <w:color w:val="auto"/>
              </w:rPr>
            </w:pPr>
          </w:p>
        </w:tc>
      </w:tr>
      <w:tr>
        <w:trPr>
          <w:trHeight w:val="239"/>
        </w:trPr>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telephone or the meeting website;</w:t>
            </w:r>
          </w:p>
        </w:tc>
        <w:tc>
          <w:tcPr>
            <w:tcW w:w="0" w:type="dxa"/>
            <w:vAlign w:val="bottom"/>
          </w:tcPr>
          <w:p>
            <w:pPr>
              <w:spacing w:after="0"/>
              <w:rPr>
                <w:sz w:val="1"/>
                <w:szCs w:val="1"/>
                <w:color w:val="auto"/>
              </w:rPr>
            </w:pPr>
          </w:p>
        </w:tc>
      </w:tr>
      <w:tr>
        <w:trPr>
          <w:trHeight w:val="369"/>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answering as many questions submitted in accordance with the meeting rules of conduct as</w:t>
            </w:r>
          </w:p>
        </w:tc>
        <w:tc>
          <w:tcPr>
            <w:tcW w:w="0" w:type="dxa"/>
            <w:vAlign w:val="bottom"/>
          </w:tcPr>
          <w:p>
            <w:pPr>
              <w:spacing w:after="0"/>
              <w:rPr>
                <w:sz w:val="1"/>
                <w:szCs w:val="1"/>
                <w:color w:val="auto"/>
              </w:rPr>
            </w:pPr>
          </w:p>
        </w:tc>
      </w:tr>
      <w:tr>
        <w:trPr>
          <w:trHeight w:val="239"/>
        </w:trPr>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possible in the time allotted for the meeting without discrimination; and</w:t>
            </w:r>
          </w:p>
        </w:tc>
        <w:tc>
          <w:tcPr>
            <w:tcW w:w="0" w:type="dxa"/>
            <w:vAlign w:val="bottom"/>
          </w:tcPr>
          <w:p>
            <w:pPr>
              <w:spacing w:after="0"/>
              <w:rPr>
                <w:sz w:val="1"/>
                <w:szCs w:val="1"/>
                <w:color w:val="auto"/>
              </w:rPr>
            </w:pPr>
          </w:p>
        </w:tc>
      </w:tr>
      <w:tr>
        <w:trPr>
          <w:trHeight w:val="363"/>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offering separate engagement opportunities with stockholders on appropriate matters of</w:t>
            </w:r>
          </w:p>
        </w:tc>
        <w:tc>
          <w:tcPr>
            <w:tcW w:w="0" w:type="dxa"/>
            <w:vAlign w:val="bottom"/>
          </w:tcPr>
          <w:p>
            <w:pPr>
              <w:spacing w:after="0"/>
              <w:rPr>
                <w:sz w:val="1"/>
                <w:szCs w:val="1"/>
                <w:color w:val="auto"/>
              </w:rPr>
            </w:pPr>
          </w:p>
        </w:tc>
      </w:tr>
      <w:tr>
        <w:trPr>
          <w:trHeight w:val="181"/>
        </w:trPr>
        <w:tc>
          <w:tcPr>
            <w:tcW w:w="2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120" w:type="dxa"/>
            <w:vAlign w:val="bottom"/>
          </w:tcPr>
          <w:p>
            <w:pPr>
              <w:ind w:left="320"/>
              <w:spacing w:after="0" w:line="181" w:lineRule="exact"/>
              <w:rPr>
                <w:sz w:val="20"/>
                <w:szCs w:val="20"/>
                <w:color w:val="auto"/>
              </w:rPr>
            </w:pPr>
            <w:r>
              <w:rPr>
                <w:rFonts w:ascii="Arial" w:cs="Arial" w:eastAsia="Arial" w:hAnsi="Arial"/>
                <w:sz w:val="18"/>
                <w:szCs w:val="18"/>
                <w:color w:val="auto"/>
              </w:rPr>
              <w:t>governance or other relevant topics as outlined under the section titled “Communications with the</w:t>
            </w:r>
          </w:p>
        </w:tc>
        <w:tc>
          <w:tcPr>
            <w:tcW w:w="0" w:type="dxa"/>
            <w:vAlign w:val="bottom"/>
          </w:tcPr>
          <w:p>
            <w:pPr>
              <w:spacing w:after="0"/>
              <w:rPr>
                <w:sz w:val="1"/>
                <w:szCs w:val="1"/>
                <w:color w:val="auto"/>
              </w:rPr>
            </w:pPr>
          </w:p>
        </w:tc>
      </w:tr>
      <w:tr>
        <w:trPr>
          <w:trHeight w:val="239"/>
        </w:trPr>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Board of Directors” below.</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YOUR VOTE IS IMPORTANT. Whether or not you plan to attend the Annual Meeting, we urge you to submit your vote via the Internet, telephone or mail as soon as possible to ensure your shares are represented. For additional instructions for each of these voting options, please refer to the proxy card. Returning the proxy does not deprive you of your right to attend the Annual Meeting and to vote your shares at the Annual Meeting. The proxy statement explains proxy voting and the matters to be voted on in more detail.</w:t>
      </w:r>
    </w:p>
    <w:p>
      <w:pPr>
        <w:sectPr>
          <w:pgSz w:w="11900" w:h="16838" w:orient="portrait"/>
          <w:cols w:equalWidth="0" w:num="1">
            <w:col w:w="11220"/>
          </w:cols>
          <w:pgMar w:left="320" w:top="931" w:right="359" w:bottom="1440" w:gutter="0" w:footer="0" w:header="0"/>
        </w:sectPr>
      </w:pPr>
    </w:p>
    <w:bookmarkStart w:id="3" w:name="page4"/>
    <w:bookmarkEnd w:id="3"/>
    <w:p>
      <w:pPr>
        <w:spacing w:after="0" w:line="26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to Be Held on June 15, 2022. </w:t>
      </w:r>
      <w:r>
        <w:rPr>
          <w:rFonts w:ascii="Arial" w:cs="Arial" w:eastAsia="Arial" w:hAnsi="Arial"/>
          <w:sz w:val="18"/>
          <w:szCs w:val="18"/>
          <w:color w:val="auto"/>
        </w:rPr>
        <w:t>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 Annual Report to Stockholders are being made available on or about April 28, 2022 on our investor relations website at investor.seer.bio. We are providing access to our proxy materials over the Internet under the rules adopted by the Securities and Exchange Commission.</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Omid Farokhzad, M.D.,</w:t>
      </w:r>
    </w:p>
    <w:p>
      <w:pPr>
        <w:ind w:left="20"/>
        <w:spacing w:after="0"/>
        <w:rPr>
          <w:sz w:val="20"/>
          <w:szCs w:val="20"/>
          <w:color w:val="auto"/>
        </w:rPr>
      </w:pPr>
      <w:r>
        <w:rPr>
          <w:rFonts w:ascii="Arial" w:cs="Arial" w:eastAsia="Arial" w:hAnsi="Arial"/>
          <w:sz w:val="18"/>
          <w:szCs w:val="18"/>
          <w:i w:val="1"/>
          <w:iCs w:val="1"/>
          <w:color w:val="auto"/>
        </w:rPr>
        <w:t>Chief Executive Officer and Chair of the Board of Directors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28,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statement is being mailed to stockholders on or about April 28, 2022.</w:t>
      </w:r>
    </w:p>
    <w:p>
      <w:pPr>
        <w:sectPr>
          <w:pgSz w:w="11900" w:h="16838" w:orient="portrait"/>
          <w:cols w:equalWidth="0" w:num="1">
            <w:col w:w="11040"/>
          </w:cols>
          <w:pgMar w:left="320" w:top="1147" w:right="5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0" w:type="dxa"/>
            <w:vAlign w:val="bottom"/>
            <w:gridSpan w:val="15"/>
          </w:tcPr>
          <w:p>
            <w:pPr>
              <w:ind w:left="16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10480" w:type="dxa"/>
            <w:vAlign w:val="bottom"/>
            <w:gridSpan w:val="45"/>
            <w:vMerge w:val="restart"/>
          </w:tcPr>
          <w:p>
            <w:pPr>
              <w:spacing w:after="0"/>
              <w:rPr>
                <w:sz w:val="20"/>
                <w:szCs w:val="20"/>
                <w:color w:val="auto"/>
              </w:rPr>
            </w:pPr>
            <w:r>
              <w:rPr>
                <w:rFonts w:ascii="Arial" w:cs="Arial" w:eastAsia="Arial" w:hAnsi="Arial"/>
                <w:sz w:val="18"/>
                <w:szCs w:val="18"/>
                <w:color w:val="0000FF"/>
              </w:rPr>
              <w:t>QUESTIONS AND ANSWERS ABOUT THE ANNUAL MEETING</w:t>
            </w: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480" w:type="dxa"/>
            <w:vAlign w:val="bottom"/>
            <w:gridSpan w:val="45"/>
            <w:vMerge w:val="continue"/>
          </w:tcPr>
          <w:p>
            <w:pPr>
              <w:spacing w:after="0"/>
              <w:rPr>
                <w:sz w:val="15"/>
                <w:szCs w:val="15"/>
                <w:color w:val="auto"/>
              </w:rPr>
            </w:pPr>
          </w:p>
        </w:tc>
        <w:tc>
          <w:tcPr>
            <w:tcW w:w="740" w:type="dxa"/>
            <w:vAlign w:val="bottom"/>
          </w:tcPr>
          <w:p>
            <w:pPr>
              <w:jc w:val="center"/>
              <w:spacing w:after="0" w:line="18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0"/>
        </w:trPr>
        <w:tc>
          <w:tcPr>
            <w:tcW w:w="5180" w:type="dxa"/>
            <w:vAlign w:val="bottom"/>
            <w:tcBorders>
              <w:top w:val="single" w:sz="8" w:color="0000FF"/>
            </w:tcBorders>
            <w:gridSpan w:val="34"/>
          </w:tcPr>
          <w:p>
            <w:pPr>
              <w:spacing w:after="0"/>
              <w:rPr>
                <w:sz w:val="20"/>
                <w:szCs w:val="20"/>
                <w:color w:val="auto"/>
              </w:rPr>
            </w:pPr>
            <w:r>
              <w:rPr>
                <w:rFonts w:ascii="Arial" w:cs="Arial" w:eastAsia="Arial" w:hAnsi="Arial"/>
                <w:sz w:val="18"/>
                <w:szCs w:val="18"/>
                <w:color w:val="0000FF"/>
              </w:rPr>
              <w:t>BOARD OF DIRECTORS AND CORPORATE GOVERNANCE</w:t>
            </w:r>
          </w:p>
        </w:tc>
        <w:tc>
          <w:tcPr>
            <w:tcW w:w="5300" w:type="dxa"/>
            <w:vAlign w:val="bottom"/>
            <w:gridSpan w:val="11"/>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9"/>
        </w:trPr>
        <w:tc>
          <w:tcPr>
            <w:tcW w:w="440" w:type="dxa"/>
            <w:vAlign w:val="bottom"/>
            <w:tcBorders>
              <w:top w:val="single" w:sz="8" w:color="0000FF"/>
            </w:tcBorders>
          </w:tcPr>
          <w:p>
            <w:pPr>
              <w:spacing w:after="0"/>
              <w:rPr>
                <w:sz w:val="18"/>
                <w:szCs w:val="18"/>
                <w:color w:val="auto"/>
              </w:rPr>
            </w:pPr>
          </w:p>
        </w:tc>
        <w:tc>
          <w:tcPr>
            <w:tcW w:w="4540" w:type="dxa"/>
            <w:vAlign w:val="bottom"/>
            <w:tcBorders>
              <w:top w:val="single" w:sz="8" w:color="0000FF"/>
            </w:tcBorders>
            <w:gridSpan w:val="31"/>
          </w:tcPr>
          <w:p>
            <w:pPr>
              <w:spacing w:after="0"/>
              <w:rPr>
                <w:sz w:val="20"/>
                <w:szCs w:val="20"/>
                <w:color w:val="auto"/>
              </w:rPr>
            </w:pPr>
            <w:r>
              <w:rPr>
                <w:rFonts w:ascii="Arial" w:cs="Arial" w:eastAsia="Arial" w:hAnsi="Arial"/>
                <w:sz w:val="18"/>
                <w:szCs w:val="18"/>
                <w:color w:val="0000FF"/>
              </w:rPr>
              <w:t>Director Nominees</w:t>
            </w:r>
          </w:p>
        </w:tc>
        <w:tc>
          <w:tcPr>
            <w:tcW w:w="5500" w:type="dxa"/>
            <w:vAlign w:val="bottom"/>
            <w:gridSpan w:val="13"/>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40" w:type="dxa"/>
            <w:vAlign w:val="bottom"/>
            <w:gridSpan w:val="44"/>
          </w:tcPr>
          <w:p>
            <w:pPr>
              <w:spacing w:after="0"/>
              <w:rPr>
                <w:sz w:val="20"/>
                <w:szCs w:val="20"/>
                <w:color w:val="auto"/>
              </w:rPr>
            </w:pPr>
            <w:r>
              <w:rPr>
                <w:rFonts w:ascii="Arial" w:cs="Arial" w:eastAsia="Arial" w:hAnsi="Arial"/>
                <w:sz w:val="18"/>
                <w:szCs w:val="18"/>
                <w:color w:val="0000FF"/>
              </w:rPr>
              <w:t>Continuing Directors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6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8"/>
              </w:rPr>
              <w:t>Family Relationships</w:t>
            </w:r>
          </w:p>
        </w:tc>
        <w:tc>
          <w:tcPr>
            <w:tcW w:w="8380" w:type="dxa"/>
            <w:vAlign w:val="bottom"/>
            <w:gridSpan w:val="36"/>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8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Director Independence</w:t>
            </w:r>
          </w:p>
        </w:tc>
        <w:tc>
          <w:tcPr>
            <w:tcW w:w="8220" w:type="dxa"/>
            <w:vAlign w:val="bottom"/>
            <w:gridSpan w:val="34"/>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Board Leadership Structure</w:t>
            </w:r>
          </w:p>
        </w:tc>
        <w:tc>
          <w:tcPr>
            <w:tcW w:w="7840" w:type="dxa"/>
            <w:vAlign w:val="bottom"/>
            <w:gridSpan w:val="30"/>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0040" w:type="dxa"/>
            <w:vAlign w:val="bottom"/>
            <w:gridSpan w:val="44"/>
          </w:tcPr>
          <w:p>
            <w:pPr>
              <w:spacing w:after="0"/>
              <w:rPr>
                <w:sz w:val="20"/>
                <w:szCs w:val="20"/>
                <w:color w:val="auto"/>
              </w:rPr>
            </w:pPr>
            <w:r>
              <w:rPr>
                <w:rFonts w:ascii="Arial" w:cs="Arial" w:eastAsia="Arial" w:hAnsi="Arial"/>
                <w:sz w:val="18"/>
                <w:szCs w:val="18"/>
                <w:color w:val="0000FF"/>
              </w:rPr>
              <w:t>Committees of our Board of Directors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40" w:type="dxa"/>
            <w:vAlign w:val="bottom"/>
            <w:gridSpan w:val="44"/>
          </w:tcPr>
          <w:p>
            <w:pPr>
              <w:spacing w:after="0"/>
              <w:rPr>
                <w:sz w:val="20"/>
                <w:szCs w:val="20"/>
                <w:color w:val="auto"/>
              </w:rPr>
            </w:pPr>
            <w:r>
              <w:rPr>
                <w:rFonts w:ascii="Arial" w:cs="Arial" w:eastAsia="Arial" w:hAnsi="Arial"/>
                <w:sz w:val="18"/>
                <w:szCs w:val="18"/>
                <w:color w:val="0000FF"/>
              </w:rPr>
              <w:t>Attendance at Board and Stockholder Meetings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4880" w:type="dxa"/>
            <w:vAlign w:val="bottom"/>
            <w:tcBorders>
              <w:bottom w:val="single" w:sz="8" w:color="0000FF"/>
            </w:tcBorders>
            <w:gridSpan w:val="34"/>
          </w:tcPr>
          <w:p>
            <w:pPr>
              <w:spacing w:after="0"/>
              <w:rPr>
                <w:sz w:val="20"/>
                <w:szCs w:val="20"/>
                <w:color w:val="auto"/>
              </w:rPr>
            </w:pPr>
            <w:r>
              <w:rPr>
                <w:rFonts w:ascii="Arial" w:cs="Arial" w:eastAsia="Arial" w:hAnsi="Arial"/>
                <w:sz w:val="18"/>
                <w:szCs w:val="18"/>
                <w:color w:val="0000FF"/>
                <w:w w:val="99"/>
              </w:rPr>
              <w:t>Compensation Committee Interlocks and Insider Participation</w:t>
            </w:r>
          </w:p>
        </w:tc>
        <w:tc>
          <w:tcPr>
            <w:tcW w:w="5160" w:type="dxa"/>
            <w:vAlign w:val="bottom"/>
            <w:gridSpan w:val="10"/>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82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9"/>
              </w:rPr>
              <w:t>Considerations in Evaluating Director Nominees</w:t>
            </w:r>
          </w:p>
        </w:tc>
        <w:tc>
          <w:tcPr>
            <w:tcW w:w="6220" w:type="dxa"/>
            <w:vAlign w:val="bottom"/>
            <w:gridSpan w:val="17"/>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4"/>
          </w:tcPr>
          <w:p>
            <w:pPr>
              <w:spacing w:after="0"/>
              <w:rPr>
                <w:sz w:val="20"/>
                <w:szCs w:val="20"/>
                <w:color w:val="auto"/>
              </w:rPr>
            </w:pPr>
            <w:r>
              <w:rPr>
                <w:rFonts w:ascii="Arial" w:cs="Arial" w:eastAsia="Arial" w:hAnsi="Arial"/>
                <w:sz w:val="18"/>
                <w:szCs w:val="18"/>
                <w:color w:val="0000FF"/>
              </w:rPr>
              <w:t>Stockholder Recommendations for Nominations to the Board of Directors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00" w:type="dxa"/>
            <w:vAlign w:val="bottom"/>
            <w:tcBorders>
              <w:top w:val="single" w:sz="8" w:color="0000FF"/>
            </w:tcBorders>
            <w:gridSpan w:val="36"/>
          </w:tcPr>
          <w:p>
            <w:pPr>
              <w:spacing w:after="0"/>
              <w:rPr>
                <w:sz w:val="20"/>
                <w:szCs w:val="20"/>
                <w:color w:val="auto"/>
              </w:rPr>
            </w:pPr>
            <w:r>
              <w:rPr>
                <w:rFonts w:ascii="Arial" w:cs="Arial" w:eastAsia="Arial" w:hAnsi="Arial"/>
                <w:sz w:val="18"/>
                <w:szCs w:val="18"/>
                <w:color w:val="0000FF"/>
              </w:rPr>
              <w:t>Communications with the Board of Directors</w:t>
            </w:r>
          </w:p>
        </w:tc>
        <w:tc>
          <w:tcPr>
            <w:tcW w:w="4240" w:type="dxa"/>
            <w:vAlign w:val="bottom"/>
            <w:gridSpan w:val="8"/>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50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0000FF"/>
              </w:rPr>
              <w:t>Management and Board Diversity</w:t>
            </w:r>
          </w:p>
        </w:tc>
        <w:tc>
          <w:tcPr>
            <w:tcW w:w="6540" w:type="dxa"/>
            <w:vAlign w:val="bottom"/>
            <w:gridSpan w:val="23"/>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40" w:type="dxa"/>
            <w:vAlign w:val="bottom"/>
            <w:gridSpan w:val="44"/>
          </w:tcPr>
          <w:p>
            <w:pPr>
              <w:spacing w:after="0"/>
              <w:rPr>
                <w:sz w:val="20"/>
                <w:szCs w:val="20"/>
                <w:color w:val="auto"/>
              </w:rPr>
            </w:pPr>
            <w:r>
              <w:rPr>
                <w:rFonts w:ascii="Arial" w:cs="Arial" w:eastAsia="Arial" w:hAnsi="Arial"/>
                <w:sz w:val="18"/>
                <w:szCs w:val="18"/>
                <w:color w:val="0000FF"/>
              </w:rPr>
              <w:t>Corporate Governance Guidelines and Code of Business Conduct and Ethics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140" w:type="dxa"/>
            <w:vAlign w:val="bottom"/>
            <w:tcBorders>
              <w:top w:val="single" w:sz="8" w:color="0000FF"/>
            </w:tcBorders>
            <w:gridSpan w:val="39"/>
          </w:tcPr>
          <w:p>
            <w:pPr>
              <w:spacing w:after="0"/>
              <w:rPr>
                <w:sz w:val="20"/>
                <w:szCs w:val="20"/>
                <w:color w:val="auto"/>
              </w:rPr>
            </w:pPr>
            <w:r>
              <w:rPr>
                <w:rFonts w:ascii="Arial" w:cs="Arial" w:eastAsia="Arial" w:hAnsi="Arial"/>
                <w:sz w:val="18"/>
                <w:szCs w:val="18"/>
                <w:color w:val="0000FF"/>
              </w:rPr>
              <w:t>Role of the Board in Risk Oversight</w:t>
            </w:r>
          </w:p>
        </w:tc>
        <w:tc>
          <w:tcPr>
            <w:tcW w:w="3900" w:type="dxa"/>
            <w:vAlign w:val="bottom"/>
            <w:gridSpan w:val="5"/>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84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8"/>
              </w:rPr>
              <w:t>Director Compensation</w:t>
            </w:r>
          </w:p>
        </w:tc>
        <w:tc>
          <w:tcPr>
            <w:tcW w:w="960" w:type="dxa"/>
            <w:vAlign w:val="bottom"/>
            <w:tcBorders>
              <w:top w:val="single" w:sz="8" w:color="0000FF"/>
            </w:tcBorders>
            <w:gridSpan w:val="6"/>
          </w:tcPr>
          <w:p>
            <w:pPr>
              <w:spacing w:after="0"/>
              <w:rPr>
                <w:sz w:val="18"/>
                <w:szCs w:val="18"/>
                <w:color w:val="auto"/>
              </w:rPr>
            </w:pPr>
          </w:p>
        </w:tc>
        <w:tc>
          <w:tcPr>
            <w:tcW w:w="7240" w:type="dxa"/>
            <w:vAlign w:val="bottom"/>
            <w:gridSpan w:val="27"/>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9"/>
        </w:trPr>
        <w:tc>
          <w:tcPr>
            <w:tcW w:w="10480" w:type="dxa"/>
            <w:vAlign w:val="bottom"/>
            <w:gridSpan w:val="45"/>
          </w:tcPr>
          <w:p>
            <w:pPr>
              <w:spacing w:after="0"/>
              <w:rPr>
                <w:sz w:val="20"/>
                <w:szCs w:val="20"/>
                <w:color w:val="auto"/>
              </w:rPr>
            </w:pPr>
            <w:r>
              <w:rPr>
                <w:rFonts w:ascii="Arial" w:cs="Arial" w:eastAsia="Arial" w:hAnsi="Arial"/>
                <w:sz w:val="18"/>
                <w:szCs w:val="18"/>
                <w:color w:val="0000FF"/>
              </w:rPr>
              <w:t>PROPOSAL NO. 1—ELECTION OF DIRECTORS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09"/>
        </w:trPr>
        <w:tc>
          <w:tcPr>
            <w:tcW w:w="440" w:type="dxa"/>
            <w:vAlign w:val="bottom"/>
            <w:tcBorders>
              <w:top w:val="single" w:sz="8" w:color="0000FF"/>
            </w:tcBorders>
          </w:tcPr>
          <w:p>
            <w:pPr>
              <w:spacing w:after="0"/>
              <w:rPr>
                <w:sz w:val="18"/>
                <w:szCs w:val="18"/>
                <w:color w:val="auto"/>
              </w:rPr>
            </w:pPr>
          </w:p>
        </w:tc>
        <w:tc>
          <w:tcPr>
            <w:tcW w:w="3560" w:type="dxa"/>
            <w:vAlign w:val="bottom"/>
            <w:tcBorders>
              <w:top w:val="single" w:sz="8" w:color="0000FF"/>
            </w:tcBorders>
            <w:gridSpan w:val="23"/>
          </w:tcPr>
          <w:p>
            <w:pPr>
              <w:spacing w:after="0"/>
              <w:rPr>
                <w:sz w:val="20"/>
                <w:szCs w:val="20"/>
                <w:color w:val="auto"/>
              </w:rPr>
            </w:pPr>
            <w:r>
              <w:rPr>
                <w:rFonts w:ascii="Arial" w:cs="Arial" w:eastAsia="Arial" w:hAnsi="Arial"/>
                <w:sz w:val="18"/>
                <w:szCs w:val="18"/>
                <w:color w:val="0000FF"/>
              </w:rPr>
              <w:t>Nominees</w:t>
            </w:r>
          </w:p>
        </w:tc>
        <w:tc>
          <w:tcPr>
            <w:tcW w:w="6480" w:type="dxa"/>
            <w:vAlign w:val="bottom"/>
            <w:gridSpan w:val="21"/>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1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7"/>
              </w:rPr>
              <w:t>Vote Required</w:t>
            </w:r>
          </w:p>
        </w:tc>
        <w:tc>
          <w:tcPr>
            <w:tcW w:w="8900" w:type="dxa"/>
            <w:vAlign w:val="bottom"/>
            <w:gridSpan w:val="41"/>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10"/>
        </w:trPr>
        <w:tc>
          <w:tcPr>
            <w:tcW w:w="9880" w:type="dxa"/>
            <w:vAlign w:val="bottom"/>
            <w:tcBorders>
              <w:bottom w:val="single" w:sz="8" w:color="0000FF"/>
            </w:tcBorders>
            <w:gridSpan w:val="43"/>
          </w:tcPr>
          <w:p>
            <w:pPr>
              <w:spacing w:after="0"/>
              <w:rPr>
                <w:sz w:val="20"/>
                <w:szCs w:val="20"/>
                <w:color w:val="auto"/>
              </w:rPr>
            </w:pPr>
            <w:r>
              <w:rPr>
                <w:rFonts w:ascii="Arial" w:cs="Arial" w:eastAsia="Arial" w:hAnsi="Arial"/>
                <w:sz w:val="18"/>
                <w:szCs w:val="18"/>
                <w:color w:val="0000FF"/>
                <w:w w:val="99"/>
              </w:rPr>
              <w:t>PROPOSAL NO. 2—RATIFICATION OF APPOINTMENT OF INDEPENDENT REGISTERED PUBLIC ACCOUNTING FIRM</w:t>
            </w:r>
          </w:p>
        </w:tc>
        <w:tc>
          <w:tcPr>
            <w:tcW w:w="600" w:type="dxa"/>
            <w:vAlign w:val="bottom"/>
            <w:gridSpan w:val="2"/>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4"/>
          </w:tcPr>
          <w:p>
            <w:pPr>
              <w:spacing w:after="0"/>
              <w:rPr>
                <w:sz w:val="20"/>
                <w:szCs w:val="20"/>
                <w:color w:val="auto"/>
              </w:rPr>
            </w:pPr>
            <w:r>
              <w:rPr>
                <w:rFonts w:ascii="Arial" w:cs="Arial" w:eastAsia="Arial" w:hAnsi="Arial"/>
                <w:sz w:val="18"/>
                <w:szCs w:val="18"/>
                <w:color w:val="0000FF"/>
              </w:rPr>
              <w:t>Fees Paid to the Independent Registered Public Accounting Firm</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76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8"/>
              </w:rPr>
              <w:t>Auditor Independence</w:t>
            </w:r>
          </w:p>
        </w:tc>
        <w:tc>
          <w:tcPr>
            <w:tcW w:w="3400" w:type="dxa"/>
            <w:vAlign w:val="bottom"/>
            <w:tcBorders>
              <w:top w:val="single" w:sz="8" w:color="0000FF"/>
            </w:tcBorders>
            <w:gridSpan w:val="26"/>
          </w:tcPr>
          <w:p>
            <w:pPr>
              <w:spacing w:after="0"/>
              <w:rPr>
                <w:sz w:val="18"/>
                <w:szCs w:val="18"/>
                <w:color w:val="auto"/>
              </w:rPr>
            </w:pPr>
          </w:p>
        </w:tc>
        <w:tc>
          <w:tcPr>
            <w:tcW w:w="4880" w:type="dxa"/>
            <w:vAlign w:val="bottom"/>
            <w:gridSpan w:val="9"/>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0040" w:type="dxa"/>
            <w:vAlign w:val="bottom"/>
            <w:gridSpan w:val="44"/>
          </w:tcPr>
          <w:p>
            <w:pPr>
              <w:spacing w:after="0"/>
              <w:rPr>
                <w:sz w:val="20"/>
                <w:szCs w:val="20"/>
                <w:color w:val="auto"/>
              </w:rPr>
            </w:pPr>
            <w:r>
              <w:rPr>
                <w:rFonts w:ascii="Arial" w:cs="Arial" w:eastAsia="Arial" w:hAnsi="Arial"/>
                <w:sz w:val="18"/>
                <w:szCs w:val="18"/>
                <w:color w:val="0000FF"/>
              </w:rPr>
              <w:t>Audit Committee Policy on Pre-Approval of Audit and Permissible Non-Audit Services of Independent Registered Public</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Accounting Firm</w:t>
            </w:r>
          </w:p>
        </w:tc>
        <w:tc>
          <w:tcPr>
            <w:tcW w:w="8200" w:type="dxa"/>
            <w:vAlign w:val="bottom"/>
            <w:tcBorders>
              <w:top w:val="single" w:sz="8" w:color="0000FF"/>
            </w:tcBorders>
            <w:gridSpan w:val="39"/>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11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7"/>
              </w:rPr>
              <w:t>Vote Required</w:t>
            </w:r>
          </w:p>
        </w:tc>
        <w:tc>
          <w:tcPr>
            <w:tcW w:w="8900" w:type="dxa"/>
            <w:vAlign w:val="bottom"/>
            <w:gridSpan w:val="41"/>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09"/>
        </w:trPr>
        <w:tc>
          <w:tcPr>
            <w:tcW w:w="10480" w:type="dxa"/>
            <w:vAlign w:val="bottom"/>
            <w:gridSpan w:val="45"/>
          </w:tcPr>
          <w:p>
            <w:pPr>
              <w:spacing w:after="0"/>
              <w:rPr>
                <w:sz w:val="20"/>
                <w:szCs w:val="20"/>
                <w:color w:val="auto"/>
              </w:rPr>
            </w:pPr>
            <w:r>
              <w:rPr>
                <w:rFonts w:ascii="Arial" w:cs="Arial" w:eastAsia="Arial" w:hAnsi="Arial"/>
                <w:sz w:val="18"/>
                <w:szCs w:val="18"/>
                <w:color w:val="0000FF"/>
              </w:rPr>
              <w:t>PROPOSAL NO. 3—ADVISORY VOTE ON FREQUENCY OF ADVISORY VOTES ON NAMED EXECUTIVE OFFICER</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156"/>
        </w:trPr>
        <w:tc>
          <w:tcPr>
            <w:tcW w:w="146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COMPENSATION</w:t>
            </w:r>
          </w:p>
        </w:tc>
        <w:tc>
          <w:tcPr>
            <w:tcW w:w="8060" w:type="dxa"/>
            <w:vAlign w:val="bottom"/>
            <w:tcBorders>
              <w:top w:val="single" w:sz="8" w:color="0000FF"/>
            </w:tcBorders>
            <w:gridSpan w:val="39"/>
          </w:tcPr>
          <w:p>
            <w:pPr>
              <w:spacing w:after="0"/>
              <w:rPr>
                <w:sz w:val="13"/>
                <w:szCs w:val="13"/>
                <w:color w:val="auto"/>
              </w:rPr>
            </w:pPr>
          </w:p>
        </w:tc>
        <w:tc>
          <w:tcPr>
            <w:tcW w:w="960" w:type="dxa"/>
            <w:vAlign w:val="bottom"/>
            <w:gridSpan w:val="3"/>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AUDIT COMMITTEE REPORT</w:t>
            </w:r>
          </w:p>
        </w:tc>
        <w:tc>
          <w:tcPr>
            <w:tcW w:w="8000" w:type="dxa"/>
            <w:vAlign w:val="bottom"/>
            <w:gridSpan w:val="32"/>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10"/>
        </w:trPr>
        <w:tc>
          <w:tcPr>
            <w:tcW w:w="10480" w:type="dxa"/>
            <w:vAlign w:val="bottom"/>
            <w:gridSpan w:val="45"/>
          </w:tcPr>
          <w:p>
            <w:pPr>
              <w:spacing w:after="0"/>
              <w:rPr>
                <w:sz w:val="20"/>
                <w:szCs w:val="20"/>
                <w:color w:val="auto"/>
              </w:rPr>
            </w:pPr>
            <w:r>
              <w:rPr>
                <w:rFonts w:ascii="Arial" w:cs="Arial" w:eastAsia="Arial" w:hAnsi="Arial"/>
                <w:sz w:val="18"/>
                <w:szCs w:val="18"/>
                <w:color w:val="0000FF"/>
              </w:rPr>
              <w:t>EXECUTIVE OFFICERS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0"/>
        </w:trPr>
        <w:tc>
          <w:tcPr>
            <w:tcW w:w="198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80" w:type="dxa"/>
            <w:vAlign w:val="bottom"/>
            <w:gridSpan w:val="45"/>
          </w:tcPr>
          <w:p>
            <w:pPr>
              <w:spacing w:after="0"/>
              <w:rPr>
                <w:sz w:val="20"/>
                <w:szCs w:val="20"/>
                <w:color w:val="auto"/>
              </w:rPr>
            </w:pPr>
            <w:r>
              <w:rPr>
                <w:rFonts w:ascii="Arial" w:cs="Arial" w:eastAsia="Arial" w:hAnsi="Arial"/>
                <w:sz w:val="18"/>
                <w:szCs w:val="18"/>
                <w:color w:val="0000FF"/>
              </w:rPr>
              <w:t>EXECUTIVE COMPENSATION</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gridSpan w:val="6"/>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2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8"/>
              </w:rPr>
              <w:t>Summary Compensation Table</w:t>
            </w:r>
          </w:p>
        </w:tc>
        <w:tc>
          <w:tcPr>
            <w:tcW w:w="7580" w:type="dxa"/>
            <w:vAlign w:val="bottom"/>
            <w:gridSpan w:val="29"/>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4"/>
          </w:tcPr>
          <w:p>
            <w:pPr>
              <w:spacing w:after="0"/>
              <w:rPr>
                <w:sz w:val="20"/>
                <w:szCs w:val="20"/>
                <w:color w:val="auto"/>
              </w:rPr>
            </w:pPr>
            <w:r>
              <w:rPr>
                <w:rFonts w:ascii="Arial" w:cs="Arial" w:eastAsia="Arial" w:hAnsi="Arial"/>
                <w:sz w:val="18"/>
                <w:szCs w:val="18"/>
                <w:color w:val="0000FF"/>
              </w:rPr>
              <w:t>Outstanding Equity Awards at 2021 Year-End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620" w:type="dxa"/>
            <w:vAlign w:val="bottom"/>
            <w:tcBorders>
              <w:right w:val="single" w:sz="8" w:color="0000FF"/>
            </w:tcBorders>
            <w:gridSpan w:val="7"/>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4"/>
          </w:tcPr>
          <w:p>
            <w:pPr>
              <w:spacing w:after="0"/>
              <w:rPr>
                <w:sz w:val="20"/>
                <w:szCs w:val="20"/>
                <w:color w:val="auto"/>
              </w:rPr>
            </w:pPr>
            <w:r>
              <w:rPr>
                <w:rFonts w:ascii="Arial" w:cs="Arial" w:eastAsia="Arial" w:hAnsi="Arial"/>
                <w:sz w:val="18"/>
                <w:szCs w:val="18"/>
                <w:color w:val="0000FF"/>
              </w:rPr>
              <w:t>Potential Payments upon Termination or Change in Control</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680" w:type="dxa"/>
            <w:vAlign w:val="bottom"/>
            <w:tcBorders>
              <w:top w:val="single" w:sz="8" w:color="0000FF"/>
            </w:tcBorders>
            <w:gridSpan w:val="32"/>
          </w:tcPr>
          <w:p>
            <w:pPr>
              <w:spacing w:after="0"/>
              <w:rPr>
                <w:sz w:val="20"/>
                <w:szCs w:val="20"/>
                <w:color w:val="auto"/>
              </w:rPr>
            </w:pPr>
            <w:r>
              <w:rPr>
                <w:rFonts w:ascii="Arial" w:cs="Arial" w:eastAsia="Arial" w:hAnsi="Arial"/>
                <w:sz w:val="18"/>
                <w:szCs w:val="18"/>
                <w:color w:val="0000FF"/>
              </w:rPr>
              <w:t>Key Executive Change in Control and Severance Plan</w:t>
            </w:r>
          </w:p>
        </w:tc>
        <w:tc>
          <w:tcPr>
            <w:tcW w:w="5360" w:type="dxa"/>
            <w:vAlign w:val="bottom"/>
            <w:gridSpan w:val="12"/>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300" w:type="dxa"/>
            <w:vAlign w:val="bottom"/>
            <w:tcBorders>
              <w:top w:val="single" w:sz="8" w:color="0000FF"/>
            </w:tcBorders>
            <w:gridSpan w:val="30"/>
          </w:tcPr>
          <w:p>
            <w:pPr>
              <w:spacing w:after="0"/>
              <w:rPr>
                <w:sz w:val="20"/>
                <w:szCs w:val="20"/>
                <w:color w:val="auto"/>
              </w:rPr>
            </w:pPr>
            <w:r>
              <w:rPr>
                <w:rFonts w:ascii="Arial" w:cs="Arial" w:eastAsia="Arial" w:hAnsi="Arial"/>
                <w:sz w:val="18"/>
                <w:szCs w:val="18"/>
                <w:color w:val="0000FF"/>
              </w:rPr>
              <w:t>Equity Compensation Plan Information</w:t>
            </w:r>
          </w:p>
        </w:tc>
        <w:tc>
          <w:tcPr>
            <w:tcW w:w="5740" w:type="dxa"/>
            <w:vAlign w:val="bottom"/>
            <w:gridSpan w:val="14"/>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620" w:type="dxa"/>
            <w:vAlign w:val="bottom"/>
            <w:tcBorders>
              <w:right w:val="single" w:sz="8" w:color="0000FF"/>
            </w:tcBorders>
            <w:gridSpan w:val="7"/>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80" w:type="dxa"/>
            <w:vAlign w:val="bottom"/>
            <w:gridSpan w:val="45"/>
          </w:tcPr>
          <w:p>
            <w:pPr>
              <w:spacing w:after="0"/>
              <w:rPr>
                <w:sz w:val="20"/>
                <w:szCs w:val="20"/>
                <w:color w:val="auto"/>
              </w:rPr>
            </w:pPr>
            <w:r>
              <w:rPr>
                <w:rFonts w:ascii="Arial" w:cs="Arial" w:eastAsia="Arial" w:hAnsi="Arial"/>
                <w:sz w:val="18"/>
                <w:szCs w:val="18"/>
                <w:color w:val="0000FF"/>
              </w:rPr>
              <w:t>COMPENSATION DISCUSSION AND ANALYSIS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10"/>
        </w:trPr>
        <w:tc>
          <w:tcPr>
            <w:tcW w:w="440" w:type="dxa"/>
            <w:vAlign w:val="bottom"/>
            <w:tcBorders>
              <w:top w:val="single" w:sz="8" w:color="0000FF"/>
            </w:tcBorders>
          </w:tcPr>
          <w:p>
            <w:pPr>
              <w:spacing w:after="0"/>
              <w:rPr>
                <w:sz w:val="18"/>
                <w:szCs w:val="18"/>
                <w:color w:val="auto"/>
              </w:rPr>
            </w:pPr>
          </w:p>
        </w:tc>
        <w:tc>
          <w:tcPr>
            <w:tcW w:w="162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8"/>
              </w:rPr>
              <w:t>Executive Summary</w:t>
            </w:r>
          </w:p>
        </w:tc>
        <w:tc>
          <w:tcPr>
            <w:tcW w:w="1900" w:type="dxa"/>
            <w:vAlign w:val="bottom"/>
            <w:tcBorders>
              <w:top w:val="single" w:sz="8" w:color="0000FF"/>
            </w:tcBorders>
            <w:gridSpan w:val="15"/>
          </w:tcPr>
          <w:p>
            <w:pPr>
              <w:spacing w:after="0"/>
              <w:rPr>
                <w:sz w:val="18"/>
                <w:szCs w:val="18"/>
                <w:color w:val="auto"/>
              </w:rPr>
            </w:pPr>
          </w:p>
        </w:tc>
        <w:tc>
          <w:tcPr>
            <w:tcW w:w="6520" w:type="dxa"/>
            <w:vAlign w:val="bottom"/>
            <w:gridSpan w:val="22"/>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0040" w:type="dxa"/>
            <w:vAlign w:val="bottom"/>
            <w:gridSpan w:val="44"/>
          </w:tcPr>
          <w:p>
            <w:pPr>
              <w:spacing w:after="0"/>
              <w:rPr>
                <w:sz w:val="20"/>
                <w:szCs w:val="20"/>
                <w:color w:val="auto"/>
              </w:rPr>
            </w:pPr>
            <w:r>
              <w:rPr>
                <w:rFonts w:ascii="Arial" w:cs="Arial" w:eastAsia="Arial" w:hAnsi="Arial"/>
                <w:sz w:val="18"/>
                <w:szCs w:val="18"/>
                <w:color w:val="0000FF"/>
              </w:rPr>
              <w:t>Compensation Philosophy and Objectives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32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Compensation Determination Process</w:t>
            </w:r>
          </w:p>
        </w:tc>
        <w:tc>
          <w:tcPr>
            <w:tcW w:w="6720" w:type="dxa"/>
            <w:vAlign w:val="bottom"/>
            <w:gridSpan w:val="24"/>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20" w:type="dxa"/>
            <w:vAlign w:val="bottom"/>
            <w:gridSpan w:val="19"/>
            <w:shd w:val="clear" w:color="auto" w:fill="0000FF"/>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384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9"/>
              </w:rPr>
              <w:t>Key Components of our Compensation Program</w:t>
            </w:r>
          </w:p>
        </w:tc>
        <w:tc>
          <w:tcPr>
            <w:tcW w:w="6200" w:type="dxa"/>
            <w:vAlign w:val="bottom"/>
            <w:gridSpan w:val="16"/>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4"/>
          </w:tcPr>
          <w:p>
            <w:pPr>
              <w:spacing w:after="0"/>
              <w:rPr>
                <w:sz w:val="20"/>
                <w:szCs w:val="20"/>
                <w:color w:val="auto"/>
              </w:rPr>
            </w:pPr>
            <w:r>
              <w:rPr>
                <w:rFonts w:ascii="Arial" w:cs="Arial" w:eastAsia="Arial" w:hAnsi="Arial"/>
                <w:sz w:val="18"/>
                <w:szCs w:val="18"/>
                <w:color w:val="0000FF"/>
              </w:rPr>
              <w:t>Additional Compensation Policies and Practices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0" w:type="dxa"/>
            <w:vAlign w:val="bottom"/>
            <w:gridSpan w:val="26"/>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40" w:type="dxa"/>
            <w:vAlign w:val="bottom"/>
            <w:gridSpan w:val="44"/>
          </w:tcPr>
          <w:p>
            <w:pPr>
              <w:spacing w:after="0"/>
              <w:rPr>
                <w:sz w:val="20"/>
                <w:szCs w:val="20"/>
                <w:color w:val="auto"/>
              </w:rPr>
            </w:pPr>
            <w:r>
              <w:rPr>
                <w:rFonts w:ascii="Arial" w:cs="Arial" w:eastAsia="Arial" w:hAnsi="Arial"/>
                <w:sz w:val="18"/>
                <w:szCs w:val="18"/>
                <w:color w:val="0000FF"/>
              </w:rPr>
              <w:t>Report of the Talent and Compensation Committee</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40" w:type="dxa"/>
            <w:vAlign w:val="bottom"/>
            <w:gridSpan w:val="29"/>
            <w:shd w:val="clear" w:color="auto" w:fill="0000FF"/>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80" w:type="dxa"/>
            <w:vAlign w:val="bottom"/>
            <w:gridSpan w:val="45"/>
          </w:tcPr>
          <w:p>
            <w:pPr>
              <w:spacing w:after="0"/>
              <w:rPr>
                <w:sz w:val="20"/>
                <w:szCs w:val="20"/>
                <w:color w:val="auto"/>
              </w:rPr>
            </w:pPr>
            <w:r>
              <w:rPr>
                <w:rFonts w:ascii="Arial" w:cs="Arial" w:eastAsia="Arial" w:hAnsi="Arial"/>
                <w:sz w:val="18"/>
                <w:szCs w:val="18"/>
                <w:color w:val="0000FF"/>
              </w:rPr>
              <w:t>SECURITY OWNERSHIP OF CERTAIN BENEFICIAL OWNERS AND MANAGEMENT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210"/>
        </w:trPr>
        <w:tc>
          <w:tcPr>
            <w:tcW w:w="6380" w:type="dxa"/>
            <w:vAlign w:val="bottom"/>
            <w:tcBorders>
              <w:top w:val="single" w:sz="8" w:color="0000FF"/>
              <w:bottom w:val="single" w:sz="8" w:color="0000FF"/>
            </w:tcBorders>
            <w:gridSpan w:val="38"/>
          </w:tcPr>
          <w:p>
            <w:pPr>
              <w:spacing w:after="0"/>
              <w:rPr>
                <w:sz w:val="20"/>
                <w:szCs w:val="20"/>
                <w:color w:val="auto"/>
              </w:rPr>
            </w:pPr>
            <w:r>
              <w:rPr>
                <w:rFonts w:ascii="Arial" w:cs="Arial" w:eastAsia="Arial" w:hAnsi="Arial"/>
                <w:sz w:val="18"/>
                <w:szCs w:val="18"/>
                <w:color w:val="0000FF"/>
                <w:w w:val="98"/>
              </w:rPr>
              <w:t>CERTAIN RELATIONSHIPS, RELATED PARTY AND OTHER TRANSACTIONS</w:t>
            </w:r>
          </w:p>
        </w:tc>
        <w:tc>
          <w:tcPr>
            <w:tcW w:w="540" w:type="dxa"/>
            <w:vAlign w:val="bottom"/>
            <w:tcBorders>
              <w:top w:val="single" w:sz="8" w:color="0000FF"/>
            </w:tcBorders>
            <w:gridSpan w:val="3"/>
          </w:tcPr>
          <w:p>
            <w:pPr>
              <w:spacing w:after="0"/>
              <w:rPr>
                <w:sz w:val="18"/>
                <w:szCs w:val="18"/>
                <w:color w:val="auto"/>
              </w:rPr>
            </w:pPr>
          </w:p>
        </w:tc>
        <w:tc>
          <w:tcPr>
            <w:tcW w:w="3560" w:type="dxa"/>
            <w:vAlign w:val="bottom"/>
            <w:gridSpan w:val="4"/>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10"/>
        </w:trPr>
        <w:tc>
          <w:tcPr>
            <w:tcW w:w="10480" w:type="dxa"/>
            <w:vAlign w:val="bottom"/>
            <w:gridSpan w:val="45"/>
          </w:tcPr>
          <w:p>
            <w:pPr>
              <w:spacing w:after="0"/>
              <w:rPr>
                <w:sz w:val="20"/>
                <w:szCs w:val="20"/>
                <w:color w:val="auto"/>
              </w:rPr>
            </w:pPr>
            <w:r>
              <w:rPr>
                <w:rFonts w:ascii="Arial" w:cs="Arial" w:eastAsia="Arial" w:hAnsi="Arial"/>
                <w:sz w:val="18"/>
                <w:szCs w:val="18"/>
                <w:color w:val="0000FF"/>
              </w:rPr>
              <w:t>ENVIRONMENTAL, SOCIAL RESPONSIBILITY AND GOVERNANCE MATTERS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40" w:top="93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OTHER MATTERS</w:t>
            </w:r>
          </w:p>
        </w:tc>
        <w:tc>
          <w:tcPr>
            <w:tcW w:w="2780" w:type="dxa"/>
            <w:vAlign w:val="bottom"/>
            <w:gridSpan w:val="2"/>
          </w:tcPr>
          <w:p>
            <w:pPr>
              <w:spacing w:after="0"/>
              <w:rPr>
                <w:sz w:val="17"/>
                <w:szCs w:val="17"/>
                <w:color w:val="auto"/>
              </w:rPr>
            </w:pPr>
          </w:p>
        </w:tc>
        <w:tc>
          <w:tcPr>
            <w:tcW w:w="6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9"/>
        </w:trPr>
        <w:tc>
          <w:tcPr>
            <w:tcW w:w="440" w:type="dxa"/>
            <w:vAlign w:val="bottom"/>
          </w:tcPr>
          <w:p>
            <w:pPr>
              <w:spacing w:after="0"/>
              <w:rPr>
                <w:sz w:val="18"/>
                <w:szCs w:val="18"/>
                <w:color w:val="auto"/>
              </w:rPr>
            </w:pPr>
          </w:p>
        </w:tc>
        <w:tc>
          <w:tcPr>
            <w:tcW w:w="26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Delinquent Section 16(a) Reports</w:t>
            </w:r>
          </w:p>
        </w:tc>
        <w:tc>
          <w:tcPr>
            <w:tcW w:w="1220" w:type="dxa"/>
            <w:vAlign w:val="bottom"/>
          </w:tcPr>
          <w:p>
            <w:pPr>
              <w:spacing w:after="0"/>
              <w:rPr>
                <w:sz w:val="18"/>
                <w:szCs w:val="18"/>
                <w:color w:val="auto"/>
              </w:rPr>
            </w:pPr>
          </w:p>
        </w:tc>
        <w:tc>
          <w:tcPr>
            <w:tcW w:w="6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9"/>
        </w:trPr>
        <w:tc>
          <w:tcPr>
            <w:tcW w:w="440" w:type="dxa"/>
            <w:vAlign w:val="bottom"/>
          </w:tcPr>
          <w:p>
            <w:pPr>
              <w:spacing w:after="0"/>
              <w:rPr>
                <w:sz w:val="18"/>
                <w:szCs w:val="18"/>
                <w:color w:val="auto"/>
              </w:rPr>
            </w:pPr>
          </w:p>
        </w:tc>
        <w:tc>
          <w:tcPr>
            <w:tcW w:w="38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Fiscal Year 2021 Annual Report and SEC Filings</w:t>
            </w:r>
          </w:p>
        </w:tc>
        <w:tc>
          <w:tcPr>
            <w:tcW w:w="6620" w:type="dxa"/>
            <w:vAlign w:val="bottom"/>
          </w:tcPr>
          <w:p>
            <w:pPr>
              <w:jc w:val="right"/>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0940"/>
          </w:cols>
          <w:pgMar w:left="340" w:top="1175" w:right="6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2022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at 1:00 p.m. Pacific Time on Wednesday, June 15, 2022</w:t>
      </w:r>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2022 annual meeting of stockholders of Seer, Inc. (the Annual Meeting), and any postponements, adjournments or continuations thereof. The Annual Meeting will be held on Wednesday, June 15, 2022 at 1:00 p.m. Pacific Time virtually via live webcast. You will be able to attend the Annual Meeting virtually by visiting www.virtualshareholdermeeting.com/SEER2022, where you will be able to listen to the meeting live, submit questions and vote online by entering the control number on your proxy card.</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w:t>
      </w:r>
    </w:p>
    <w:p>
      <w:pPr>
        <w:spacing w:after="0" w:line="2"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auto"/>
        </w:rPr>
        <w:t>shares.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board of directors is providing these proxy materials to you in connection with its solicitation of proxies for use at the Annual Meeting, which will take place on June 15, 2022. Stockholders are invited to attend the Annual Meeting and are requested to vote on the proposals described in this proxy statement. This proxy statement and the accompanying proxy card are being mailed on or about May 5, 2022 in connection with the solicitation of proxies on behalf of our board of directors. All stockholders will have the ability to access via the Internet this proxy statement and our Annual Report as filed with the Securities and Exchange Commission (the SEC) on March 1, 2022.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proposals scheduled to be voted on at the Annual Meeting:</w:t>
      </w:r>
    </w:p>
    <w:p>
      <w:pPr>
        <w:spacing w:after="0" w:line="225" w:lineRule="exact"/>
        <w:rPr>
          <w:sz w:val="20"/>
          <w:szCs w:val="20"/>
          <w:color w:val="auto"/>
        </w:rPr>
      </w:pPr>
    </w:p>
    <w:p>
      <w:pPr>
        <w:ind w:left="980" w:right="28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Robert S. Langer Sc.D., Rachel Haurwitz Ph.D., Dipchand (Deep) Nishar as Class II directors to serve until the 2025 annual meeting of stockholders or until their successors are duly elected and qualified;</w:t>
      </w:r>
    </w:p>
    <w:p>
      <w:pPr>
        <w:spacing w:after="0" w:line="152" w:lineRule="exact"/>
        <w:rPr>
          <w:rFonts w:ascii="Arial" w:cs="Arial" w:eastAsia="Arial" w:hAnsi="Arial"/>
          <w:sz w:val="18"/>
          <w:szCs w:val="18"/>
          <w:color w:val="auto"/>
        </w:rPr>
      </w:pPr>
    </w:p>
    <w:p>
      <w:pPr>
        <w:ind w:left="980" w:right="30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Deloitte &amp; Touche LLP as our independent registered public accounting firm for our fiscal year ending December 31, 2022; and</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non-binding, advisory vote on frequency of advisory votes on executive compensation.</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At the time this proxy statement was mailed, our management and board of directors were not aware of any other matters to be presented at the Annual Meeting other than those set forth in this proxy statement and in the notice accompanying this proxy statement.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our board of directors recommend that I vote?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recommends that you vote:</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election of each of Dr. Langer, Dr. Haurwitz and Mr. Nishar as Class II directors;</w:t>
      </w:r>
    </w:p>
    <w:p>
      <w:pPr>
        <w:spacing w:after="0" w:line="225" w:lineRule="exact"/>
        <w:rPr>
          <w:rFonts w:ascii="Arial" w:cs="Arial" w:eastAsia="Arial" w:hAnsi="Arial"/>
          <w:sz w:val="18"/>
          <w:szCs w:val="18"/>
          <w:color w:val="auto"/>
        </w:rPr>
      </w:pPr>
    </w:p>
    <w:p>
      <w:pPr>
        <w:ind w:left="980" w:right="320" w:hanging="324"/>
        <w:spacing w:after="0" w:line="287"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FOR the ratification of the appointment of Deloitte &amp; Touche LLP as our independent registered public accounting firm for our fiscal year ending December 31, 2022; and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931" w:right="359" w:bottom="1440" w:gutter="0" w:footer="0" w:header="0"/>
        </w:sectPr>
      </w:pPr>
    </w:p>
    <w:bookmarkStart w:id="7" w:name="page8"/>
    <w:bookmarkEnd w:id="7"/>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option of “3 YEARS” as the preferred frequency for a non-binding, advisory vote on executive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Holders of our common stock at the close of business on April 20, 2022, the record date for the Annual Meeting (the Record Date), are entitled to notice of and to vote at the Annual Meeting. Each stockholder is entitled to one vote for each share of our Class A common stock and ten votes for each share of our Class B common stock held as of the Record Date. As of the Record Date, there were 58,383,880 shares of Class A common stock and 4,055,190 shares of Class B common stock outstanding and entitled to vote. Stockholders are not permitted to cumulate votes with respect to the election of directors.</w:t>
      </w:r>
    </w:p>
    <w:p>
      <w:pPr>
        <w:spacing w:after="0" w:line="1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Stockholders of Record – Shares Registered in Your Name. </w:t>
      </w:r>
      <w:r>
        <w:rPr>
          <w:rFonts w:ascii="Arial" w:cs="Arial" w:eastAsia="Arial" w:hAnsi="Arial"/>
          <w:sz w:val="18"/>
          <w:szCs w:val="18"/>
          <w:color w:val="auto"/>
        </w:rPr>
        <w:t>If, at the close of business on the Record Date, your shares were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in your name with Computershare Trust Company, N.A., our transfer agent, then you are considered the stockholder of record with respect to those shares, and this proxy statement was provided to you directly by us. As the stockholder of record, you have the right to grant your voting proxy directly to the individuals listed on the proxy card or to vote in person (including virtually) at the Annual Meeting. Throughout this proxy statement, we refer to these registered stockholders as “stockholders of record.”</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Street Name Stockholders – Shares Registered in the Name of a Broker, Bank or Other Nominee. </w:t>
      </w:r>
      <w:r>
        <w:rPr>
          <w:rFonts w:ascii="Arial" w:cs="Arial" w:eastAsia="Arial" w:hAnsi="Arial"/>
          <w:sz w:val="18"/>
          <w:szCs w:val="18"/>
          <w:color w:val="auto"/>
        </w:rPr>
        <w:t>If, at the close of business on the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Date, your shares were held, not in your name, but rather in a stock brokerage account or by a bank or other nominee on your behalf, then you are considered the beneficial owner of shares held in “street name,” and this proxy statement was forwarded to you by your broker or nominee, who is considered the stockholder of record with respect to those shares.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w:t>
      </w:r>
    </w:p>
    <w:p>
      <w:pPr>
        <w:spacing w:after="0" w:line="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matters. Throughout this proxy statement, we refer to stockholders who hold their shares through a broker, bank or other nominee as “street name stockholders.”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333" w:lineRule="exact"/>
        <w:rPr>
          <w:sz w:val="20"/>
          <w:szCs w:val="20"/>
          <w:color w:val="auto"/>
        </w:rPr>
      </w:pPr>
    </w:p>
    <w:p>
      <w:pPr>
        <w:ind w:left="980" w:right="60" w:hanging="324"/>
        <w:spacing w:after="0" w:line="260" w:lineRule="auto"/>
        <w:tabs>
          <w:tab w:leader="none" w:pos="975"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The election of each Class II director requires a plurality of the votes of the shares of our common stock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in person (including virtually) or represented by proxy at the Annual Meeting and entitled to vote thereon to be</w:t>
      </w:r>
    </w:p>
    <w:p>
      <w:pPr>
        <w:spacing w:after="0" w:line="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approved. “Plurality” means that the three nominees who receive the most votes cast FOR will be elected as Class II</w:t>
      </w:r>
    </w:p>
    <w:p>
      <w:pPr>
        <w:spacing w:after="0" w:line="9" w:lineRule="exact"/>
        <w:rPr>
          <w:rFonts w:ascii="Arial" w:cs="Arial" w:eastAsia="Arial" w:hAnsi="Arial"/>
          <w:sz w:val="18"/>
          <w:szCs w:val="18"/>
          <w:b w:val="1"/>
          <w:bCs w:val="1"/>
          <w:color w:val="auto"/>
        </w:rPr>
      </w:pPr>
    </w:p>
    <w:p>
      <w:pPr>
        <w:ind w:left="9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directors.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election. If you WITHHOLD your vote as to all nominees, you will be deemed to have abstained from voting on Proposal No. 1, and such abstention will have no effect on the outcome of the proposal.</w:t>
      </w:r>
    </w:p>
    <w:p>
      <w:pPr>
        <w:spacing w:after="0" w:line="182" w:lineRule="exact"/>
        <w:rPr>
          <w:rFonts w:ascii="Arial" w:cs="Arial" w:eastAsia="Arial" w:hAnsi="Arial"/>
          <w:sz w:val="18"/>
          <w:szCs w:val="18"/>
          <w:b w:val="1"/>
          <w:bCs w:val="1"/>
          <w:color w:val="auto"/>
        </w:rPr>
      </w:pPr>
    </w:p>
    <w:p>
      <w:pPr>
        <w:ind w:left="980" w:right="100" w:hanging="324"/>
        <w:spacing w:after="0" w:line="259"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The ratification of the appointment of Deloitte &amp; Touche LLP as our independent registered public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firm for our fiscal year ending December 31, 2022 requires an affirmative FOR vote of a majority of the shares of our common stock present in person (including virtually) or represented by proxy at the Annual Meeting and entitled to vote thereon to be approved. You may vote FOR, AGAINST or ABSTAIN. If you ABSTAIN from voting on Proposal No. 2, the abstention will have the same effect as a vote AGAINST the proposal. Broker non-votes will have no effect on the outcome of this proposal.</w:t>
      </w:r>
    </w:p>
    <w:p>
      <w:pPr>
        <w:spacing w:after="0" w:line="179" w:lineRule="exact"/>
        <w:rPr>
          <w:rFonts w:ascii="Arial" w:cs="Arial" w:eastAsia="Arial" w:hAnsi="Arial"/>
          <w:sz w:val="18"/>
          <w:szCs w:val="18"/>
          <w:color w:val="auto"/>
        </w:rPr>
      </w:pPr>
    </w:p>
    <w:p>
      <w:pPr>
        <w:ind w:left="980" w:right="60" w:hanging="324"/>
        <w:spacing w:after="0" w:line="282" w:lineRule="auto"/>
        <w:tabs>
          <w:tab w:leader="none" w:pos="97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Proposal No. 3: </w:t>
      </w:r>
      <w:r>
        <w:rPr>
          <w:rFonts w:ascii="Arial" w:cs="Arial" w:eastAsia="Arial" w:hAnsi="Arial"/>
          <w:sz w:val="17"/>
          <w:szCs w:val="17"/>
          <w:color w:val="auto"/>
        </w:rPr>
        <w:t>Because this proposal of an advisory vote on frequency of advisory vote on executive compensation asks for a</w:t>
      </w:r>
      <w:r>
        <w:rPr>
          <w:rFonts w:ascii="Arial" w:cs="Arial" w:eastAsia="Arial" w:hAnsi="Arial"/>
          <w:sz w:val="17"/>
          <w:szCs w:val="17"/>
          <w:i w:val="1"/>
          <w:iCs w:val="1"/>
          <w:color w:val="auto"/>
        </w:rPr>
        <w:t xml:space="preserve"> </w:t>
      </w:r>
      <w:r>
        <w:rPr>
          <w:rFonts w:ascii="Arial" w:cs="Arial" w:eastAsia="Arial" w:hAnsi="Arial"/>
          <w:sz w:val="17"/>
          <w:szCs w:val="17"/>
          <w:color w:val="auto"/>
        </w:rPr>
        <w:t>non-binding, advisory vote, there is no required vote that would constitute approval. We value the opinions expressed by our stockholders in this advisory vote, and our board of directors values the opinions expressed by our stockholders and will take into account the outcome of this vote when considering the frequency of future advisory say-on-pay votes. Any shares not voted</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147" w:right="379" w:bottom="1440" w:gutter="0" w:footer="0" w:header="0"/>
        </w:sectPr>
      </w:pPr>
    </w:p>
    <w:bookmarkStart w:id="8" w:name="page9"/>
    <w:bookmarkEnd w:id="8"/>
    <w:p>
      <w:pPr>
        <w:ind w:left="980" w:right="320"/>
        <w:spacing w:after="0" w:line="287" w:lineRule="auto"/>
        <w:rPr>
          <w:sz w:val="20"/>
          <w:szCs w:val="20"/>
          <w:color w:val="auto"/>
        </w:rPr>
      </w:pPr>
      <w:r>
        <w:rPr>
          <w:rFonts w:ascii="Arial" w:cs="Arial" w:eastAsia="Arial" w:hAnsi="Arial"/>
          <w:sz w:val="18"/>
          <w:szCs w:val="18"/>
          <w:color w:val="auto"/>
        </w:rPr>
        <w:t>FOR a particular option (whether as a result of voting withheld or a broker non-vote) will not be counted in such option’s favor and will have no effect on the outcome of the advisory vote.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quorum is the minimum number of shares required to be present at the Annual Meeting for the annual meeting of stockholders to be properly held under our amended and restated bylaws and Delaware law. A majority of the shares of common stock outstanding and entitled to vote, in person (including virtually) or by proxy, constitutes a quorum for the transaction of business at the Annual Meeting. Abstentions, withhold votes, and broker non-votes are counted as shares present and entitled to vote for purposes of determining a quorum. If there is no quorum, a majority of the shares present at the Annual Meeting may adjourn the meeting to a later date.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do to attend the Annual Meeting?</w:t>
      </w:r>
    </w:p>
    <w:p>
      <w:pPr>
        <w:spacing w:after="0" w:line="225" w:lineRule="exact"/>
        <w:rPr>
          <w:sz w:val="20"/>
          <w:szCs w:val="20"/>
          <w:color w:val="auto"/>
        </w:rPr>
      </w:pPr>
    </w:p>
    <w:p>
      <w:pPr>
        <w:jc w:val="both"/>
        <w:ind w:right="200"/>
        <w:spacing w:after="0" w:line="282" w:lineRule="auto"/>
        <w:rPr>
          <w:sz w:val="20"/>
          <w:szCs w:val="20"/>
          <w:color w:val="auto"/>
        </w:rPr>
      </w:pPr>
      <w:r>
        <w:rPr>
          <w:rFonts w:ascii="Arial" w:cs="Arial" w:eastAsia="Arial" w:hAnsi="Arial"/>
          <w:sz w:val="17"/>
          <w:szCs w:val="17"/>
          <w:color w:val="auto"/>
        </w:rPr>
        <w:t>You will be able to attend the Annual Meeting virtually, submit your questions during the meeting and vote your shares electronically at the meeting by visiting www.virtualshareholdermeeting.com/SEER2022. To participate in the Annual Meeting, you will need the control number from your proxy card. The Annual Meeting webcast will begin promptly at 1:00 p.m. Pacific Time. We encourage you to access the meeting prior to the start time. Online check-in will begin at 12:45 p.m. Pacific Time, and you should allow ample time for the check-in procedures.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and what are the voting deadlines?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can vote in one of the following ways:</w:t>
      </w:r>
    </w:p>
    <w:p>
      <w:pPr>
        <w:spacing w:after="0" w:line="225" w:lineRule="exact"/>
        <w:rPr>
          <w:sz w:val="20"/>
          <w:szCs w:val="20"/>
          <w:color w:val="auto"/>
        </w:rPr>
      </w:pPr>
    </w:p>
    <w:p>
      <w:pPr>
        <w:ind w:left="980" w:right="220" w:hanging="324"/>
        <w:spacing w:after="0" w:line="262"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You may vote via the Internet. </w:t>
      </w:r>
      <w:r>
        <w:rPr>
          <w:rFonts w:ascii="Arial" w:cs="Arial" w:eastAsia="Arial" w:hAnsi="Arial"/>
          <w:sz w:val="18"/>
          <w:szCs w:val="18"/>
          <w:color w:val="auto"/>
        </w:rPr>
        <w:t>To vote via the Internet prior to the Annual Meeting, go to www.proxyvote.com to complete an</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proxy card. You will be asked to provide the control number from the proxy card you receive. Your vote must be received by 11:59 p.m. Eastern Time on June 14, 2022 to be counted. If you vote via the Internet prior to the Annual Meeting, you do not need to return a proxy card by mail.</w:t>
      </w:r>
    </w:p>
    <w:p>
      <w:pPr>
        <w:spacing w:after="0" w:line="176" w:lineRule="exact"/>
        <w:rPr>
          <w:rFonts w:ascii="Arial" w:cs="Arial" w:eastAsia="Arial" w:hAnsi="Arial"/>
          <w:sz w:val="18"/>
          <w:szCs w:val="18"/>
          <w:color w:val="auto"/>
        </w:rPr>
      </w:pPr>
    </w:p>
    <w:p>
      <w:pPr>
        <w:ind w:left="980" w:right="40" w:hanging="324"/>
        <w:spacing w:after="0" w:line="262"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You may vote by telephone. </w:t>
      </w:r>
      <w:r>
        <w:rPr>
          <w:rFonts w:ascii="Arial" w:cs="Arial" w:eastAsia="Arial" w:hAnsi="Arial"/>
          <w:sz w:val="18"/>
          <w:szCs w:val="18"/>
          <w:color w:val="auto"/>
        </w:rPr>
        <w:t>To vote by telephone, dial 1-800-690-6903 (toll-free in the United States and Canada; toll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calls from other countries) and follow the recorded instructions. You will be asked to provide the control number from the proxy card. Your vote must be received by 11:59 p.m. Eastern Time on June 14, 2022 to be counted. If you vote by telephone, you do not need to return a proxy card by mail.</w:t>
      </w:r>
    </w:p>
    <w:p>
      <w:pPr>
        <w:spacing w:after="0" w:line="176" w:lineRule="exact"/>
        <w:rPr>
          <w:rFonts w:ascii="Arial" w:cs="Arial" w:eastAsia="Arial" w:hAnsi="Arial"/>
          <w:sz w:val="18"/>
          <w:szCs w:val="18"/>
          <w:color w:val="auto"/>
        </w:rPr>
      </w:pPr>
    </w:p>
    <w:p>
      <w:pPr>
        <w:ind w:left="980" w:right="40" w:hanging="324"/>
        <w:spacing w:after="0" w:line="259"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You may vote by mail. </w:t>
      </w:r>
      <w:r>
        <w:rPr>
          <w:rFonts w:ascii="Arial" w:cs="Arial" w:eastAsia="Arial" w:hAnsi="Arial"/>
          <w:sz w:val="18"/>
          <w:szCs w:val="18"/>
          <w:color w:val="auto"/>
        </w:rPr>
        <w:t>To vote by mail, you need to complete, date and sign the proxy card that accompanies this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 return it promptly by mail so that it is received no later than June 14, 2022.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p>
    <w:p>
      <w:pPr>
        <w:spacing w:after="0" w:line="179" w:lineRule="exact"/>
        <w:rPr>
          <w:rFonts w:ascii="Arial" w:cs="Arial" w:eastAsia="Arial" w:hAnsi="Arial"/>
          <w:sz w:val="18"/>
          <w:szCs w:val="18"/>
          <w:color w:val="auto"/>
        </w:rPr>
      </w:pPr>
    </w:p>
    <w:p>
      <w:pPr>
        <w:ind w:left="980" w:right="220" w:hanging="324"/>
        <w:spacing w:after="0" w:line="268"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You may vote virtually during the Annual Meeting. </w:t>
      </w:r>
      <w:r>
        <w:rPr>
          <w:rFonts w:ascii="Arial" w:cs="Arial" w:eastAsia="Arial" w:hAnsi="Arial"/>
          <w:sz w:val="18"/>
          <w:szCs w:val="18"/>
          <w:color w:val="auto"/>
        </w:rPr>
        <w:t>If you plan to attend the Annual Meeting by visiting</w:t>
      </w:r>
      <w:r>
        <w:rPr>
          <w:rFonts w:ascii="Arial" w:cs="Arial" w:eastAsia="Arial" w:hAnsi="Arial"/>
          <w:sz w:val="18"/>
          <w:szCs w:val="18"/>
          <w:b w:val="1"/>
          <w:bCs w:val="1"/>
          <w:color w:val="auto"/>
        </w:rPr>
        <w:t xml:space="preserve"> </w:t>
      </w:r>
      <w:r>
        <w:rPr>
          <w:rFonts w:ascii="Arial" w:cs="Arial" w:eastAsia="Arial" w:hAnsi="Arial"/>
          <w:sz w:val="18"/>
          <w:szCs w:val="18"/>
          <w:color w:val="auto"/>
        </w:rPr>
        <w:t>www.virtualshareholdermeeting.com/SEER2022, you may vote electronically and submit questions during the meeting. Please have your proxy card in hand when you visit the website.</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Even if you plan to attend the Annual Meeting, we recommend that you also vote by proxy so that your vote will be counted if you later decide not to attend the Annual Meeting.</w:t>
      </w:r>
    </w:p>
    <w:p>
      <w:pPr>
        <w:spacing w:after="0" w:line="15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you are the beneficial owner of shares held of record by a broker, bank or other nominee, you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 </w:t>
      </w:r>
      <w:r>
        <w:rPr>
          <w:rFonts w:ascii="Arial" w:cs="Arial" w:eastAsia="Arial" w:hAnsi="Arial"/>
          <w:sz w:val="18"/>
          <w:szCs w:val="18"/>
          <w:b w:val="1"/>
          <w:bCs w:val="1"/>
          <w:color w:val="auto"/>
        </w:rPr>
        <w:t>As discussed above, if you are a street name</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you may not vote your shares live at the Annual Meeting unless you obtain a legal proxy from your broker, bank or other nominee.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4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may revoke your proxy or change your proxy instructions at any time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is voted at the Annual Meeting by:</w:t>
      </w:r>
    </w:p>
    <w:p>
      <w:pPr>
        <w:spacing w:after="0" w:line="15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entering a new vote by Internet or telephone;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and returning a new proxy card with a later date;</w:t>
      </w:r>
    </w:p>
    <w:p>
      <w:pPr>
        <w:spacing w:after="0" w:line="225" w:lineRule="exact"/>
        <w:rPr>
          <w:rFonts w:ascii="Arial" w:cs="Arial" w:eastAsia="Arial" w:hAnsi="Arial"/>
          <w:sz w:val="18"/>
          <w:szCs w:val="18"/>
          <w:color w:val="auto"/>
        </w:rPr>
      </w:pPr>
    </w:p>
    <w:p>
      <w:pPr>
        <w:ind w:left="980" w:right="780" w:hanging="324"/>
        <w:spacing w:after="0" w:line="28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delivering a written revocation to our Corporate Secretary at Seer, Inc., 3800 Bridge Parkway, Suite 102, Redwood City, California 94065, by 11:59 p.m. Eastern Time on June 14, 2022; or</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(including virtually).</w:t>
      </w:r>
    </w:p>
    <w:p>
      <w:pPr>
        <w:spacing w:after="0" w:line="22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you are a street name stockholder, you must contact the broker, bank or other nominee holding your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and follow their instructions to change your vote or revoke your proxy.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Proxies are solicited by and on behalf of our board of directors. Omid Farokhzad, M.D. and David Horn have been designated as proxy holders by our board of directors. When a proxy is properly dated, executed and returned, the shares represented by such proxy will be voted at the Annual Meeting in accordance with the instructions of the stockholder. If the proxy is dated and signed, but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and you submit a proxy but you do not provide voting instructions, your shares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voted:</w:t>
      </w:r>
    </w:p>
    <w:p>
      <w:pPr>
        <w:spacing w:after="0" w:line="153" w:lineRule="exact"/>
        <w:rPr>
          <w:sz w:val="20"/>
          <w:szCs w:val="20"/>
          <w:color w:val="auto"/>
        </w:rPr>
      </w:pPr>
    </w:p>
    <w:p>
      <w:pPr>
        <w:ind w:left="980" w:right="140" w:hanging="324"/>
        <w:spacing w:after="0" w:line="28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election of each of the three directors nominated by our board of directors and named in this proxy statement as Class II directors (Proposal No. 1);</w:t>
      </w:r>
    </w:p>
    <w:p>
      <w:pPr>
        <w:spacing w:after="0" w:line="152" w:lineRule="exact"/>
        <w:rPr>
          <w:rFonts w:ascii="Arial" w:cs="Arial" w:eastAsia="Arial" w:hAnsi="Arial"/>
          <w:sz w:val="18"/>
          <w:szCs w:val="18"/>
          <w:color w:val="auto"/>
        </w:rPr>
      </w:pPr>
    </w:p>
    <w:p>
      <w:pPr>
        <w:ind w:left="980" w:right="340" w:hanging="324"/>
        <w:spacing w:after="0" w:line="28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our fiscal year ending December 31, 2022 (Proposal No. 2);</w:t>
      </w:r>
    </w:p>
    <w:p>
      <w:pPr>
        <w:spacing w:after="0" w:line="152" w:lineRule="exact"/>
        <w:rPr>
          <w:rFonts w:ascii="Arial" w:cs="Arial" w:eastAsia="Arial" w:hAnsi="Arial"/>
          <w:sz w:val="18"/>
          <w:szCs w:val="18"/>
          <w:color w:val="auto"/>
        </w:rPr>
      </w:pPr>
    </w:p>
    <w:p>
      <w:pPr>
        <w:ind w:left="980" w:right="140" w:hanging="324"/>
        <w:spacing w:after="0" w:line="28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option of “3 YEARS” as the preferred frequency for a non-binding, advisory vote on executive compensation (Proposal No. 3); and</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discretion of the named proxy holders regarding any other matters properly presented for a vote at the Annual Meeting.</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you are a street name stockholder and you do not provide your broker, bank or other nominee that holds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with voting instructions, then your broker, bank or other nominee will determine if it has discretion to vote on each matter. Brokers do not have discretion to vote on non-routine matters. Proposal No. 1 (election of directors) and Proposal No. 3 (advisory vote on frequency of advisory votes on executive compensation) are non-routine matters, while Proposal No. 2 (ratification of appointment of independent registered public accounting firm) is a routine matter. As a result, if you do not provide voting instructions to your broker, bank or other nominee, then your broker, bank or other nominee may not vote your shares with respect to Proposal No. 1 or Proposal No. 3, which would result in a “broker non-vote,” but may, in its discretion, vote your shares with respect to Proposal No. 2. For additional information regarding broker non-votes, see “—What are the effects of abstentions and broker non-votes?” below.</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What are the effects of abstentions and broker non-votes?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(e.g., Proposal No. 2). However, because the outcome of Proposal No. 1 (election of directors) will be determined by a plurality vote, and because Proposal No. 3 (advisory vote on frequency of advisory votes on executive compensation) asks for a non-binding, advisory vote, there is no required vote that would constitute approval, abstentions will have no impact on the outcome of such proposals as long as a quorum exists.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18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received more than one Notice?</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If you receive more than one Notice, your shares may be registered in more than one name or in different accounts. Please follow the voting instructions on each Notice to ensure that all of your shares are voted.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279" w:lineRule="exact"/>
        <w:rPr>
          <w:sz w:val="20"/>
          <w:szCs w:val="20"/>
          <w:color w:val="auto"/>
        </w:rPr>
      </w:pPr>
    </w:p>
    <w:p>
      <w:pPr>
        <w:ind w:right="380"/>
        <w:spacing w:after="0" w:line="296"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1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adopted a procedure approved by the SEC called “householding,” under which we can deliver a single copy of the proxy materials and annual report to multiple stockholders who share the same address unless we received contrary instructions from one or more of the stockholders. This procedure reduces our printing and mailing costs. Stockholders who participate in householding will continue to be able to access and receive separate proxy cards. Upon written or oral request, we will promptly deliver a separate copy of the proxy materials and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5" w:right="339" w:bottom="1440" w:gutter="0" w:footer="0" w:header="0"/>
        </w:sectPr>
      </w:pPr>
    </w:p>
    <w:bookmarkStart w:id="11" w:name="page12"/>
    <w:bookmarkEnd w:id="11"/>
    <w:p>
      <w:pPr>
        <w:jc w:val="both"/>
        <w:ind w:right="60"/>
        <w:spacing w:after="0" w:line="268" w:lineRule="auto"/>
        <w:rPr>
          <w:sz w:val="20"/>
          <w:szCs w:val="20"/>
          <w:color w:val="auto"/>
        </w:rPr>
      </w:pPr>
      <w:r>
        <w:rPr>
          <w:rFonts w:ascii="Arial" w:cs="Arial" w:eastAsia="Arial" w:hAnsi="Arial"/>
          <w:sz w:val="18"/>
          <w:szCs w:val="18"/>
          <w:color w:val="auto"/>
        </w:rPr>
        <w:t>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3800 Bridge Parkway, Suite 102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Redwood City, California 94065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(650) 453-0000</w:t>
      </w:r>
    </w:p>
    <w:p>
      <w:pPr>
        <w:spacing w:after="0" w:line="20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nominee to request information about householding.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will announce preliminary voting results at the Annual Meeting. In addition, we will disclose final voting results on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we will file an amendment to the Form 8-K to disclose the final results.</w:t>
      </w:r>
    </w:p>
    <w:p>
      <w:pPr>
        <w:spacing w:after="0" w:line="284"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22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our 2023 annual meeting of stockholders, our Corporate Secretary must receive the written proposal at our principal executive offices not later than December 29, 2022.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3800 Bridge Parkway, Suite 102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Redwood City, California 94065</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is business that is (i) specified in our proxy materials with respect to such meeting, (ii) otherwise properly brought before the annual meeting by or at the direction of our board of directors, or (iii) properly brought before the annual meeting by a stockholder of record entitled to vote at the annual meeting who has delivered timely written notice to our Corporate Secretary, which notice must contain the information specified in our bylaws. To be timely for our 2023 annual meeting of stockholders, our Corporate Secretary must receive the written notice at our principal executive offices:</w:t>
      </w:r>
    </w:p>
    <w:p>
      <w:pPr>
        <w:spacing w:after="0" w:line="18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earlier than February 13, 2023,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later than March 14, 2023.</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the event that we hold our 2023 annual meeting of stockholders more than 30 days before or more than 60 days after the first anniversary of the date of the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ectPr>
          <w:pgSz w:w="11900" w:h="16838" w:orient="portrait"/>
          <w:cols w:equalWidth="0" w:num="1">
            <w:col w:w="11220"/>
          </w:cols>
          <w:pgMar w:left="320" w:top="1147"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20"/>
          </w:cols>
          <w:pgMar w:left="320" w:top="1147" w:right="359" w:bottom="1440" w:gutter="0" w:footer="0" w:header="0"/>
          <w:type w:val="continuous"/>
        </w:sectPr>
      </w:pPr>
    </w:p>
    <w:bookmarkStart w:id="12" w:name="page13"/>
    <w:bookmarkEnd w:id="12"/>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annual meeting is first made.</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Stockholders holding at least $2,000 in market value, or one percent (1%), of the outstanding shares of our common stock continuously for at least 12 months prior to the date of the submission of the recommendation or nomination may propose director candidates for consideration by our corporate governance and nominating committee. Any such recommendations should include the nominee’s name and qualifications for membership on our board of directors and should be directed to our Corporate Secretary at the address set forth above. For additional information regarding stockholder recommendations for director candidates, see the section titled “Board of Directors and Corporate Governance—Stockholder Recommendations for Nominations to the Board of Directors.”</w:t>
      </w:r>
    </w:p>
    <w:p>
      <w:pPr>
        <w:spacing w:after="0" w:line="18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a proxy statement.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2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copy of our amended and restated bylaws may be obtained by accessing our public filings on the SEC’s website at www.sec.gov. You may also contact our Corporate Secretary at our principal executive office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147"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business affairs are managed under the direction of our board of directors, which currently consists of ten (10) members. Our board of directors has affirmatively determined that six (6) of our ten (10) directors qualify as “independent” within the meaning of the listing standards of the Nasdaq Stock Market LLC (Nasdaq). Our board of directors is divided into three classes with staggered three-year terms. At each annual meeting of stockholders, a class of directors will be elected for a three-year term to succeed the same class whose term is then expiring.</w:t>
      </w:r>
    </w:p>
    <w:p>
      <w:pPr>
        <w:spacing w:after="0" w:line="17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Upon the recommendation of our corporate governance and nominating committee, we are nominating Dr. Langer, Dr. Haurwitz and Mr. Nishar as Class II directors at the Annual Meeting. If elected, Dr. Langer, Dr. Haurwitz and Mr. Nishar will each hold office for a three-year term until the annual meeting of stockholders to be held in 2025 or until their successors are duly elected and qualified.</w:t>
      </w:r>
    </w:p>
    <w:p>
      <w:pPr>
        <w:spacing w:after="0" w:line="17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following table sets forth the names, ages as of March 31, 2022 and certain other information for each of the directors with terms expiring at the Annual Meeting (who are also nominees for election as a director at the Annual Meeting), and for each of the continuing directors: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Current Term</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Expiration of Term</w:t>
            </w:r>
          </w:p>
        </w:tc>
        <w:tc>
          <w:tcPr>
            <w:tcW w:w="0" w:type="dxa"/>
            <w:vAlign w:val="bottom"/>
          </w:tcPr>
          <w:p>
            <w:pPr>
              <w:spacing w:after="0"/>
              <w:rPr>
                <w:sz w:val="1"/>
                <w:szCs w:val="1"/>
                <w:color w:val="auto"/>
              </w:rPr>
            </w:pPr>
          </w:p>
        </w:tc>
      </w:tr>
      <w:tr>
        <w:trPr>
          <w:trHeight w:val="144"/>
        </w:trPr>
        <w:tc>
          <w:tcPr>
            <w:tcW w:w="3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Class</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Age</w:t>
            </w:r>
          </w:p>
        </w:tc>
        <w:tc>
          <w:tcPr>
            <w:tcW w:w="224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Position</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Director Since</w:t>
            </w:r>
          </w:p>
        </w:tc>
        <w:tc>
          <w:tcPr>
            <w:tcW w:w="1420" w:type="dxa"/>
            <w:vAlign w:val="bottom"/>
            <w:gridSpan w:val="2"/>
            <w:vMerge w:val="continue"/>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For Which</w:t>
            </w:r>
          </w:p>
        </w:tc>
        <w:tc>
          <w:tcPr>
            <w:tcW w:w="0" w:type="dxa"/>
            <w:vAlign w:val="bottom"/>
          </w:tcPr>
          <w:p>
            <w:pPr>
              <w:spacing w:after="0"/>
              <w:rPr>
                <w:sz w:val="1"/>
                <w:szCs w:val="1"/>
                <w:color w:val="auto"/>
              </w:rPr>
            </w:pPr>
          </w:p>
        </w:tc>
      </w:tr>
      <w:tr>
        <w:trPr>
          <w:trHeight w:val="189"/>
        </w:trPr>
        <w:tc>
          <w:tcPr>
            <w:tcW w:w="33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Expires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Nominated</w:t>
            </w:r>
          </w:p>
        </w:tc>
        <w:tc>
          <w:tcPr>
            <w:tcW w:w="0" w:type="dxa"/>
            <w:vAlign w:val="bottom"/>
          </w:tcPr>
          <w:p>
            <w:pPr>
              <w:spacing w:after="0"/>
              <w:rPr>
                <w:sz w:val="1"/>
                <w:szCs w:val="1"/>
                <w:color w:val="auto"/>
              </w:rPr>
            </w:pPr>
          </w:p>
        </w:tc>
      </w:tr>
      <w:tr>
        <w:trPr>
          <w:trHeight w:val="209"/>
        </w:trPr>
        <w:tc>
          <w:tcPr>
            <w:tcW w:w="32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Director Nominees</w:t>
            </w:r>
          </w:p>
        </w:tc>
        <w:tc>
          <w:tcPr>
            <w:tcW w:w="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240"/>
              <w:spacing w:after="0" w:line="216" w:lineRule="exact"/>
              <w:rPr>
                <w:sz w:val="20"/>
                <w:szCs w:val="20"/>
                <w:color w:val="auto"/>
              </w:rPr>
            </w:pPr>
            <w:r>
              <w:rPr>
                <w:rFonts w:ascii="Arial" w:cs="Arial" w:eastAsia="Arial" w:hAnsi="Arial"/>
                <w:sz w:val="16"/>
                <w:szCs w:val="16"/>
                <w:color w:val="auto"/>
              </w:rPr>
              <w:t xml:space="preserve">Robert Langer, Sc.D. </w:t>
            </w:r>
            <w:r>
              <w:rPr>
                <w:rFonts w:ascii="Arial" w:cs="Arial" w:eastAsia="Arial" w:hAnsi="Arial"/>
                <w:sz w:val="21"/>
                <w:szCs w:val="21"/>
                <w:color w:val="auto"/>
                <w:vertAlign w:val="superscript"/>
              </w:rPr>
              <w:t>(4)(5)</w:t>
            </w: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II</w:t>
            </w:r>
          </w:p>
        </w:tc>
        <w:tc>
          <w:tcPr>
            <w:tcW w:w="660" w:type="dxa"/>
            <w:vAlign w:val="bottom"/>
          </w:tcPr>
          <w:p>
            <w:pPr>
              <w:jc w:val="center"/>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2017</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Rachel Haurwitz, Ph.D. </w:t>
            </w:r>
            <w:r>
              <w:rPr>
                <w:rFonts w:ascii="Arial" w:cs="Arial" w:eastAsia="Arial" w:hAnsi="Arial"/>
                <w:sz w:val="21"/>
                <w:szCs w:val="21"/>
                <w:color w:val="auto"/>
                <w:vertAlign w:val="superscript"/>
              </w:rPr>
              <w:t>(2)(3)</w:t>
            </w: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II</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16"/>
        </w:trPr>
        <w:tc>
          <w:tcPr>
            <w:tcW w:w="3360" w:type="dxa"/>
            <w:vAlign w:val="bottom"/>
            <w:gridSpan w:val="2"/>
          </w:tcPr>
          <w:p>
            <w:pPr>
              <w:ind w:left="240"/>
              <w:spacing w:after="0" w:line="216" w:lineRule="exact"/>
              <w:rPr>
                <w:sz w:val="20"/>
                <w:szCs w:val="20"/>
                <w:color w:val="auto"/>
              </w:rPr>
            </w:pPr>
            <w:r>
              <w:rPr>
                <w:rFonts w:ascii="Arial" w:cs="Arial" w:eastAsia="Arial" w:hAnsi="Arial"/>
                <w:sz w:val="16"/>
                <w:szCs w:val="16"/>
                <w:color w:val="auto"/>
              </w:rPr>
              <w:t xml:space="preserve">Dipchand (Deep) Nishar </w:t>
            </w:r>
            <w:r>
              <w:rPr>
                <w:rFonts w:ascii="Arial" w:cs="Arial" w:eastAsia="Arial" w:hAnsi="Arial"/>
                <w:sz w:val="21"/>
                <w:szCs w:val="21"/>
                <w:color w:val="auto"/>
                <w:vertAlign w:val="superscript"/>
              </w:rPr>
              <w:t>(5)</w:t>
            </w: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II</w:t>
            </w:r>
          </w:p>
        </w:tc>
        <w:tc>
          <w:tcPr>
            <w:tcW w:w="660" w:type="dxa"/>
            <w:vAlign w:val="bottom"/>
          </w:tcPr>
          <w:p>
            <w:pPr>
              <w:jc w:val="center"/>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Continuing Directors</w:t>
            </w: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I</w:t>
            </w:r>
          </w:p>
        </w:tc>
        <w:tc>
          <w:tcPr>
            <w:tcW w:w="660" w:type="dxa"/>
            <w:vAlign w:val="bottom"/>
          </w:tcPr>
          <w:p>
            <w:pPr>
              <w:jc w:val="center"/>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3360" w:type="dxa"/>
            <w:vAlign w:val="bottom"/>
            <w:gridSpan w:val="2"/>
          </w:tcPr>
          <w:p>
            <w:pPr>
              <w:ind w:left="240"/>
              <w:spacing w:after="0" w:line="218" w:lineRule="exact"/>
              <w:rPr>
                <w:sz w:val="20"/>
                <w:szCs w:val="20"/>
                <w:color w:val="auto"/>
              </w:rPr>
            </w:pPr>
            <w:r>
              <w:rPr>
                <w:rFonts w:ascii="Arial" w:cs="Arial" w:eastAsia="Arial" w:hAnsi="Arial"/>
                <w:sz w:val="16"/>
                <w:szCs w:val="16"/>
                <w:color w:val="auto"/>
              </w:rPr>
              <w:t xml:space="preserve">Catherine Friedman </w:t>
            </w:r>
            <w:r>
              <w:rPr>
                <w:rFonts w:ascii="Arial" w:cs="Arial" w:eastAsia="Arial" w:hAnsi="Arial"/>
                <w:sz w:val="21"/>
                <w:szCs w:val="21"/>
                <w:color w:val="auto"/>
                <w:vertAlign w:val="superscript"/>
              </w:rPr>
              <w:t>(1)(4)</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center"/>
              <w:ind w:right="80"/>
              <w:spacing w:after="0"/>
              <w:rPr>
                <w:sz w:val="20"/>
                <w:szCs w:val="20"/>
                <w:color w:val="auto"/>
              </w:rPr>
            </w:pPr>
            <w:r>
              <w:rPr>
                <w:rFonts w:ascii="Arial" w:cs="Arial" w:eastAsia="Arial" w:hAnsi="Arial"/>
                <w:sz w:val="16"/>
                <w:szCs w:val="16"/>
                <w:color w:val="auto"/>
                <w:w w:val="88"/>
              </w:rPr>
              <w:t>I</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President, Director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Omead Ostadan</w:t>
            </w: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I</w:t>
            </w:r>
          </w:p>
        </w:tc>
        <w:tc>
          <w:tcPr>
            <w:tcW w:w="660" w:type="dxa"/>
            <w:vAlign w:val="bottom"/>
          </w:tcPr>
          <w:p>
            <w:pPr>
              <w:jc w:val="center"/>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3360" w:type="dxa"/>
            <w:vAlign w:val="bottom"/>
            <w:gridSpan w:val="2"/>
          </w:tcPr>
          <w:p>
            <w:pPr>
              <w:ind w:left="240"/>
              <w:spacing w:after="0" w:line="218" w:lineRule="exact"/>
              <w:rPr>
                <w:sz w:val="20"/>
                <w:szCs w:val="20"/>
                <w:color w:val="auto"/>
              </w:rPr>
            </w:pPr>
            <w:r>
              <w:rPr>
                <w:rFonts w:ascii="Arial" w:cs="Arial" w:eastAsia="Arial" w:hAnsi="Arial"/>
                <w:sz w:val="16"/>
                <w:szCs w:val="16"/>
                <w:color w:val="auto"/>
              </w:rPr>
              <w:t xml:space="preserve">Mostafa Ronaghi, Ph.D. </w:t>
            </w:r>
            <w:r>
              <w:rPr>
                <w:rFonts w:ascii="Arial" w:cs="Arial" w:eastAsia="Arial" w:hAnsi="Arial"/>
                <w:sz w:val="21"/>
                <w:szCs w:val="21"/>
                <w:color w:val="auto"/>
                <w:vertAlign w:val="superscript"/>
              </w:rPr>
              <w:t>(5)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FF0FC"/>
          </w:tcPr>
          <w:p>
            <w:pPr>
              <w:ind w:left="240"/>
              <w:spacing w:after="0" w:line="162" w:lineRule="exact"/>
              <w:rPr>
                <w:sz w:val="20"/>
                <w:szCs w:val="20"/>
                <w:color w:val="auto"/>
              </w:rPr>
            </w:pPr>
            <w:r>
              <w:rPr>
                <w:rFonts w:ascii="Arial" w:cs="Arial" w:eastAsia="Arial" w:hAnsi="Arial"/>
                <w:sz w:val="16"/>
                <w:szCs w:val="16"/>
                <w:color w:val="auto"/>
              </w:rPr>
              <w:t>Omid Farokhzad, M.D.</w:t>
            </w:r>
          </w:p>
        </w:tc>
        <w:tc>
          <w:tcPr>
            <w:tcW w:w="760" w:type="dxa"/>
            <w:vAlign w:val="bottom"/>
            <w:gridSpan w:val="2"/>
            <w:shd w:val="clear" w:color="auto" w:fill="CFF0FC"/>
          </w:tcPr>
          <w:p>
            <w:pPr>
              <w:jc w:val="center"/>
              <w:ind w:right="80"/>
              <w:spacing w:after="0" w:line="162" w:lineRule="exact"/>
              <w:rPr>
                <w:sz w:val="20"/>
                <w:szCs w:val="20"/>
                <w:color w:val="auto"/>
              </w:rPr>
            </w:pPr>
            <w:r>
              <w:rPr>
                <w:rFonts w:ascii="Arial" w:cs="Arial" w:eastAsia="Arial" w:hAnsi="Arial"/>
                <w:sz w:val="16"/>
                <w:szCs w:val="16"/>
                <w:color w:val="auto"/>
                <w:w w:val="89"/>
              </w:rPr>
              <w:t>III</w:t>
            </w:r>
          </w:p>
        </w:tc>
        <w:tc>
          <w:tcPr>
            <w:tcW w:w="6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53</w:t>
            </w:r>
          </w:p>
        </w:tc>
        <w:tc>
          <w:tcPr>
            <w:tcW w:w="100" w:type="dxa"/>
            <w:vAlign w:val="bottom"/>
            <w:shd w:val="clear" w:color="auto" w:fill="CFF0FC"/>
          </w:tcPr>
          <w:p>
            <w:pPr>
              <w:spacing w:after="0"/>
              <w:rPr>
                <w:sz w:val="14"/>
                <w:szCs w:val="14"/>
                <w:color w:val="auto"/>
              </w:rPr>
            </w:pPr>
          </w:p>
        </w:tc>
        <w:tc>
          <w:tcPr>
            <w:tcW w:w="224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6"/>
                <w:szCs w:val="16"/>
                <w:color w:val="auto"/>
              </w:rPr>
              <w:t>Chief Executive Officer,</w:t>
            </w:r>
          </w:p>
        </w:tc>
        <w:tc>
          <w:tcPr>
            <w:tcW w:w="132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2017</w:t>
            </w: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2023</w:t>
            </w: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4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6"/>
                <w:szCs w:val="16"/>
                <w:color w:val="auto"/>
              </w:rPr>
              <w:t>Chair of the Board of</w:t>
            </w:r>
          </w:p>
        </w:tc>
        <w:tc>
          <w:tcPr>
            <w:tcW w:w="1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Directors</w:t>
            </w: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240"/>
              <w:spacing w:after="0" w:line="216" w:lineRule="exact"/>
              <w:rPr>
                <w:sz w:val="20"/>
                <w:szCs w:val="20"/>
                <w:color w:val="auto"/>
              </w:rPr>
            </w:pPr>
            <w:r>
              <w:rPr>
                <w:rFonts w:ascii="Arial" w:cs="Arial" w:eastAsia="Arial" w:hAnsi="Arial"/>
                <w:sz w:val="16"/>
                <w:szCs w:val="16"/>
                <w:color w:val="auto"/>
              </w:rPr>
              <w:t xml:space="preserve">Meeta Gulyani </w:t>
            </w:r>
            <w:r>
              <w:rPr>
                <w:rFonts w:ascii="Arial" w:cs="Arial" w:eastAsia="Arial" w:hAnsi="Arial"/>
                <w:sz w:val="21"/>
                <w:szCs w:val="21"/>
                <w:color w:val="auto"/>
                <w:vertAlign w:val="superscript"/>
              </w:rPr>
              <w:t>(1)</w:t>
            </w: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III</w:t>
            </w:r>
          </w:p>
        </w:tc>
        <w:tc>
          <w:tcPr>
            <w:tcW w:w="660" w:type="dxa"/>
            <w:vAlign w:val="bottom"/>
          </w:tcPr>
          <w:p>
            <w:pPr>
              <w:jc w:val="center"/>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FF0FC"/>
          </w:tcPr>
          <w:p>
            <w:pPr>
              <w:ind w:left="240"/>
              <w:spacing w:after="0" w:line="216" w:lineRule="exact"/>
              <w:rPr>
                <w:sz w:val="20"/>
                <w:szCs w:val="20"/>
                <w:color w:val="auto"/>
              </w:rPr>
            </w:pPr>
            <w:r>
              <w:rPr>
                <w:rFonts w:ascii="Arial" w:cs="Arial" w:eastAsia="Arial" w:hAnsi="Arial"/>
                <w:sz w:val="16"/>
                <w:szCs w:val="16"/>
                <w:color w:val="auto"/>
              </w:rPr>
              <w:t xml:space="preserve">David Hallal </w:t>
            </w:r>
            <w:r>
              <w:rPr>
                <w:rFonts w:ascii="Arial" w:cs="Arial" w:eastAsia="Arial" w:hAnsi="Arial"/>
                <w:sz w:val="21"/>
                <w:szCs w:val="21"/>
                <w:color w:val="auto"/>
                <w:vertAlign w:val="superscript"/>
              </w:rPr>
              <w:t>(2)(4)</w:t>
            </w:r>
          </w:p>
        </w:tc>
        <w:tc>
          <w:tcPr>
            <w:tcW w:w="760" w:type="dxa"/>
            <w:vAlign w:val="bottom"/>
            <w:gridSpan w:val="2"/>
            <w:shd w:val="clear" w:color="auto" w:fill="CFF0FC"/>
          </w:tcPr>
          <w:p>
            <w:pPr>
              <w:jc w:val="center"/>
              <w:ind w:right="80"/>
              <w:spacing w:after="0"/>
              <w:rPr>
                <w:sz w:val="20"/>
                <w:szCs w:val="20"/>
                <w:color w:val="auto"/>
              </w:rPr>
            </w:pPr>
            <w:r>
              <w:rPr>
                <w:rFonts w:ascii="Arial" w:cs="Arial" w:eastAsia="Arial" w:hAnsi="Arial"/>
                <w:sz w:val="16"/>
                <w:szCs w:val="16"/>
                <w:color w:val="auto"/>
                <w:w w:val="89"/>
              </w:rPr>
              <w:t>III</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Lead Independent Director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2018</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85"/>
        </w:trPr>
        <w:tc>
          <w:tcPr>
            <w:tcW w:w="3360" w:type="dxa"/>
            <w:vAlign w:val="bottom"/>
            <w:gridSpan w:val="2"/>
          </w:tcPr>
          <w:p>
            <w:pPr>
              <w:ind w:left="240"/>
              <w:spacing w:after="0"/>
              <w:rPr>
                <w:sz w:val="20"/>
                <w:szCs w:val="20"/>
                <w:color w:val="auto"/>
              </w:rPr>
            </w:pPr>
            <w:r>
              <w:rPr>
                <w:rFonts w:ascii="Arial" w:cs="Arial" w:eastAsia="Arial" w:hAnsi="Arial"/>
                <w:sz w:val="16"/>
                <w:szCs w:val="16"/>
                <w:color w:val="auto"/>
              </w:rPr>
              <w:t xml:space="preserve">Terrance McGuire </w:t>
            </w:r>
            <w:r>
              <w:rPr>
                <w:rFonts w:ascii="Arial" w:cs="Arial" w:eastAsia="Arial" w:hAnsi="Arial"/>
                <w:sz w:val="21"/>
                <w:szCs w:val="21"/>
                <w:color w:val="auto"/>
                <w:vertAlign w:val="superscript"/>
              </w:rPr>
              <w:t>(1)(2)</w:t>
            </w: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III</w:t>
            </w:r>
          </w:p>
        </w:tc>
        <w:tc>
          <w:tcPr>
            <w:tcW w:w="660" w:type="dxa"/>
            <w:vAlign w:val="bottom"/>
          </w:tcPr>
          <w:p>
            <w:pPr>
              <w:jc w:val="center"/>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4"/>
                <w:szCs w:val="24"/>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2017</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1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Member of our audit committee</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Member of our talent and compensation committee</w:t>
      </w:r>
    </w:p>
    <w:p>
      <w:pPr>
        <w:spacing w:after="0" w:line="14"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Member of our talent and compensation committee effective as of April 20, 2022</w:t>
      </w:r>
    </w:p>
    <w:p>
      <w:pPr>
        <w:spacing w:after="0" w:line="8"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Member of our corporate governance and nominating committee</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Member of our science and technology committee</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Robert Langer, Sc.D. </w:t>
      </w:r>
      <w:r>
        <w:rPr>
          <w:rFonts w:ascii="Arial" w:cs="Arial" w:eastAsia="Arial" w:hAnsi="Arial"/>
          <w:sz w:val="18"/>
          <w:szCs w:val="18"/>
          <w:color w:val="auto"/>
        </w:rPr>
        <w:t>has served as a member of our board of directors since December 2017. Dr. Langer has served as an Institute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Professor at the Massachusetts Institute of Technology since July 2005. He currently serves on the board of directors of Abpro Bio Co. Ltd., Frequency Therapeutics, Inc., Moderna, Inc. and Puretech Health plc, and previously served on the board of directors of Alkermes, Inc., Lyra Therapeutics, Inc., Kala Pharmaceuticals, Inc., Momenta Pharmaceuticals, Inc., Millipore Corp., Rubius Therapeutics and Wyeth. Dr. Langer holds a B.S. in Chemical Engineering from Cornell University and an Sc.D. in Chemical Engineering from Massachusetts Institute of Technology.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5" w:right="339" w:bottom="1440" w:gutter="0" w:footer="0" w:header="0"/>
        </w:sectPr>
      </w:pPr>
    </w:p>
    <w:bookmarkStart w:id="14" w:name="page15"/>
    <w:bookmarkEnd w:id="14"/>
    <w:p>
      <w:pPr>
        <w:ind w:right="600"/>
        <w:spacing w:after="0" w:line="287" w:lineRule="auto"/>
        <w:rPr>
          <w:sz w:val="20"/>
          <w:szCs w:val="20"/>
          <w:color w:val="auto"/>
        </w:rPr>
      </w:pPr>
      <w:r>
        <w:rPr>
          <w:rFonts w:ascii="Arial" w:cs="Arial" w:eastAsia="Arial" w:hAnsi="Arial"/>
          <w:sz w:val="18"/>
          <w:szCs w:val="18"/>
          <w:color w:val="auto"/>
        </w:rPr>
        <w:t>We believe Dr. Langer is qualified to serve on our board of directors because of his pioneering academic work, extensive medical and scientific knowledge, and experience serving on public company boards of directors.</w:t>
      </w:r>
    </w:p>
    <w:p>
      <w:pPr>
        <w:spacing w:after="0" w:line="1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Rachel Haurwitz, Ph.D. </w:t>
      </w:r>
      <w:r>
        <w:rPr>
          <w:rFonts w:ascii="Arial" w:cs="Arial" w:eastAsia="Arial" w:hAnsi="Arial"/>
          <w:sz w:val="18"/>
          <w:szCs w:val="18"/>
          <w:color w:val="auto"/>
        </w:rPr>
        <w:t>has served as a member of our board of directors since November 2021. Dr. Haurwitz is a co-founder of Caribou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Biosciences, Inc. and has served as its President and Chief Executive Officer and a director since October 2011. Dr. Haurwitz is an inventor on patents and patent applications covering multiple CRISPR-based technologies and has co-authored several scientific papers characterizing CRISPR-Cas systems including in Science. Dr. Haurwitz currently serves on the board of directors of the Biotechnology Industry Organization, a not-for-profit organization.</w:t>
      </w:r>
    </w:p>
    <w:p>
      <w:pPr>
        <w:spacing w:after="0" w:line="17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believe Dr. Haurwitz is qualified to serve on our board of directors due to her operational and management expertise and experience in leadership positions of a publicly traded biotechnology company.</w:t>
      </w:r>
    </w:p>
    <w:p>
      <w:pPr>
        <w:spacing w:after="0" w:line="153"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Dipchand (Deep) Nishar </w:t>
      </w:r>
      <w:r>
        <w:rPr>
          <w:rFonts w:ascii="Arial" w:cs="Arial" w:eastAsia="Arial" w:hAnsi="Arial"/>
          <w:sz w:val="18"/>
          <w:szCs w:val="18"/>
          <w:color w:val="auto"/>
        </w:rPr>
        <w:t>has served as a member of our board of directors since February 2021. Mr. Nishar has been a Managing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General Catalyst since January 2022. From June 2015 to December 2021, he served as a Senior Managing Partner of SoftBank Investment Advisers (US) Inc., a private equity company. From January 2009 to October 2014, he was with LinkedIn Corporation, an employment-oriented online service company acquired by Microsoft Corporation, where he served as Senior Vice President, Product and User Experience from May 2011 to October 2014 and as Vice President, Products from January 2009 to May 2011. From August 2003 to January 2009, Mr. Nishar served in various executive roles with Google Inc., a technology company that specializes in Internet-related services and products, most recently as the Senior Director of Products for the Asia-Pacific region. He currently serves on the board of directors of Dynamics Special Purpose Corp. and Vir Biotechnology, Inc. and previously served on the board of directors of Guardant Health, Inc., Relay Therapeutics, Inc., TripAdvisor, Inc. and Zymergen Inc. Mr. Nishar holds a B. Tech from the Indian Institute of Technology, an M.S. in Electrical Engineering from the University of Illinois, Urbana-Champaign and an M.B.A. from Harvard Business School.</w:t>
      </w:r>
    </w:p>
    <w:p>
      <w:pPr>
        <w:spacing w:after="0" w:line="18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believe Mr. Nishar is qualified to serve on our board of directors due to his extensive background in the technology industry and his investment activities in the life science sector.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Catherine Friedman </w:t>
      </w:r>
      <w:r>
        <w:rPr>
          <w:rFonts w:ascii="Arial" w:cs="Arial" w:eastAsia="Arial" w:hAnsi="Arial"/>
          <w:sz w:val="18"/>
          <w:szCs w:val="18"/>
          <w:color w:val="auto"/>
        </w:rPr>
        <w:t>has served as a member of our board of directors since September 2020. Ms. Friedman has been an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consultant serving public and private companies in the life sciences industry since 2006. Ms. Friedman served in various executive roles from 1982 to 2006 at Morgan Stanley, an investment bank and financial services company, including as Manager Director from 1997 to 2006 and Head of West Coast Healthcare and Co-Head of the Biotechnology Practice from 1993 to 2006. She currently serves on the board of directors of Lyell Immunopharma, Inc., a biotechnology company, Radius Health, Inc., a biopharmaceutical company, and Revolution Health Care Acquisition Corp., a blank check company. Ms. Friedman previously served as Chairperson of the board at GRAIL, Inc., a cancer testing company, and on the board of directors of Altaba Inc., EnteroMedics, Inc., GSV Capital Corp., Innoviva, Inc. (formerly Theravance, Inc.), and XenoPort, Inc. Ms. Friedman currently serves as a member of the board of directors of several privately-held companies. She holds an A.B. in Economics from Harvard University and an M.B.A. from the University of Virginia Darden School of Business, where she serves as a member of the Darden School Foundation Board of Trustees.</w:t>
      </w:r>
    </w:p>
    <w:p>
      <w:pPr>
        <w:spacing w:after="0" w:line="18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believe Ms. Friedman is qualified to serve on our board of directors because of her financial expertise, 23-year tenure as an investment banker and extensive experience serving as a member on other public company boards.</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Omid Farokhzad, M.D. </w:t>
      </w:r>
      <w:r>
        <w:rPr>
          <w:rFonts w:ascii="Arial" w:cs="Arial" w:eastAsia="Arial" w:hAnsi="Arial"/>
          <w:sz w:val="18"/>
          <w:szCs w:val="18"/>
          <w:color w:val="auto"/>
        </w:rPr>
        <w:t>co-founded our company and has served as our Chief Executive Officer since February 2018 and as a member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since March 2017, serving as the Chair since September 2020. He has served as the executive chair of Dynamics Special Purpose Corp., a blank check company, since May 2021. From September 2004 to February 2018, he was a Professor at Harvard Medical School and directed the Center for Nanomedicine at Brigham and Women’s Hospital. He previously co-founded BIND Therapeutics, a biotechnology company acquired by Pfizer Inc., Selecta Biosciences, Inc., a clinical-stage biotechnology company, and Tarveda Therapeutics, Inc., a clinical stage biopharmaceutical company. He currently serves as a member of the board of directors of several privately-held companies and previously served as a director of Selecta Biosciences and BIND Therapeutics. He holds an M.A. and M.D. from Boston University and an M.B.A. from Massachusetts Institute of Technology Sloan School of Management.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147" w:right="359" w:bottom="1440" w:gutter="0" w:footer="0" w:header="0"/>
        </w:sectPr>
      </w:pPr>
    </w:p>
    <w:bookmarkStart w:id="15" w:name="page16"/>
    <w:bookmarkEnd w:id="15"/>
    <w:p>
      <w:pPr>
        <w:jc w:val="both"/>
        <w:ind w:right="260"/>
        <w:spacing w:after="0" w:line="268" w:lineRule="auto"/>
        <w:rPr>
          <w:sz w:val="20"/>
          <w:szCs w:val="20"/>
          <w:color w:val="auto"/>
        </w:rPr>
      </w:pPr>
      <w:r>
        <w:rPr>
          <w:rFonts w:ascii="Arial" w:cs="Arial" w:eastAsia="Arial" w:hAnsi="Arial"/>
          <w:sz w:val="18"/>
          <w:szCs w:val="18"/>
          <w:color w:val="auto"/>
        </w:rPr>
        <w:t>We believe Dr. Farokhzad is qualified to serve on our board of directors because of the perspective and experience he brings as our Chief Executive Officer, his experience in leadership positions in the biotechnology and life science industry, his educational background and his strong scientific knowledge.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Meeta Gulyani </w:t>
      </w:r>
      <w:r>
        <w:rPr>
          <w:rFonts w:ascii="Arial" w:cs="Arial" w:eastAsia="Arial" w:hAnsi="Arial"/>
          <w:sz w:val="18"/>
          <w:szCs w:val="18"/>
          <w:color w:val="auto"/>
        </w:rPr>
        <w:t>has served as a member of our board of directors since November 2021. Ms. Gulyani has served as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Head of Strategy, Business Development and Transformation at the Life Science business of Merck KGaA, Darmstadt, Germany, a global life science and technology company, which operates as MilliporeSigma in U.S. and Canada, since January 2016. From May 2014 to December 2015, she served as Executive Vice President, Head of Global Strategy and Franchises at the Pharmaceutical business of Merck KGaA, Darmstadt, Germany, which operates as EMD Serono, Inc. in U.S. and Canada. From January 2012 to April 2014, Ms. Gulyani served as General Manager, India Management Center at Roche Pharmaceuticals, division of Roche Holding AG, a healthcare company. Ms. Gulyani holds a M.B.A. from the Asian Institute of Management, Philippines, accompanied by an exchange program at the Wharton School of the University of Pennsylvania. She earned a bachelor’s degree in economics from the Shri Ram College of Commerce at Delhi University in India.</w:t>
      </w:r>
    </w:p>
    <w:p>
      <w:pPr>
        <w:spacing w:after="0" w:line="18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believe Ms. Gulyani is qualified to serve on our board of directors because of her extensive experience in the life sciences industry and experience across markets, including Asia.</w:t>
      </w:r>
    </w:p>
    <w:p>
      <w:pPr>
        <w:spacing w:after="0" w:line="15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 xml:space="preserve">David Hallal </w:t>
      </w:r>
      <w:r>
        <w:rPr>
          <w:rFonts w:ascii="Arial" w:cs="Arial" w:eastAsia="Arial" w:hAnsi="Arial"/>
          <w:sz w:val="18"/>
          <w:szCs w:val="18"/>
          <w:color w:val="auto"/>
        </w:rPr>
        <w:t>has served as a member of our board of directors since February 2018 and as Lead Independent Director since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Mr. Hallal has served as Chief Executive Officer of AlloVir, Inc., a biotechnology company since September 2018 and as Chief Executive Officer of ElevateBio LLC, a biotechnology company he co-founded, since December 2017. From June 2006 to December 2016, he served in various executive roles at Alexion Pharmaceuticals, Inc., a pharmaceutical company, most recently as Chief Executive Officer from April 2015 until December 2016, and as Chief Operating Officer from September 2014 until April 2015. Mr. Hallal currently serves as Chairman of the board at AlloVir, ElevateBio, Scholar Rock Holding Corp. and iTeos Therapeutics S.A. He holds a B.A. in Psychology from the University of New Hampshire.</w:t>
      </w:r>
    </w:p>
    <w:p>
      <w:pPr>
        <w:spacing w:after="0" w:line="183"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We believe Mr. Hallal is qualified to serve on our board of directors because of his extensive business experience and knowledge of company operations, and his experience working with companies in the life sciences industry.</w:t>
      </w:r>
    </w:p>
    <w:p>
      <w:pPr>
        <w:spacing w:after="0" w:line="15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Terrance McGuire </w:t>
      </w:r>
      <w:r>
        <w:rPr>
          <w:rFonts w:ascii="Arial" w:cs="Arial" w:eastAsia="Arial" w:hAnsi="Arial"/>
          <w:sz w:val="18"/>
          <w:szCs w:val="18"/>
          <w:color w:val="auto"/>
        </w:rPr>
        <w:t>has served as a member of our board of directors since December 2017. Mr. McGuire is a founding partner of Polaris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Prior to starting Polaris Partners in 1996, Mr. McGuire spent seven years at Burr, Egan, Deleage &amp; Co., investing in early stage medical and information technology companies. He currently serves on the board of directors of Adagio Therapeutics, Inc., Alector, Inc. and Cyclerion, Inc., and previously served on the board of directors of Acceleron Pharma, Inc., Arsanis, Inc., Ironwood Pharmaceuticals, Inc., Pulmatrix, Inc., and The David H. Koch Institute for Integrative Cancer Research at the Massachusetts Institute of Technology. Mr. McGuire also serves as a member of the Board of The Arthur Rock Center for Entrepreneurship at Harvard Business School and The Healthcare Initiative Advisory Board and on the Board of Advisors of the Thayer School of Engineering at Dartmouth College. Mr. McGuire holds a B.S. in Physics and Economics from Hobart College, an M.S. in Engineering from the Thayer School at Dartmouth College and an M.B.A. from Harvard Business School.</w:t>
      </w:r>
    </w:p>
    <w:p>
      <w:pPr>
        <w:spacing w:after="0" w:line="181"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We believe Mr. McGuire is qualified to serve on our board of directors because of his substantial corporate development and business strategy expertise gained in the venture capital industry.</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Omead Ostadan </w:t>
      </w:r>
      <w:r>
        <w:rPr>
          <w:rFonts w:ascii="Arial" w:cs="Arial" w:eastAsia="Arial" w:hAnsi="Arial"/>
          <w:sz w:val="18"/>
          <w:szCs w:val="18"/>
          <w:color w:val="auto"/>
        </w:rPr>
        <w:t>has served as our President and Chief Operating Officer from July 2020 to February 2022, as our President since February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as a member of our board of directors since March 2020. Prior to joining us, Mr. Ostadan was with Illumina, Inc., a biotechnology company, from January 2007 to June 2020 where he served in various executive roles, most recently as Senior Vice President &amp; Chief Products and Marketing Officer from July 2019 to June 2020 and Senior Vice President, Products &amp; Marketing from April 2015 to June 2019. Mr. Ostadan currently serves as a member of the board of directors of Cellanome, Inc., a biotechnology company. Mr. Ostadan holds a B.Sc in Biochemistry from the University of California, Davis and an M.B.A. from the Wharton School of Business.</w:t>
      </w:r>
    </w:p>
    <w:p>
      <w:pPr>
        <w:spacing w:after="0" w:line="18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We believe Mr. Ostadan is qualified to serve on our board of directors because of his extensive experience in product development at life science companies, his leadership skills, as well as his strong strategic planning and product knowledge.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47" w:right="339" w:bottom="1440" w:gutter="0" w:footer="0" w:header="0"/>
        </w:sectPr>
      </w:pPr>
    </w:p>
    <w:bookmarkStart w:id="16" w:name="page17"/>
    <w:bookmarkEnd w:id="16"/>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Mostafa Ronaghi, Ph.D. </w:t>
      </w:r>
      <w:r>
        <w:rPr>
          <w:rFonts w:ascii="Arial" w:cs="Arial" w:eastAsia="Arial" w:hAnsi="Arial"/>
          <w:sz w:val="18"/>
          <w:szCs w:val="18"/>
          <w:color w:val="auto"/>
        </w:rPr>
        <w:t>has served as a member of our board of directors since February 2021. He also serves as Co-Chairman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Scientific Advisory Board. Dr. Ronaghi has served as the Chief Executive Officer of Dynamics Special Purpose Corp., a blank check company, since May 2021. Dr. Ronaghi was with Illumina, Inc., a developer, manufacturer, and marketer of life science tools and integrated systems for large-scale analysis of genetic variation and function, where he served as Senior Vice President, Entrepreneurial Development, from June 2020 to January 2021 and as Senior Vice President and Chief Technology Officer from July 2008 to June 2020. He co-founded GRAIL, a cancer testing company acquired by Illumina, Illumina Accelerator, a business accelerator focused solely on creating an innovation ecosystem for the genomics industry, Avantome, a sequencing company acquired by Illumina, NextBio, a search engine for life science data acquired by Illumina, and ParAllele Bioscience, Inc., a genetic discovery solutions company, acquired by Affymetrix, Inc. Dr. Ronaghi currently serves as Chairman of the board of directors of Cellanome, Inc. and as a member of the board of directors of Dynamics Special Purpose Corp. and several privately-held companies. He holds a B.Sc. in biochemistry from Kalmar University and a Ph.D. in biotechnology from the Royal Institute of Technology in Sweden.</w:t>
      </w:r>
    </w:p>
    <w:p>
      <w:pPr>
        <w:spacing w:after="0" w:line="20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believe Dr. Ronaghi is qualified to serve on our board of directors because of his extensive academic training, his technical and scientific expertise as well as his operating experience in several genomic companies.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common stock is listed on the Nasdaq Global Select Market. Under the listing standards of Nasdaq, independent directors must comprise a majority of a listed company’s board of directors within one year of the completion of our initial public offering. In addition, the listing standards of Nasdaq require that, subject to specified exceptions, each member of a listed company’s audit, compensation and nominating and governance committees be independent. Audit committee members and compensation committee members must also satisfy the independence criteria set forth in Rule 10A-3 and Rule 10C-1, respectively, under the Exchange Act. Under the listing standards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To be considered to be independent for purposes of Rule 10A-3 and under the listing standards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7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To be considered independent for purposes of Rule 10C-1 and under the listing standards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5"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Catherine Friedman, Meeta Gulyani, David Hallal, Rachel Haurwitz, Ph.D., Terrance McGuire and Dipchand (Deep) Nishar, representing six of our ten directors, do not have a relationship that would interfere with the exercise of independent judgment in carrying out the responsibilities of a director and that each of these directors is “independent” as that term is defined under the listing standards of Nasdaq. In addition, our board of directors has determined that all members of our audit, compensation, and corporate governance and nominating committees satisfy the independence standards for committee members established by applicable SEC rules and regulations and the listing standards of Nasdaq.</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47" w:right="339" w:bottom="1440" w:gutter="0" w:footer="0" w:header="0"/>
        </w:sectPr>
      </w:pPr>
    </w:p>
    <w:bookmarkStart w:id="17" w:name="page18"/>
    <w:bookmarkEnd w:id="17"/>
    <w:p>
      <w:pPr>
        <w:ind w:right="220"/>
        <w:spacing w:after="0" w:line="271" w:lineRule="auto"/>
        <w:rPr>
          <w:sz w:val="20"/>
          <w:szCs w:val="20"/>
          <w:color w:val="auto"/>
        </w:rPr>
      </w:pPr>
      <w:r>
        <w:rPr>
          <w:rFonts w:ascii="Arial" w:cs="Arial" w:eastAsia="Arial" w:hAnsi="Arial"/>
          <w:sz w:val="18"/>
          <w:szCs w:val="18"/>
          <w:color w:val="auto"/>
        </w:rPr>
        <w:t>Additionally, former director David Singer, who served on the board until November 2021, was independent during the period he served on our board of directors.</w:t>
      </w:r>
    </w:p>
    <w:p>
      <w:pPr>
        <w:spacing w:after="0" w:line="19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and Other Transactions.”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board of directors has appointed David Hallal to serve as our Lead Independent Director. As a general matter, our board of directors believes that appointing a Lead Independent Director, while our Chief Executive Officer serves as Chair, creates an environment that encourages objective oversight of management’s performance and enhances the effectiveness of our board of directors as a whole. As Lead Independent Director, David Hallal will preside over periodic meetings of our independent directors, serve as a liaison between our Chair and Chief Executive Officer and our independent directors and perform such additional duties as our board of directors may otherwise determine and delegate.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has established an audit committee, a talent and compensation committee, a corporate governance and nominating committee, and a science and technology committee. The composition, responsibilities and the number of meetings held during 2021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Our audit committee consists of Catherine Friedman, Meeta Gulyani and Terrance McGuire, with Ms. Friedman serving as Chair. Our board of directors has determined that each of the members of our audit committee satisfies the independence requirements under the listing standards of Nasdaq and Rule 10A-3 of the Exchange Act. Our board of directors has determined that Ms. Friedman is an “audit committee financial expert” within the meaning of SEC rules and regulations. Each member of our audit committee can read and understand fundamental financial statements in accordance with applicable requirements. In arriving at these determinations, our board of directors examined each audit committee member’s scope of experience and the nature of their employment in the corporate finance sector.</w:t>
      </w:r>
    </w:p>
    <w:p>
      <w:pPr>
        <w:spacing w:after="0" w:line="16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monitoring our financial systems. Our audit committee is also responsible for, among other things:</w:t>
      </w:r>
    </w:p>
    <w:p>
      <w:pPr>
        <w:spacing w:after="0" w:line="153"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 to audit our financial statements;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approving audit and non-audit services and fees;</w:t>
      </w:r>
    </w:p>
    <w:p>
      <w:pPr>
        <w:spacing w:after="0" w:line="225" w:lineRule="exact"/>
        <w:rPr>
          <w:rFonts w:ascii="Arial" w:cs="Arial" w:eastAsia="Arial" w:hAnsi="Arial"/>
          <w:sz w:val="18"/>
          <w:szCs w:val="18"/>
          <w:color w:val="auto"/>
        </w:rPr>
      </w:pPr>
    </w:p>
    <w:p>
      <w:pPr>
        <w:ind w:left="980" w:right="80" w:hanging="324"/>
        <w:spacing w:after="0" w:line="268"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to be included in our annual proxy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931" w:right="359" w:bottom="1440" w:gutter="0" w:footer="0" w:header="0"/>
        </w:sectPr>
      </w:pPr>
    </w:p>
    <w:bookmarkStart w:id="18" w:name="page19"/>
    <w:bookmarkEnd w:id="18"/>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reports and communications from the independent registered public accounting firm;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controls and disclosure controls and procedures;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225" w:lineRule="exact"/>
        <w:rPr>
          <w:rFonts w:ascii="Arial" w:cs="Arial" w:eastAsia="Arial" w:hAnsi="Arial"/>
          <w:sz w:val="18"/>
          <w:szCs w:val="18"/>
          <w:color w:val="auto"/>
        </w:rPr>
      </w:pPr>
    </w:p>
    <w:p>
      <w:pPr>
        <w:ind w:left="980" w:right="20" w:hanging="324"/>
        <w:spacing w:after="0" w:line="28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monitoring conflicts of interest situations, and approving or prohibiting any involvement in matters that may involve a conflict of interest or taking of a corporate opportunity;</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related party transactions; and</w:t>
      </w:r>
    </w:p>
    <w:p>
      <w:pPr>
        <w:spacing w:after="0" w:line="225" w:lineRule="exact"/>
        <w:rPr>
          <w:rFonts w:ascii="Arial" w:cs="Arial" w:eastAsia="Arial" w:hAnsi="Arial"/>
          <w:sz w:val="18"/>
          <w:szCs w:val="18"/>
          <w:color w:val="auto"/>
        </w:rPr>
      </w:pPr>
    </w:p>
    <w:p>
      <w:pPr>
        <w:ind w:left="980" w:right="680" w:hanging="324"/>
        <w:spacing w:after="0" w:line="28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and overseeing procedures for the receipt, retention and treatment of accounting related complaints and the confidential submission by our employees of concerns regarding questionable accounting or auditing matters.</w:t>
      </w:r>
    </w:p>
    <w:p>
      <w:pPr>
        <w:spacing w:after="0" w:line="15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Our audit committee operates under a written charter that satisfies the applicable rules and regulations of the SEC and the listing standards of Nasdaq. A copy of the charter for our audit committee is available on our investor relations website at investor.seer.bio. In 2021, our audit committee held five meetings.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and Compensation Committee</w:t>
      </w:r>
    </w:p>
    <w:p>
      <w:pPr>
        <w:spacing w:after="0" w:line="2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talent and compensation committee consists of David Hallal, Terrance McGuire and Rachel Haurwitz, Ph.D., with Mr. McGuire serving as Chair. Our board of directors has determined that each of the members of our talent and compensation committee is independent under the listing standards of Nasdaq and a “non-employee director” as defined in Rule 16b-3 under the Exchange Act.</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Our talent and compensation committee oversees our compensation policies, plans, and benefits programs. The compensation committee is also responsible for, among other things:</w:t>
      </w:r>
    </w:p>
    <w:p>
      <w:pPr>
        <w:spacing w:after="0" w:line="15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our overall compensation philosophy and compensation policies, plans and benefit programs;</w:t>
      </w:r>
    </w:p>
    <w:p>
      <w:pPr>
        <w:spacing w:after="0" w:line="225" w:lineRule="exact"/>
        <w:rPr>
          <w:rFonts w:ascii="Arial" w:cs="Arial" w:eastAsia="Arial" w:hAnsi="Arial"/>
          <w:sz w:val="18"/>
          <w:szCs w:val="18"/>
          <w:color w:val="auto"/>
        </w:rPr>
      </w:pPr>
    </w:p>
    <w:p>
      <w:pPr>
        <w:ind w:left="980" w:right="20" w:hanging="324"/>
        <w:spacing w:after="0" w:line="28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for approval, the compensation of our executive officers and directors;</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compensation committee report that the SEC requires to be included in our annual proxy statement;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talent and compensation committee operates under a written charter that satisfies the applicable rules and regulations of the SEC and the listing standards of Nasdaq. A copy of the charter for our talent and compensation committee is available on our investor relations website at investor.seer.bio. In 2021, our talent and compensation committee held five meetings.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corporate governance and nominating committee consists of Catherine Friedman, David Hallal and Robert Langer, Sc.D., with Mr. Hallal serving as Chair. Our board of directors has determined that David Hallal and Catherine Friedman are independent under the listing standards of Nasdaq. Dr. Langer serves on our scientific advisory board and receives compensation for such service and is therefore not independent under the applicable rules. However, pursuant to Nasdaq Rule 5605(e)(3), Dr. Langer was selected to serve on the corporate governance and nominating committee because (i) the corporate governance and nominating committee is comprised of two independent directors in addition to Dr. Langer, (ii) Dr. Langer was neither a current executive officer or employee of the Company at the time of his appointment to the corporate governance and nominating committee, nor a family member of any current executive officer of the Company, and (iii) the Board determined that Dr. Langer’s membership on the corporate governance and nominating committee, in this limited circumstance, was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147" w:right="359" w:bottom="1440" w:gutter="0" w:footer="0" w:header="0"/>
        </w:sectPr>
      </w:pPr>
    </w:p>
    <w:bookmarkStart w:id="19" w:name="page20"/>
    <w:bookmarkEnd w:id="19"/>
    <w:p>
      <w:pPr>
        <w:ind w:right="360"/>
        <w:spacing w:after="0" w:line="259" w:lineRule="auto"/>
        <w:rPr>
          <w:sz w:val="20"/>
          <w:szCs w:val="20"/>
          <w:color w:val="auto"/>
        </w:rPr>
      </w:pPr>
      <w:r>
        <w:rPr>
          <w:rFonts w:ascii="Arial" w:cs="Arial" w:eastAsia="Arial" w:hAnsi="Arial"/>
          <w:sz w:val="18"/>
          <w:szCs w:val="18"/>
          <w:color w:val="auto"/>
        </w:rPr>
        <w:t>warranted and in the best interests of the Company and its stockholders, because he would be able to provide substantial insight and guidance on potential director nominees and succession planning given his experience serving on multiple boards of directors. Until the corporate governance and nominating committee consists solely of independent directors, director nominees must either be selected, or recommended for the board of directors’ selection, by independent directors constituting a majority of the board of directors’ independent directors in a vote in which only independent directors participate.</w:t>
      </w:r>
    </w:p>
    <w:p>
      <w:pPr>
        <w:spacing w:after="0" w:line="17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Our corporate governance and nominating committee oversees and assists our board of directors in reviewing and recommending nominees for election as directors. The corporate governance and nominating committee is also responsible for, among other things:</w:t>
      </w:r>
    </w:p>
    <w:p>
      <w:pPr>
        <w:spacing w:after="0" w:line="153" w:lineRule="exact"/>
        <w:rPr>
          <w:sz w:val="20"/>
          <w:szCs w:val="20"/>
          <w:color w:val="auto"/>
        </w:rPr>
      </w:pPr>
    </w:p>
    <w:p>
      <w:pPr>
        <w:ind w:left="980" w:right="260" w:hanging="324"/>
        <w:spacing w:after="0" w:line="28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evaluating, and making recommendations to our board of directors regarding nominees for election to our board of directors and its committees;</w:t>
      </w:r>
    </w:p>
    <w:p>
      <w:pPr>
        <w:spacing w:after="0" w:line="152" w:lineRule="exact"/>
        <w:rPr>
          <w:rFonts w:ascii="Arial" w:cs="Arial" w:eastAsia="Arial" w:hAnsi="Arial"/>
          <w:sz w:val="18"/>
          <w:szCs w:val="18"/>
          <w:color w:val="auto"/>
        </w:rPr>
      </w:pPr>
    </w:p>
    <w:p>
      <w:pPr>
        <w:ind w:left="980" w:right="240" w:hanging="324"/>
        <w:spacing w:after="0" w:line="28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of our board of directors and its committees;</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corporate governance and nominating committee operates under a written charter that satisfies the listing standards of Nasdaq. A copy of the charter for our corporate governance and nominating committee is available on our investor relations website at investor.seer.bio. In 2021, our corporate governance and nominating committee held five meetings.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Science and Technology Committee</w:t>
      </w:r>
    </w:p>
    <w:p>
      <w:pPr>
        <w:spacing w:after="0" w:line="22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April 2021, our board of directors formed our science and technology committee. Our science and technology committee consists of Robert Langer, Sc.D., Dipchand (Deep) Nishar and Mostafa Ronaghi, Ph.D., with Dr. Langer serving as Chair. Our science and technology committee oversees and assists our board of directors in its oversight of our scientific and technological strategies and research and development plans and goals. In 2021, our science and technology committee held one meeting. The science and technology committee is also responsible for, among other things: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reviewing and evaluating our performance relating to our research and development plans and goals;</w:t>
      </w:r>
    </w:p>
    <w:p>
      <w:pPr>
        <w:spacing w:after="0" w:line="225" w:lineRule="exact"/>
        <w:rPr>
          <w:sz w:val="20"/>
          <w:szCs w:val="20"/>
          <w:color w:val="auto"/>
        </w:rPr>
      </w:pPr>
    </w:p>
    <w:p>
      <w:pPr>
        <w:ind w:left="900" w:hanging="239"/>
        <w:spacing w:after="0" w:line="318" w:lineRule="auto"/>
        <w:tabs>
          <w:tab w:leader="none" w:pos="880" w:val="left"/>
        </w:tabs>
        <w:rPr>
          <w:sz w:val="20"/>
          <w:szCs w:val="20"/>
          <w:color w:val="auto"/>
        </w:rPr>
      </w:pPr>
      <w:r>
        <w:rPr>
          <w:rFonts w:ascii="Arial" w:cs="Arial" w:eastAsia="Arial" w:hAnsi="Arial"/>
          <w:sz w:val="17"/>
          <w:szCs w:val="17"/>
          <w:color w:val="auto"/>
        </w:rPr>
        <w:t>• </w:t>
        <w:tab/>
        <w:t>reviewing and evaluating our scientific and technological strategies and research and development plans, and goals, including the competitive environment;</w:t>
      </w:r>
    </w:p>
    <w:p>
      <w:pPr>
        <w:spacing w:after="0" w:line="130" w:lineRule="exact"/>
        <w:rPr>
          <w:sz w:val="20"/>
          <w:szCs w:val="20"/>
          <w:color w:val="auto"/>
        </w:rPr>
      </w:pPr>
    </w:p>
    <w:p>
      <w:pPr>
        <w:ind w:left="900" w:right="140" w:hanging="239"/>
        <w:spacing w:after="0" w:line="318" w:lineRule="auto"/>
        <w:tabs>
          <w:tab w:leader="none" w:pos="880" w:val="left"/>
        </w:tabs>
        <w:rPr>
          <w:sz w:val="20"/>
          <w:szCs w:val="20"/>
          <w:color w:val="auto"/>
        </w:rPr>
      </w:pPr>
      <w:r>
        <w:rPr>
          <w:rFonts w:ascii="Arial" w:cs="Arial" w:eastAsia="Arial" w:hAnsi="Arial"/>
          <w:sz w:val="17"/>
          <w:szCs w:val="17"/>
          <w:color w:val="auto"/>
        </w:rPr>
        <w:t>• </w:t>
        <w:tab/>
        <w:t>identifying and discussing significant emerging science and technology issues and trends, including their potential impact on our scientific and technological strategies and research and development plans and goals; and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conducting a periodic review of our intellectual property portfolio and strategy, including our overall competitiveness.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Stockholder Meetings</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During our fiscal year ended December 31, 2021, our board of directors held nine meetings (including regularly scheduled and special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on such committee.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147" w:right="359" w:bottom="1440" w:gutter="0" w:footer="0" w:header="0"/>
        </w:sectPr>
      </w:pPr>
    </w:p>
    <w:bookmarkStart w:id="20" w:name="page21"/>
    <w:bookmarkEnd w:id="20"/>
    <w:p>
      <w:pPr>
        <w:jc w:val="both"/>
        <w:ind w:right="120"/>
        <w:spacing w:after="0" w:line="268"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strongly encourage, but do not require, our directors to attend. All of our then-serving directors attended our annual meeting of stockholders in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2021, David Hallal, Terrance McGuire and David Singer served on our talent and compensation committee. David Singer served as a member of the talent and compensation committee until his resignation in November 2021, and Rachel Haurwitz, Ph.D. joined the talent and compensation committee in April 2022. None of the members of our talent and compensation committee is currently, or has been at any time, one of our officers or employees. None of our executive officers currently serves, or has served during the past fiscal year, as a member of the board of directors or the talent and compensation committee (or other board committee performing equivalent functions or, in the absence of any such committee, the entire board of directors) of any entity that has one or more of its executive officers serving as a member of our board of directors or our talent compensation committee.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corporate governance and nominating committee uses a variety of methods, including engaging the services of outside consultants and search firms, to identify and evaluate director nominees. In its evaluation of director candidates, our corporate governance and nominating committee will consider the current size and composition of our board of directors and the needs of our board of directors and the respective committees of our board of directors. Some of the qualifications that our corporate governance and nominating committee considers include such factors as character, integrity, judgment, diversity (including, without limitation, diversity in terms of gender, race, ethnicity and experience), age, independence, skills, education, expertise, business acumen, corporate experience, length of service, understanding of our business and other commitments, among other things. Nominees must also have the highest personal and professional ethics and integrity and skills that are complementary to those of the existing directors. Director candidates must have the ability to assist and support management and make significant contributions to our success based on proven achievement and competence in the nominee’s field and the ability to exercise sound business judgment. Nominees must also have an understanding of the fiduciary responsibilities that are required of a member of our board of directors and the commitment of time and energy necessary to diligently carry out those responsibilities. Members of our board of directors are expected to prepare for, attend, and participate in all board of directors and applicable committee meetings. Our corporate governance and nominating committee may also consider such other factors as it may deem, from time to time, are in our and our stockholders’ best interests.</w:t>
      </w:r>
    </w:p>
    <w:p>
      <w:pPr>
        <w:spacing w:after="0" w:line="1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corporate governance and nominating committee considers the suitability of each director candidate, including current directors, in light of the current size and composition of our board. Although our board of directors does not maintain a specific policy with respect to board diversity, our board of directors believes that our board of directors should be a diverse body, and our corporate governance and nominating committee considers a broad range of backgrounds and experiences. In making determinations regarding nominations of directors, our corporate governance and nominating committee may take into account the benefits of diverse viewpoints. Our corporate governance and nominating committee also considers these and other factors as it oversees the annual board of director and committee evaluations. After completing its review and evaluation of director candidates, our corporate governance and nominating committee recommends to our full board of directors the director nominees for selection.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corporate governance and nominating committee will consider director candidates recommended by stockholders holding no less than $2,000 in market value, or one percent (1%), of the outstanding shares of our common stock continuously for at least 12 months prior to the date of the submission of the recommendation or nomination, so long as such recommendations or nominations comply with our amended and restated certificate of incorporation, amended and restated bylaws, and applicable laws, rules and regulations, including those promulgated by the SEC. Our corporate governance and nominating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diverse backgrounds, skills and experience, including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147" w:right="339" w:bottom="1440" w:gutter="0" w:footer="0" w:header="0"/>
        </w:sectPr>
      </w:pPr>
    </w:p>
    <w:bookmarkStart w:id="21" w:name="page22"/>
    <w:bookmarkEnd w:id="21"/>
    <w:p>
      <w:pPr>
        <w:ind w:right="40"/>
        <w:spacing w:after="0" w:line="257" w:lineRule="auto"/>
        <w:rPr>
          <w:sz w:val="20"/>
          <w:szCs w:val="20"/>
          <w:color w:val="auto"/>
        </w:rPr>
      </w:pPr>
      <w:r>
        <w:rPr>
          <w:rFonts w:ascii="Arial" w:cs="Arial" w:eastAsia="Arial" w:hAnsi="Arial"/>
          <w:sz w:val="18"/>
          <w:szCs w:val="18"/>
          <w:color w:val="auto"/>
        </w:rPr>
        <w:t>appropriate financial and other expertise relevant to our business. Eligible stockholders wishing to recommend a candidate for nomination should contact our Corporate Secretary in writing. Such recommendations must include information about the candidate, a statement of support of the candidate by the recommending stockholder, evidence of the recommending stockholder’s ownership of our capital stock, a signed letter from the candidate confirming willingness to serve on our board of directors, information regarding any relationships between us and the candidate and any additional information required by our amended and restated bylaws. Our corporate governance and nominating committee has discretion to decide which individuals to recommend for nomination as directors.</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our amended and restated bylaws, stockholders may also directly nominate persons for election to our board of directors. Any nomination must comply with the requirements set forth in our amended and restated bylaws and should be sent in writing to our Corporate Secretary at Seer, Inc., 3800 Bridge Parkway, Suite 102, Redwood City, California 94065. To be timely for the 2022 annual meeting of stockholders, nominations must be received by our Corporate Secretary not later than the 45th day nor earlier than the 75th day before the one-year anniversary of the date on which we first mailed our proxy materials or a notice of availability of proxy materials (whichever is earlier) for the preceding year’s annual meeting. In the event that no annual meeting was held in the previous year or if the date of the annual meeting is advanced by more than 30 days prior to or delayed by more than 60 days after the one-year anniversary of the date of the previous year’s annual meeting, then notice by the stockholder to be timely must be so received by our Corporate Secretary not earlier than the close of business on the 120th day prior to such annual meeting and not later than the close of business on the later of (i) the 90th day prior to such annual meeting and (ii) the 10th day following the day on which public announcement of the date of such annual meeting is first made.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Interested parties wishing to communicate with non-management members of our board of directors may do so by writing and mailing the correspondence to our Corporate Secretary at Seer, Inc., 3800 Bridge Parkway, Suite 102, Redwood City, California 94065. Our Corporate Secretary monitors these communications and will provide a summary of all received bona fide messages to our board of directors at each regularly scheduled meeting of our board of directors. Where the nature of a communication warrants, our Corporate Secretary may determine, in his or her judgment, to obtain the more immediate attention of the appropriate committee of the board of directors or non-management director, of independent advisors or of our management.</w:t>
      </w:r>
    </w:p>
    <w:p>
      <w:pPr>
        <w:spacing w:after="0" w:line="18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This procedure does not apply to (a) communications to non-management directors from officers or directors who are stockholders, (b) stockholder proposals submitted pursuant to Rule 14a-8 under the Exchange Act or (c) communications to our audit committee pursuant to our complaint procedures for accounting and auditing matters.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Board Diversity</w:t>
      </w:r>
    </w:p>
    <w:p>
      <w:pPr>
        <w:spacing w:after="0" w:line="25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Diversity is important to us, and we have always had diversity within our management team and across the company. We believe that our management and board of directors should be diverse, including a diversity of experience, competency in relevant fields, gender, race, ethnicity and age. In making determinations regarding nominations of directors, our nominating and governance committee takes into account the benefits of diverse viewpoints. In November 2021, we were pleased to add further diversity to our board of directors with the additions of Rachel Haurwitz, Ph.D. and Meeta Gulyani. Our corporate governance and nominating committee will also consider these and other factors as it oversees the annual board of directors and committee evaluations. The table below provides certain information regarding the composition of our Board of Directors. Each of the categories listed in the below table has the meaning as it is used in Nasdaq Rule 5605(f). As shown below in the board diversity matrix, the Company is currently in compliance with the diversity requirements of Nasdaq Rule 5605(f) and Sections 301.3 and 301.4 of the California Corporations Code. Our board of directors is also advancing our human capital management strategy to ensure more opportunities for diverse candidates, including new programs to recruit diverse candidates. Currently, 43% of our executive leadership team is comprised of women.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47" w:right="339" w:bottom="1440" w:gutter="0" w:footer="0" w:header="0"/>
        </w:sectPr>
      </w:pPr>
    </w:p>
    <w:bookmarkStart w:id="22" w:name="page23"/>
    <w:bookmarkEnd w:id="22"/>
    <w:p>
      <w:pPr>
        <w:ind w:left="3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6677660" cy="2708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7660" cy="2708910"/>
                    </a:xfrm>
                    <a:prstGeom prst="rect">
                      <a:avLst/>
                    </a:prstGeom>
                    <a:noFill/>
                  </pic:spPr>
                </pic:pic>
              </a:graphicData>
            </a:graphic>
          </wp:anchor>
        </w:drawing>
        <w:t>Board Diversity Matrix (as of April 28, 2022)</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1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Number of Directors</w:t>
            </w:r>
          </w:p>
        </w:tc>
        <w:tc>
          <w:tcPr>
            <w:tcW w:w="136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jc w:val="center"/>
              <w:ind w:right="810"/>
              <w:spacing w:after="0"/>
              <w:rPr>
                <w:sz w:val="20"/>
                <w:szCs w:val="20"/>
                <w:color w:val="auto"/>
              </w:rPr>
            </w:pPr>
            <w:r>
              <w:rPr>
                <w:rFonts w:ascii="Arial" w:cs="Arial" w:eastAsia="Arial" w:hAnsi="Arial"/>
                <w:sz w:val="18"/>
                <w:szCs w:val="18"/>
                <w:color w:val="auto"/>
                <w:w w:val="99"/>
              </w:rPr>
              <w:t>10</w:t>
            </w:r>
          </w:p>
        </w:tc>
        <w:tc>
          <w:tcPr>
            <w:tcW w:w="1940" w:type="dxa"/>
            <w:vAlign w:val="bottom"/>
            <w:tcBorders>
              <w:top w:val="single" w:sz="8" w:color="auto"/>
              <w:bottom w:val="single" w:sz="8" w:color="auto"/>
            </w:tcBorders>
          </w:tcPr>
          <w:p>
            <w:pPr>
              <w:spacing w:after="0"/>
              <w:rPr>
                <w:sz w:val="22"/>
                <w:szCs w:val="22"/>
                <w:color w:val="auto"/>
              </w:rPr>
            </w:pPr>
          </w:p>
        </w:tc>
      </w:tr>
      <w:tr>
        <w:trPr>
          <w:trHeight w:val="197"/>
        </w:trPr>
        <w:tc>
          <w:tcPr>
            <w:tcW w:w="41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ind w:left="360"/>
              <w:spacing w:after="0" w:line="197" w:lineRule="exact"/>
              <w:rPr>
                <w:sz w:val="20"/>
                <w:szCs w:val="20"/>
                <w:color w:val="auto"/>
              </w:rPr>
            </w:pPr>
            <w:r>
              <w:rPr>
                <w:rFonts w:ascii="Arial" w:cs="Arial" w:eastAsia="Arial" w:hAnsi="Arial"/>
                <w:sz w:val="18"/>
                <w:szCs w:val="18"/>
                <w:b w:val="1"/>
                <w:bCs w:val="1"/>
                <w:color w:val="auto"/>
              </w:rPr>
              <w:t>Female</w:t>
            </w:r>
          </w:p>
        </w:tc>
        <w:tc>
          <w:tcPr>
            <w:tcW w:w="1460" w:type="dxa"/>
            <w:vAlign w:val="bottom"/>
            <w:tcBorders>
              <w:right w:val="single" w:sz="8" w:color="auto"/>
            </w:tcBorders>
          </w:tcPr>
          <w:p>
            <w:pPr>
              <w:ind w:left="520"/>
              <w:spacing w:after="0" w:line="197" w:lineRule="exact"/>
              <w:rPr>
                <w:sz w:val="20"/>
                <w:szCs w:val="20"/>
                <w:color w:val="auto"/>
              </w:rPr>
            </w:pPr>
            <w:r>
              <w:rPr>
                <w:rFonts w:ascii="Arial" w:cs="Arial" w:eastAsia="Arial" w:hAnsi="Arial"/>
                <w:sz w:val="18"/>
                <w:szCs w:val="18"/>
                <w:b w:val="1"/>
                <w:bCs w:val="1"/>
                <w:color w:val="auto"/>
              </w:rPr>
              <w:t>Male</w:t>
            </w:r>
          </w:p>
        </w:tc>
        <w:tc>
          <w:tcPr>
            <w:tcW w:w="162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rPr>
              <w:t>Non-Binary</w:t>
            </w:r>
          </w:p>
        </w:tc>
        <w:tc>
          <w:tcPr>
            <w:tcW w:w="194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rPr>
              <w:t>Did Not Disclose</w:t>
            </w:r>
          </w:p>
        </w:tc>
      </w:tr>
      <w:tr>
        <w:trPr>
          <w:trHeight w:val="255"/>
        </w:trPr>
        <w:tc>
          <w:tcPr>
            <w:tcW w:w="414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Gender</w:t>
            </w:r>
          </w:p>
        </w:tc>
      </w:tr>
      <w:tr>
        <w:trPr>
          <w:trHeight w:val="252"/>
        </w:trPr>
        <w:tc>
          <w:tcPr>
            <w:tcW w:w="414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 I: Gender Identity</w:t>
            </w: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460" w:type="dxa"/>
            <w:vAlign w:val="bottom"/>
            <w:tcBorders>
              <w:bottom w:val="single" w:sz="8" w:color="auto"/>
              <w:right w:val="single" w:sz="8" w:color="auto"/>
            </w:tcBorders>
            <w:shd w:val="clear" w:color="auto" w:fill="CCEEFF"/>
          </w:tcPr>
          <w:p>
            <w:pPr>
              <w:spacing w:after="0"/>
              <w:rPr>
                <w:sz w:val="21"/>
                <w:szCs w:val="21"/>
                <w:color w:val="auto"/>
              </w:rPr>
            </w:pPr>
          </w:p>
        </w:tc>
        <w:tc>
          <w:tcPr>
            <w:tcW w:w="1620" w:type="dxa"/>
            <w:vAlign w:val="bottom"/>
            <w:tcBorders>
              <w:bottom w:val="single" w:sz="8" w:color="auto"/>
              <w:right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spacing w:after="0"/>
              <w:rPr>
                <w:sz w:val="21"/>
                <w:szCs w:val="21"/>
                <w:color w:val="auto"/>
              </w:rPr>
            </w:pPr>
          </w:p>
        </w:tc>
      </w:tr>
      <w:tr>
        <w:trPr>
          <w:trHeight w:val="248"/>
        </w:trPr>
        <w:tc>
          <w:tcPr>
            <w:tcW w:w="4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Directors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52"/>
        </w:trPr>
        <w:tc>
          <w:tcPr>
            <w:tcW w:w="414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 II: Demographic Background</w:t>
            </w: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460" w:type="dxa"/>
            <w:vAlign w:val="bottom"/>
            <w:tcBorders>
              <w:bottom w:val="single" w:sz="8" w:color="auto"/>
              <w:right w:val="single" w:sz="8" w:color="auto"/>
            </w:tcBorders>
            <w:shd w:val="clear" w:color="auto" w:fill="CCEEFF"/>
          </w:tcPr>
          <w:p>
            <w:pPr>
              <w:spacing w:after="0"/>
              <w:rPr>
                <w:sz w:val="21"/>
                <w:szCs w:val="21"/>
                <w:color w:val="auto"/>
              </w:rPr>
            </w:pPr>
          </w:p>
        </w:tc>
        <w:tc>
          <w:tcPr>
            <w:tcW w:w="1620" w:type="dxa"/>
            <w:vAlign w:val="bottom"/>
            <w:tcBorders>
              <w:bottom w:val="single" w:sz="8" w:color="auto"/>
              <w:right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spacing w:after="0"/>
              <w:rPr>
                <w:sz w:val="21"/>
                <w:szCs w:val="21"/>
                <w:color w:val="auto"/>
              </w:rPr>
            </w:pPr>
          </w:p>
        </w:tc>
      </w:tr>
      <w:tr>
        <w:trPr>
          <w:trHeight w:val="248"/>
        </w:trPr>
        <w:tc>
          <w:tcPr>
            <w:tcW w:w="4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African American or Black</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4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Alaskan Native or Native American</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4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Asian</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4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Hispanic or Latinx</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4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Native Hawaiian or Pacific Islander</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4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White</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4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Two or More Races or Ethnicities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4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LGBTQ+</w:t>
            </w:r>
          </w:p>
        </w:tc>
        <w:tc>
          <w:tcPr>
            <w:tcW w:w="1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spacing w:after="0"/>
              <w:rPr>
                <w:sz w:val="21"/>
                <w:szCs w:val="21"/>
                <w:color w:val="auto"/>
              </w:rPr>
            </w:pPr>
          </w:p>
        </w:tc>
      </w:tr>
      <w:tr>
        <w:trPr>
          <w:trHeight w:val="250"/>
        </w:trPr>
        <w:tc>
          <w:tcPr>
            <w:tcW w:w="4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Did Not Disclose Demographic Background</w:t>
            </w:r>
          </w:p>
        </w:tc>
        <w:tc>
          <w:tcPr>
            <w:tcW w:w="1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Business Conduct and Ethics</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our investor relations website at investor.seer.bio. We will post any amendments to our Code of Business Conduct and Ethics and any waivers of our Code of Business Conduct and Ethics for directors and executive officers on the same website or in filings under the Exchange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Our talent and compensation committee is responsible for overseeing the management of risks relating to our executive compensation plans and arrangements. Our audit committee is responsible for overseeing the company’s significant business risks, including risks relating to accounting matters and financial reporting. Our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our initial public offering, our board of directors adopted, and our stockholders approved, a new compensation policy for our non-employee directors. This policy was developed with input from our talent and compensation committee’s independent compensation consultant, Radford, a business of Aon Rewards Solutions (Radford) regarding practices and compensation levels at comparable companies. It is designed to attract, retain and reward non-employee directors.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985" w:right="359" w:bottom="1440" w:gutter="0" w:footer="0" w:header="0"/>
        </w:sectPr>
      </w:pPr>
    </w:p>
    <w:bookmarkStart w:id="23" w:name="page24"/>
    <w:bookmarkEnd w:id="23"/>
    <w:p>
      <w:pPr>
        <w:ind w:right="600"/>
        <w:spacing w:after="0" w:line="268" w:lineRule="auto"/>
        <w:rPr>
          <w:sz w:val="20"/>
          <w:szCs w:val="20"/>
          <w:color w:val="auto"/>
        </w:rPr>
      </w:pPr>
      <w:r>
        <w:rPr>
          <w:rFonts w:ascii="Arial" w:cs="Arial" w:eastAsia="Arial" w:hAnsi="Arial"/>
          <w:sz w:val="18"/>
          <w:szCs w:val="18"/>
          <w:color w:val="auto"/>
        </w:rPr>
        <w:t>Under the outside director compensation policy, each non-employee director receives the cash and equity compensation for his or her services as a member of our board of directors, as described below. We also reimburse our non-employee directors for reasonable, customary and documented travel expenses to meetings of our board of directors or its committees.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Mr. Nishar waived all cash and equity compensation to which he otherwise would have been entitled to by virtue of his service as a director of the Company in 2021. This waiver ceased to be in effect as of January 1, 2022.</w:t>
      </w:r>
    </w:p>
    <w:p>
      <w:pPr>
        <w:spacing w:after="0" w:line="18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director compensation policy includes a maximum annual limit of $750,000 or, in the first year of a non-employee director’s service on our board of directors, $1,000,000, of cash compensation and equity awards that may be paid, issued or granted to a non-employee director in any fiscal year. For purposes of these limitations, the value of an equity award is based on its grant date fair value (determined in accordance with generally accepted accounting principles, or GAAP). Any cash compensation paid or equity awards granted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Our outside director compensation policy provides for the following cash compensation program for our non-employee directors:</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$40,000 per year for service as a non-employee director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$25,000 per year for service as lead independent director;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$20,000 per year for service as Chair of the audit committee;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$10,000 per year for service as a member of the audit committee;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$15,000 per year for service as Chair of the talent and compensation committee;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$7,500 per year for service as a member of the talent and compensation committee;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$10,000 per year for service as Chair of the corporate governance and nominating committee;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$5,000 per year for service as a member of the corporate governance and nominating committee;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$10,000 per year for service as Chair of the science and technology committee;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$5,000 per year for service as a member of the science and technology committee.</w:t>
      </w:r>
    </w:p>
    <w:p>
      <w:pPr>
        <w:spacing w:after="0" w:line="225"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Each non-employee director who serves as a committee Chair receives only the additional annual cash fee as the Chair of the committee, and not the additional annual fee as a member of the committee. All cash payments to non-employee directors are paid quarterly in arrears on a prorated basis.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10" w:lineRule="exact"/>
        <w:rPr>
          <w:sz w:val="20"/>
          <w:szCs w:val="20"/>
          <w:color w:val="auto"/>
        </w:rPr>
      </w:pPr>
    </w:p>
    <w:p>
      <w:pPr>
        <w:spacing w:after="0" w:line="252" w:lineRule="auto"/>
        <w:rPr>
          <w:sz w:val="20"/>
          <w:szCs w:val="20"/>
          <w:color w:val="auto"/>
        </w:rPr>
      </w:pPr>
      <w:r>
        <w:rPr>
          <w:rFonts w:ascii="Arial" w:cs="Arial" w:eastAsia="Arial" w:hAnsi="Arial"/>
          <w:sz w:val="17"/>
          <w:szCs w:val="17"/>
          <w:u w:val="single" w:color="auto"/>
          <w:color w:val="auto"/>
        </w:rPr>
        <w:t>Initial Awards</w:t>
      </w:r>
      <w:r>
        <w:rPr>
          <w:rFonts w:ascii="Arial" w:cs="Arial" w:eastAsia="Arial" w:hAnsi="Arial"/>
          <w:sz w:val="17"/>
          <w:szCs w:val="17"/>
          <w:color w:val="auto"/>
        </w:rPr>
        <w:t>. Pursuant to our outside director compensation policy, effective June 15, 2022, each person who first becomes a non-employee director will receive, on the first trading day on or after the date that the person first becomes a non-employee director, an initial award of stock options to purchase shares of our common stock and an initial award of our restricted stock units (collectively, the Initial Award) together having an aggregate value of approximately $495,489 (with the shares covered by each award rounded down to the nearest whole share), with 67% of the value of the initial award in stock options to purchase shares of our common stock and the remaining 33% of the value of the initial award in our restricted stock units. Prior to an amendment to our outside director compensation policy in April 2021, each</w:t>
      </w:r>
    </w:p>
    <w:p>
      <w:pPr>
        <w:spacing w:after="0" w:line="2"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Initial Award consisted of an option to purchase 37,383 shares of our common stock. The Initial Award will be scheduled to vest in equal installments as to 1/36th of the shares of our common stock subject to the Initial Award on a monthly basis following the Initial Award’s grant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on the same day of the month as the grant date, subject to continued services to us through the applicable vesting dates. If the</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147" w:right="339" w:bottom="1440" w:gutter="0" w:footer="0" w:header="0"/>
          <w:type w:val="continuous"/>
        </w:sectPr>
      </w:pPr>
    </w:p>
    <w:bookmarkStart w:id="24" w:name="page25"/>
    <w:bookmarkEnd w:id="24"/>
    <w:p>
      <w:pPr>
        <w:ind w:right="680"/>
        <w:spacing w:after="0" w:line="271" w:lineRule="auto"/>
        <w:rPr>
          <w:sz w:val="20"/>
          <w:szCs w:val="20"/>
          <w:color w:val="auto"/>
        </w:rPr>
      </w:pPr>
      <w:r>
        <w:rPr>
          <w:rFonts w:ascii="Arial" w:cs="Arial" w:eastAsia="Arial" w:hAnsi="Arial"/>
          <w:sz w:val="18"/>
          <w:szCs w:val="18"/>
          <w:color w:val="auto"/>
        </w:rPr>
        <w:t>person was a member of our board of directors and also an employee, then becoming a non-employee director due to termination of employment will not entitle the person to an Initial Award.</w:t>
      </w:r>
    </w:p>
    <w:p>
      <w:pPr>
        <w:spacing w:after="0" w:line="154" w:lineRule="exact"/>
        <w:rPr>
          <w:sz w:val="20"/>
          <w:szCs w:val="20"/>
          <w:color w:val="auto"/>
        </w:rPr>
      </w:pPr>
    </w:p>
    <w:p>
      <w:pPr>
        <w:jc w:val="both"/>
        <w:ind w:right="40"/>
        <w:spacing w:after="0" w:line="254" w:lineRule="auto"/>
        <w:rPr>
          <w:sz w:val="20"/>
          <w:szCs w:val="20"/>
          <w:color w:val="auto"/>
        </w:rPr>
      </w:pPr>
      <w:r>
        <w:rPr>
          <w:rFonts w:ascii="Arial" w:cs="Arial" w:eastAsia="Arial" w:hAnsi="Arial"/>
          <w:sz w:val="17"/>
          <w:szCs w:val="17"/>
          <w:u w:val="single" w:color="auto"/>
          <w:color w:val="auto"/>
        </w:rPr>
        <w:t>Annual Awards</w:t>
      </w:r>
      <w:r>
        <w:rPr>
          <w:rFonts w:ascii="Arial" w:cs="Arial" w:eastAsia="Arial" w:hAnsi="Arial"/>
          <w:sz w:val="17"/>
          <w:szCs w:val="17"/>
          <w:color w:val="auto"/>
        </w:rPr>
        <w:t>. Effective June 15, 2022, each non-employee director automatically will receive, on the first trading day immediately after the date of each annual meeting of our stockholders (an Annual Meeting), an annual award of stock options to purchase shares of our common stock and an annual award of our restricted stock units (collectively, the Annual Award) together having an aggregate value of approximately $247,455 (with the shares covered by each award rounded down to the nearest whole share), with 67% of the value of the annual award in</w:t>
      </w:r>
    </w:p>
    <w:p>
      <w:pPr>
        <w:ind w:right="100"/>
        <w:spacing w:after="0"/>
        <w:rPr>
          <w:sz w:val="20"/>
          <w:szCs w:val="20"/>
          <w:color w:val="auto"/>
        </w:rPr>
      </w:pPr>
      <w:r>
        <w:rPr>
          <w:rFonts w:ascii="Arial" w:cs="Arial" w:eastAsia="Arial" w:hAnsi="Arial"/>
          <w:sz w:val="17"/>
          <w:szCs w:val="17"/>
          <w:color w:val="auto"/>
        </w:rPr>
        <w:t>stock options to purchase shares of our common stock and the remaining 33% of the value of the annual award in our restricted stock units. Prior to the April 2021 amendment to outside director compensation policy, the Annual consisted of an option to purchase 18,691 shares of</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common stock), except if an individual began service as a non-employee director after the date of the Annual Meeting that occurred immediately prior to such Annual Meeting (or if there is no such prior Annual Meeting, then December 3, 2020), then the Annual Award granted to such non-employee director will be prorated based on the number of whole months that the individual served as a non-employee director prior to the Annual Award’s grant date during the 12 month period immediately preceding such Annual Meeting or such effective registration statement date, as applicable. Each Annual Award will be scheduled to vest as to all of the shares of our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spacing w:after="0" w:line="1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our change in control, as defined in our 2020 Equity Incentive Plan, each non-employee director’s then outstanding equity awards covering shares of our common stock that were granted to him or her while a non-employee director will accelerate vesting in full, provided that he or she remains a non-employee director through the date of our change in control.</w:t>
      </w:r>
    </w:p>
    <w:p>
      <w:pPr>
        <w:spacing w:after="0" w:line="171" w:lineRule="exact"/>
        <w:rPr>
          <w:sz w:val="20"/>
          <w:szCs w:val="20"/>
          <w:color w:val="auto"/>
        </w:rPr>
      </w:pPr>
    </w:p>
    <w:p>
      <w:pPr>
        <w:jc w:val="both"/>
        <w:ind w:right="340"/>
        <w:spacing w:after="0" w:line="291" w:lineRule="auto"/>
        <w:rPr>
          <w:sz w:val="20"/>
          <w:szCs w:val="20"/>
          <w:color w:val="auto"/>
        </w:rPr>
      </w:pPr>
      <w:r>
        <w:rPr>
          <w:rFonts w:ascii="Arial" w:cs="Arial" w:eastAsia="Arial" w:hAnsi="Arial"/>
          <w:sz w:val="17"/>
          <w:szCs w:val="17"/>
          <w:u w:val="single" w:color="auto"/>
          <w:color w:val="auto"/>
        </w:rPr>
        <w:t>Other Award Terms</w:t>
      </w:r>
      <w:r>
        <w:rPr>
          <w:rFonts w:ascii="Arial" w:cs="Arial" w:eastAsia="Arial" w:hAnsi="Arial"/>
          <w:sz w:val="17"/>
          <w:szCs w:val="17"/>
          <w:color w:val="auto"/>
        </w:rPr>
        <w:t>. Each Initial Award and Annual Award will be granted under our 2020 Equity Incentive Plan (or its successor plan, as applicable) and form of award agreement under such plan. These awards will have a maximum term to expiration of ten years from their grant and a per share exercise price equal to 100% of the fair market value of a share of our common stock on the award’s grant date.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Compensation</w:t>
      </w:r>
    </w:p>
    <w:p>
      <w:pPr>
        <w:spacing w:after="0" w:line="22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Directors who are also our employees receive no additional compensation for their service as directors. Omid Farokhzad, M.D. and Omead Ostadan were our employee directors during 2021. See the section titled “Executive Compensation” for additional information about Dr. Farokhzad’s and Mr. Ostadan’s compensation.</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presents the total compensation each of our non-employee directors received during the year ended December 31, 2021. Other than as set forth in the table, we did not pay any compensation, make any equity awards or non-equity awards to or pay any other compensation to any of our non-employee directors in 2021.</w:t>
      </w:r>
    </w:p>
    <w:p>
      <w:pPr>
        <w:spacing w:after="0" w:line="209" w:lineRule="exact"/>
        <w:rPr>
          <w:sz w:val="20"/>
          <w:szCs w:val="20"/>
          <w:color w:val="auto"/>
        </w:rPr>
      </w:pPr>
    </w:p>
    <w:p>
      <w:pPr>
        <w:jc w:val="center"/>
        <w:ind w:right="6820"/>
        <w:spacing w:after="0"/>
        <w:rPr>
          <w:sz w:val="20"/>
          <w:szCs w:val="20"/>
          <w:color w:val="auto"/>
        </w:rPr>
      </w:pPr>
      <w:r>
        <w:rPr>
          <w:rFonts w:ascii="Arial" w:cs="Arial" w:eastAsia="Arial" w:hAnsi="Arial"/>
          <w:sz w:val="14"/>
          <w:szCs w:val="14"/>
          <w:b w:val="1"/>
          <w:bCs w:val="1"/>
          <w:color w:val="auto"/>
        </w:rPr>
        <w:t>Fees</w:t>
      </w:r>
    </w:p>
    <w:p>
      <w:pPr>
        <w:jc w:val="center"/>
        <w:ind w:right="6820"/>
        <w:spacing w:after="0" w:line="221" w:lineRule="auto"/>
        <w:rPr>
          <w:sz w:val="20"/>
          <w:szCs w:val="20"/>
          <w:color w:val="auto"/>
        </w:rPr>
      </w:pPr>
      <w:r>
        <w:rPr>
          <w:rFonts w:ascii="Arial" w:cs="Arial" w:eastAsia="Arial" w:hAnsi="Arial"/>
          <w:sz w:val="14"/>
          <w:szCs w:val="14"/>
          <w:b w:val="1"/>
          <w:bCs w:val="1"/>
          <w:color w:val="auto"/>
        </w:rPr>
        <w:t>Earned</w:t>
      </w:r>
    </w:p>
    <w:tbl>
      <w:tblPr>
        <w:tblLayout w:type="fixed"/>
        <w:tblInd w:w="0" w:type="dxa"/>
        <w:tblCellMar>
          <w:top w:w="0" w:type="dxa"/>
          <w:left w:w="0" w:type="dxa"/>
          <w:bottom w:w="0" w:type="dxa"/>
          <w:right w:w="0" w:type="dxa"/>
        </w:tblCellMar>
      </w:tblPr>
      <w:tr>
        <w:trPr>
          <w:trHeight w:val="130"/>
        </w:trPr>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rPr>
              <w:t>or Paid</w:t>
            </w:r>
          </w:p>
        </w:tc>
        <w:tc>
          <w:tcPr>
            <w:tcW w:w="82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rPr>
              <w:t>Option</w:t>
            </w:r>
          </w:p>
        </w:tc>
        <w:tc>
          <w:tcPr>
            <w:tcW w:w="13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All Other</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Awards</w:t>
            </w:r>
          </w:p>
        </w:tc>
        <w:tc>
          <w:tcPr>
            <w:tcW w:w="1320" w:type="dxa"/>
            <w:vAlign w:val="bottom"/>
            <w:gridSpan w:val="2"/>
            <w:vMerge w:val="continue"/>
          </w:tcPr>
          <w:p>
            <w:pPr>
              <w:spacing w:after="0"/>
              <w:rPr>
                <w:sz w:val="12"/>
                <w:szCs w:val="12"/>
                <w:color w:val="auto"/>
              </w:rPr>
            </w:pPr>
          </w:p>
        </w:tc>
        <w:tc>
          <w:tcPr>
            <w:tcW w:w="9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1860" w:type="dxa"/>
            <w:vAlign w:val="bottom"/>
            <w:gridSpan w:val="2"/>
            <w:vMerge w:val="continue"/>
          </w:tcPr>
          <w:p>
            <w:pPr>
              <w:spacing w:after="0"/>
              <w:rPr>
                <w:sz w:val="16"/>
                <w:szCs w:val="16"/>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Cash($)</w:t>
            </w:r>
          </w:p>
        </w:tc>
        <w:tc>
          <w:tcPr>
            <w:tcW w:w="7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8"/>
                <w:szCs w:val="18"/>
                <w:b w:val="1"/>
                <w:bCs w:val="1"/>
                <w:color w:val="auto"/>
                <w:w w:val="94"/>
                <w:vertAlign w:val="superscript"/>
              </w:rPr>
              <w:t>(1)</w:t>
            </w:r>
          </w:p>
        </w:tc>
        <w:tc>
          <w:tcPr>
            <w:tcW w:w="8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Compensation($)</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Catherine Friedman</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284,405</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349,405</w:t>
            </w:r>
          </w:p>
        </w:tc>
        <w:tc>
          <w:tcPr>
            <w:tcW w:w="0" w:type="dxa"/>
            <w:vAlign w:val="bottom"/>
          </w:tcPr>
          <w:p>
            <w:pPr>
              <w:spacing w:after="0"/>
              <w:rPr>
                <w:sz w:val="1"/>
                <w:szCs w:val="1"/>
                <w:color w:val="auto"/>
              </w:rPr>
            </w:pPr>
          </w:p>
        </w:tc>
      </w:tr>
      <w:tr>
        <w:trPr>
          <w:trHeight w:val="229"/>
        </w:trPr>
        <w:tc>
          <w:tcPr>
            <w:tcW w:w="1860" w:type="dxa"/>
            <w:vAlign w:val="bottom"/>
            <w:gridSpan w:val="2"/>
          </w:tcPr>
          <w:p>
            <w:pPr>
              <w:ind w:left="20"/>
              <w:spacing w:after="0"/>
              <w:rPr>
                <w:sz w:val="20"/>
                <w:szCs w:val="20"/>
                <w:color w:val="auto"/>
              </w:rPr>
            </w:pPr>
            <w:r>
              <w:rPr>
                <w:rFonts w:ascii="Arial" w:cs="Arial" w:eastAsia="Arial" w:hAnsi="Arial"/>
                <w:sz w:val="18"/>
                <w:szCs w:val="18"/>
                <w:color w:val="auto"/>
              </w:rPr>
              <w:t>David Hallal</w:t>
            </w:r>
          </w:p>
        </w:tc>
        <w:tc>
          <w:tcPr>
            <w:tcW w:w="660" w:type="dxa"/>
            <w:vAlign w:val="bottom"/>
          </w:tcPr>
          <w:p>
            <w:pPr>
              <w:jc w:val="right"/>
              <w:spacing w:after="0"/>
              <w:rPr>
                <w:sz w:val="20"/>
                <w:szCs w:val="20"/>
                <w:color w:val="auto"/>
              </w:rPr>
            </w:pPr>
            <w:r>
              <w:rPr>
                <w:rFonts w:ascii="Arial" w:cs="Arial" w:eastAsia="Arial" w:hAnsi="Arial"/>
                <w:sz w:val="18"/>
                <w:szCs w:val="18"/>
                <w:color w:val="auto"/>
              </w:rPr>
              <w:t>76,000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284,405</w:t>
            </w:r>
          </w:p>
        </w:tc>
        <w:tc>
          <w:tcPr>
            <w:tcW w:w="8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360,405</w:t>
            </w: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Langer, Sc.D.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284,405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75,000</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409,822</w:t>
            </w:r>
          </w:p>
        </w:tc>
        <w:tc>
          <w:tcPr>
            <w:tcW w:w="0" w:type="dxa"/>
            <w:vAlign w:val="bottom"/>
          </w:tcPr>
          <w:p>
            <w:pPr>
              <w:spacing w:after="0"/>
              <w:rPr>
                <w:sz w:val="1"/>
                <w:szCs w:val="1"/>
                <w:color w:val="auto"/>
              </w:rPr>
            </w:pPr>
          </w:p>
        </w:tc>
      </w:tr>
      <w:tr>
        <w:trPr>
          <w:trHeight w:val="230"/>
        </w:trPr>
        <w:tc>
          <w:tcPr>
            <w:tcW w:w="1860" w:type="dxa"/>
            <w:vAlign w:val="bottom"/>
            <w:gridSpan w:val="2"/>
          </w:tcPr>
          <w:p>
            <w:pPr>
              <w:ind w:left="20"/>
              <w:spacing w:after="0"/>
              <w:rPr>
                <w:sz w:val="20"/>
                <w:szCs w:val="20"/>
                <w:color w:val="auto"/>
              </w:rPr>
            </w:pPr>
            <w:r>
              <w:rPr>
                <w:rFonts w:ascii="Arial" w:cs="Arial" w:eastAsia="Arial" w:hAnsi="Arial"/>
                <w:sz w:val="18"/>
                <w:szCs w:val="18"/>
                <w:color w:val="auto"/>
              </w:rPr>
              <w:t>Terrance McGuire</w:t>
            </w:r>
          </w:p>
        </w:tc>
        <w:tc>
          <w:tcPr>
            <w:tcW w:w="660" w:type="dxa"/>
            <w:vAlign w:val="bottom"/>
          </w:tcPr>
          <w:p>
            <w:pPr>
              <w:jc w:val="right"/>
              <w:spacing w:after="0"/>
              <w:rPr>
                <w:sz w:val="20"/>
                <w:szCs w:val="20"/>
                <w:color w:val="auto"/>
              </w:rPr>
            </w:pPr>
            <w:r>
              <w:rPr>
                <w:rFonts w:ascii="Arial" w:cs="Arial" w:eastAsia="Arial" w:hAnsi="Arial"/>
                <w:sz w:val="18"/>
                <w:szCs w:val="18"/>
                <w:color w:val="auto"/>
              </w:rPr>
              <w:t>62,000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284,405</w:t>
            </w:r>
          </w:p>
        </w:tc>
        <w:tc>
          <w:tcPr>
            <w:tcW w:w="8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346,405</w:t>
            </w: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David Singer </w:t>
            </w:r>
            <w:r>
              <w:rPr>
                <w:rFonts w:ascii="Arial" w:cs="Arial" w:eastAsia="Arial" w:hAnsi="Arial"/>
                <w:sz w:val="23"/>
                <w:szCs w:val="23"/>
                <w:color w:val="auto"/>
                <w:vertAlign w:val="superscript"/>
              </w:rPr>
              <w:t>(3)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47,871</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47,871</w:t>
            </w:r>
          </w:p>
        </w:tc>
        <w:tc>
          <w:tcPr>
            <w:tcW w:w="0" w:type="dxa"/>
            <w:vAlign w:val="bottom"/>
          </w:tcPr>
          <w:p>
            <w:pPr>
              <w:spacing w:after="0"/>
              <w:rPr>
                <w:sz w:val="1"/>
                <w:szCs w:val="1"/>
                <w:color w:val="auto"/>
              </w:rPr>
            </w:pPr>
          </w:p>
        </w:tc>
      </w:tr>
      <w:tr>
        <w:trPr>
          <w:trHeight w:val="175"/>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Mostafa Ronaghi,</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15,119</w:t>
            </w: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984,230</w:t>
            </w:r>
          </w:p>
        </w:tc>
        <w:tc>
          <w:tcPr>
            <w:tcW w:w="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15,000</w:t>
            </w:r>
            <w:r>
              <w:rPr>
                <w:rFonts w:ascii="Arial" w:cs="Arial" w:eastAsia="Arial" w:hAnsi="Arial"/>
                <w:sz w:val="23"/>
                <w:szCs w:val="23"/>
                <w:color w:val="auto"/>
                <w:vertAlign w:val="superscript"/>
              </w:rPr>
              <w:t>(4)</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1,014,349</w:t>
            </w:r>
          </w:p>
        </w:tc>
        <w:tc>
          <w:tcPr>
            <w:tcW w:w="0" w:type="dxa"/>
            <w:vAlign w:val="bottom"/>
          </w:tcPr>
          <w:p>
            <w:pPr>
              <w:spacing w:after="0"/>
              <w:rPr>
                <w:sz w:val="1"/>
                <w:szCs w:val="1"/>
                <w:color w:val="auto"/>
              </w:rPr>
            </w:pPr>
          </w:p>
        </w:tc>
      </w:tr>
      <w:tr>
        <w:trPr>
          <w:trHeight w:val="243"/>
        </w:trPr>
        <w:tc>
          <w:tcPr>
            <w:tcW w:w="1860" w:type="dxa"/>
            <w:vAlign w:val="bottom"/>
            <w:gridSpan w:val="2"/>
          </w:tcPr>
          <w:p>
            <w:pPr>
              <w:ind w:left="20"/>
              <w:spacing w:after="0"/>
              <w:rPr>
                <w:sz w:val="20"/>
                <w:szCs w:val="20"/>
                <w:color w:val="auto"/>
              </w:rPr>
            </w:pPr>
            <w:r>
              <w:rPr>
                <w:rFonts w:ascii="Arial" w:cs="Arial" w:eastAsia="Arial" w:hAnsi="Arial"/>
                <w:sz w:val="18"/>
                <w:szCs w:val="18"/>
                <w:color w:val="auto"/>
              </w:rPr>
              <w:t>Ph.D.</w:t>
            </w:r>
          </w:p>
        </w:tc>
        <w:tc>
          <w:tcPr>
            <w:tcW w:w="6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Dipchand (Deep)</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Nishar</w:t>
            </w:r>
          </w:p>
        </w:tc>
        <w:tc>
          <w:tcPr>
            <w:tcW w:w="7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Rachel Haurwitz,</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5,778</w:t>
            </w: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658,452</w:t>
            </w:r>
          </w:p>
        </w:tc>
        <w:tc>
          <w:tcPr>
            <w:tcW w:w="80" w:type="dxa"/>
            <w:vAlign w:val="bottom"/>
          </w:tcPr>
          <w:p>
            <w:pPr>
              <w:spacing w:after="0"/>
              <w:rPr>
                <w:sz w:val="15"/>
                <w:szCs w:val="15"/>
                <w:color w:val="auto"/>
              </w:rPr>
            </w:pPr>
          </w:p>
        </w:tc>
        <w:tc>
          <w:tcPr>
            <w:tcW w:w="1320" w:type="dxa"/>
            <w:vAlign w:val="bottom"/>
            <w:gridSpan w:val="2"/>
            <w:vMerge w:val="restart"/>
          </w:tcPr>
          <w:p>
            <w:pPr>
              <w:ind w:left="9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664,230</w:t>
            </w:r>
          </w:p>
        </w:tc>
        <w:tc>
          <w:tcPr>
            <w:tcW w:w="0" w:type="dxa"/>
            <w:vAlign w:val="bottom"/>
          </w:tcPr>
          <w:p>
            <w:pPr>
              <w:spacing w:after="0"/>
              <w:rPr>
                <w:sz w:val="1"/>
                <w:szCs w:val="1"/>
                <w:color w:val="auto"/>
              </w:rPr>
            </w:pPr>
          </w:p>
        </w:tc>
      </w:tr>
      <w:tr>
        <w:trPr>
          <w:trHeight w:val="243"/>
        </w:trPr>
        <w:tc>
          <w:tcPr>
            <w:tcW w:w="18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Ph.D. </w:t>
            </w:r>
            <w:r>
              <w:rPr>
                <w:rFonts w:ascii="Arial" w:cs="Arial" w:eastAsia="Arial" w:hAnsi="Arial"/>
                <w:sz w:val="23"/>
                <w:szCs w:val="23"/>
                <w:color w:val="auto"/>
                <w:vertAlign w:val="superscript"/>
              </w:rPr>
              <w:t>(5)</w:t>
            </w:r>
          </w:p>
        </w:tc>
        <w:tc>
          <w:tcPr>
            <w:tcW w:w="6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Meeta Gulyani </w:t>
            </w:r>
            <w:r>
              <w:rPr>
                <w:rFonts w:ascii="Arial" w:cs="Arial" w:eastAsia="Arial" w:hAnsi="Arial"/>
                <w:sz w:val="23"/>
                <w:szCs w:val="23"/>
                <w:color w:val="auto"/>
                <w:vertAlign w:val="superscript"/>
              </w:rPr>
              <w:t>(5)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401,880</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405,436</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30" w:lineRule="exact"/>
        <w:rPr>
          <w:sz w:val="20"/>
          <w:szCs w:val="20"/>
          <w:color w:val="auto"/>
        </w:rPr>
      </w:pPr>
    </w:p>
    <w:p>
      <w:pPr>
        <w:ind w:left="660" w:right="60" w:hanging="652"/>
        <w:spacing w:after="0" w:line="255"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 in this column represents the aggregate grant-date fair value of the award as computed as of the grant date of each option awarded in fiscal 2021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in our Annual Report on Form 10-K filed with the SEC on March 1, 2022.</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Dr. Langer received consulting fees for his service on our Scientific Advisory Board in 2021.</w:t>
      </w:r>
    </w:p>
    <w:p>
      <w:pPr>
        <w:sectPr>
          <w:pgSz w:w="11900" w:h="16838" w:orient="portrait"/>
          <w:cols w:equalWidth="0" w:num="1">
            <w:col w:w="11200"/>
          </w:cols>
          <w:pgMar w:left="320" w:top="1133" w:right="37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00"/>
          </w:cols>
          <w:pgMar w:left="320" w:top="1133" w:right="379" w:bottom="1440" w:gutter="0" w:footer="0" w:header="0"/>
          <w:type w:val="continuous"/>
        </w:sectPr>
      </w:pPr>
    </w:p>
    <w:bookmarkStart w:id="25" w:name="page26"/>
    <w:bookmarkEnd w:id="25"/>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Singer resigned from our board of directors in November 2021.</w:t>
      </w:r>
    </w:p>
    <w:p>
      <w:pPr>
        <w:spacing w:after="0" w:line="21"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 Ronaghi received consulting fees for his service on our Scientific Advisory Board in 2021.</w:t>
      </w:r>
    </w:p>
    <w:p>
      <w:pPr>
        <w:spacing w:after="0" w:line="14"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Ms. Gulyani and Dr. Haurwitz joined our board of directors in November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all outstanding equity awards held by non-employee directors as of December 31, 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3"/>
          </w:tcPr>
          <w:p>
            <w:pPr>
              <w:ind w:left="260"/>
              <w:spacing w:after="0"/>
              <w:rPr>
                <w:sz w:val="20"/>
                <w:szCs w:val="20"/>
                <w:color w:val="auto"/>
              </w:rPr>
            </w:pPr>
            <w:r>
              <w:rPr>
                <w:rFonts w:ascii="Arial" w:cs="Arial" w:eastAsia="Arial" w:hAnsi="Arial"/>
                <w:sz w:val="14"/>
                <w:szCs w:val="14"/>
                <w:b w:val="1"/>
                <w:bCs w:val="1"/>
                <w:color w:val="auto"/>
              </w:rPr>
              <w:t>Number of</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rPr>
              <w:t>Securities</w:t>
            </w:r>
          </w:p>
        </w:tc>
        <w:tc>
          <w:tcPr>
            <w:tcW w:w="1360" w:type="dxa"/>
            <w:vAlign w:val="bottom"/>
            <w:gridSpan w:val="3"/>
          </w:tcPr>
          <w:p>
            <w:pPr>
              <w:ind w:left="280"/>
              <w:spacing w:after="0" w:line="145" w:lineRule="exact"/>
              <w:rPr>
                <w:sz w:val="20"/>
                <w:szCs w:val="20"/>
                <w:color w:val="auto"/>
              </w:rPr>
            </w:pPr>
            <w:r>
              <w:rPr>
                <w:rFonts w:ascii="Arial" w:cs="Arial" w:eastAsia="Arial" w:hAnsi="Arial"/>
                <w:sz w:val="14"/>
                <w:szCs w:val="14"/>
                <w:b w:val="1"/>
                <w:bCs w:val="1"/>
                <w:color w:val="auto"/>
              </w:rPr>
              <w:t>Securities</w:t>
            </w: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Option Exercise</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100"/>
              <w:spacing w:after="0" w:line="139" w:lineRule="exact"/>
              <w:rPr>
                <w:sz w:val="20"/>
                <w:szCs w:val="20"/>
                <w:color w:val="auto"/>
              </w:rPr>
            </w:pPr>
            <w:r>
              <w:rPr>
                <w:rFonts w:ascii="Arial" w:cs="Arial" w:eastAsia="Arial" w:hAnsi="Arial"/>
                <w:sz w:val="14"/>
                <w:szCs w:val="14"/>
                <w:b w:val="1"/>
                <w:bCs w:val="1"/>
                <w:color w:val="auto"/>
              </w:rPr>
              <w:t>Underlying</w:t>
            </w:r>
          </w:p>
        </w:tc>
        <w:tc>
          <w:tcPr>
            <w:tcW w:w="1360" w:type="dxa"/>
            <w:vAlign w:val="bottom"/>
            <w:gridSpan w:val="3"/>
          </w:tcPr>
          <w:p>
            <w:pPr>
              <w:ind w:left="240"/>
              <w:spacing w:after="0" w:line="139" w:lineRule="exact"/>
              <w:rPr>
                <w:sz w:val="20"/>
                <w:szCs w:val="20"/>
                <w:color w:val="auto"/>
              </w:rPr>
            </w:pPr>
            <w:r>
              <w:rPr>
                <w:rFonts w:ascii="Arial" w:cs="Arial" w:eastAsia="Arial" w:hAnsi="Arial"/>
                <w:sz w:val="14"/>
                <w:szCs w:val="14"/>
                <w:b w:val="1"/>
                <w:bCs w:val="1"/>
                <w:color w:val="auto"/>
              </w:rPr>
              <w:t>Underlying</w:t>
            </w:r>
          </w:p>
        </w:tc>
        <w:tc>
          <w:tcPr>
            <w:tcW w:w="1380" w:type="dxa"/>
            <w:vAlign w:val="bottom"/>
            <w:gridSpan w:val="2"/>
            <w:vMerge w:val="continue"/>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Option Expiration</w:t>
            </w:r>
          </w:p>
        </w:tc>
        <w:tc>
          <w:tcPr>
            <w:tcW w:w="0" w:type="dxa"/>
            <w:vAlign w:val="bottom"/>
          </w:tcPr>
          <w:p>
            <w:pPr>
              <w:spacing w:after="0"/>
              <w:rPr>
                <w:sz w:val="1"/>
                <w:szCs w:val="1"/>
                <w:color w:val="auto"/>
              </w:rPr>
            </w:pPr>
          </w:p>
        </w:tc>
      </w:tr>
      <w:tr>
        <w:trPr>
          <w:trHeight w:val="144"/>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2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2"/>
                <w:szCs w:val="12"/>
                <w:color w:val="auto"/>
              </w:rPr>
            </w:pPr>
          </w:p>
        </w:tc>
        <w:tc>
          <w:tcPr>
            <w:tcW w:w="1360" w:type="dxa"/>
            <w:vAlign w:val="bottom"/>
            <w:gridSpan w:val="4"/>
          </w:tcPr>
          <w:p>
            <w:pPr>
              <w:jc w:val="center"/>
              <w:ind w:right="120"/>
              <w:spacing w:after="0" w:line="145" w:lineRule="exact"/>
              <w:rPr>
                <w:sz w:val="20"/>
                <w:szCs w:val="20"/>
                <w:color w:val="auto"/>
              </w:rPr>
            </w:pPr>
            <w:r>
              <w:rPr>
                <w:rFonts w:ascii="Arial" w:cs="Arial" w:eastAsia="Arial" w:hAnsi="Arial"/>
                <w:sz w:val="14"/>
                <w:szCs w:val="14"/>
                <w:b w:val="1"/>
                <w:bCs w:val="1"/>
                <w:color w:val="auto"/>
              </w:rPr>
              <w:t>Unvested Stock</w:t>
            </w:r>
          </w:p>
        </w:tc>
        <w:tc>
          <w:tcPr>
            <w:tcW w:w="1360" w:type="dxa"/>
            <w:vAlign w:val="bottom"/>
            <w:gridSpan w:val="3"/>
          </w:tcPr>
          <w:p>
            <w:pPr>
              <w:ind w:left="280"/>
              <w:spacing w:after="0" w:line="145" w:lineRule="exact"/>
              <w:rPr>
                <w:sz w:val="20"/>
                <w:szCs w:val="20"/>
                <w:color w:val="auto"/>
              </w:rPr>
            </w:pPr>
            <w:r>
              <w:rPr>
                <w:rFonts w:ascii="Arial" w:cs="Arial" w:eastAsia="Arial" w:hAnsi="Arial"/>
                <w:sz w:val="14"/>
                <w:szCs w:val="14"/>
                <w:b w:val="1"/>
                <w:bCs w:val="1"/>
                <w:color w:val="auto"/>
              </w:rPr>
              <w:t>Exercised</w:t>
            </w:r>
          </w:p>
        </w:tc>
        <w:tc>
          <w:tcPr>
            <w:tcW w:w="13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Price Per Share</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left="273"/>
              <w:spacing w:after="0"/>
              <w:rPr>
                <w:sz w:val="20"/>
                <w:szCs w:val="20"/>
                <w:color w:val="auto"/>
              </w:rPr>
            </w:pPr>
            <w:r>
              <w:rPr>
                <w:rFonts w:ascii="Arial" w:cs="Arial" w:eastAsia="Arial" w:hAnsi="Arial"/>
                <w:sz w:val="14"/>
                <w:szCs w:val="14"/>
                <w:b w:val="1"/>
                <w:bCs w:val="1"/>
                <w:color w:val="auto"/>
                <w:w w:val="98"/>
              </w:rPr>
              <w:t>Awards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ind w:left="240"/>
              <w:spacing w:after="0"/>
              <w:rPr>
                <w:sz w:val="20"/>
                <w:szCs w:val="20"/>
                <w:color w:val="auto"/>
              </w:rPr>
            </w:pPr>
            <w:r>
              <w:rPr>
                <w:rFonts w:ascii="Arial" w:cs="Arial" w:eastAsia="Arial" w:hAnsi="Arial"/>
                <w:sz w:val="14"/>
                <w:szCs w:val="14"/>
                <w:b w:val="1"/>
                <w:bCs w:val="1"/>
                <w:color w:val="auto"/>
              </w:rPr>
              <w:t>Options (#)</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320" w:type="dxa"/>
            <w:vAlign w:val="bottom"/>
          </w:tcPr>
          <w:p>
            <w:pPr>
              <w:jc w:val="right"/>
              <w:ind w:right="411"/>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Catherine Friedman</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9/11/2020</w:t>
            </w: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96,378</w:t>
            </w:r>
          </w:p>
        </w:tc>
        <w:tc>
          <w:tcPr>
            <w:tcW w:w="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vMerge w:val="restart"/>
          </w:tcPr>
          <w:p>
            <w:pPr>
              <w:ind w:left="4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12/3/2020</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18,691</w:t>
            </w:r>
          </w:p>
        </w:tc>
        <w:tc>
          <w:tcPr>
            <w:tcW w:w="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19.00</w:t>
            </w:r>
          </w:p>
        </w:tc>
        <w:tc>
          <w:tcPr>
            <w:tcW w:w="8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12/2/2030</w:t>
            </w:r>
          </w:p>
        </w:tc>
        <w:tc>
          <w:tcPr>
            <w:tcW w:w="0" w:type="dxa"/>
            <w:vAlign w:val="bottom"/>
          </w:tcPr>
          <w:p>
            <w:pPr>
              <w:spacing w:after="0"/>
              <w:rPr>
                <w:sz w:val="1"/>
                <w:szCs w:val="1"/>
                <w:color w:val="auto"/>
              </w:rPr>
            </w:pPr>
          </w:p>
        </w:tc>
      </w:tr>
      <w:tr>
        <w:trPr>
          <w:trHeight w:val="278"/>
        </w:trPr>
        <w:tc>
          <w:tcPr>
            <w:tcW w:w="3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6/17/2021</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tcPr>
          <w:p>
            <w:pPr>
              <w:ind w:left="4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33.74</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6/17/2031</w:t>
            </w:r>
          </w:p>
        </w:tc>
        <w:tc>
          <w:tcPr>
            <w:tcW w:w="0" w:type="dxa"/>
            <w:vAlign w:val="bottom"/>
          </w:tcPr>
          <w:p>
            <w:pPr>
              <w:spacing w:after="0"/>
              <w:rPr>
                <w:sz w:val="1"/>
                <w:szCs w:val="1"/>
                <w:color w:val="auto"/>
              </w:rPr>
            </w:pPr>
          </w:p>
        </w:tc>
      </w:tr>
      <w:tr>
        <w:trPr>
          <w:trHeight w:val="181"/>
        </w:trPr>
        <w:tc>
          <w:tcPr>
            <w:tcW w:w="3360" w:type="dxa"/>
            <w:vAlign w:val="bottom"/>
          </w:tcPr>
          <w:p>
            <w:pPr>
              <w:ind w:left="20"/>
              <w:spacing w:after="0" w:line="182" w:lineRule="exact"/>
              <w:rPr>
                <w:sz w:val="20"/>
                <w:szCs w:val="20"/>
                <w:color w:val="auto"/>
              </w:rPr>
            </w:pPr>
            <w:r>
              <w:rPr>
                <w:rFonts w:ascii="Arial" w:cs="Arial" w:eastAsia="Arial" w:hAnsi="Arial"/>
                <w:sz w:val="18"/>
                <w:szCs w:val="18"/>
                <w:color w:val="auto"/>
              </w:rPr>
              <w:t>David Hallal</w:t>
            </w:r>
          </w:p>
        </w:tc>
        <w:tc>
          <w:tcPr>
            <w:tcW w:w="100" w:type="dxa"/>
            <w:vAlign w:val="bottom"/>
          </w:tcPr>
          <w:p>
            <w:pPr>
              <w:spacing w:after="0"/>
              <w:rPr>
                <w:sz w:val="15"/>
                <w:szCs w:val="15"/>
                <w:color w:val="auto"/>
              </w:rPr>
            </w:pP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2/19/2018</w:t>
            </w:r>
          </w:p>
        </w:tc>
        <w:tc>
          <w:tcPr>
            <w:tcW w:w="9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9,972</w:t>
            </w: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2"/>
        </w:trPr>
        <w:tc>
          <w:tcPr>
            <w:tcW w:w="336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5/18/2018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6,503</w:t>
            </w:r>
          </w:p>
        </w:tc>
        <w:tc>
          <w:tcPr>
            <w:tcW w:w="4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ind w:left="4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1380" w:type="dxa"/>
            <w:vAlign w:val="bottom"/>
            <w:gridSpan w:val="2"/>
          </w:tcPr>
          <w:p>
            <w:pPr>
              <w:jc w:val="right"/>
              <w:spacing w:after="0" w:line="187" w:lineRule="exact"/>
              <w:rPr>
                <w:sz w:val="20"/>
                <w:szCs w:val="20"/>
                <w:color w:val="auto"/>
              </w:rPr>
            </w:pPr>
            <w:r>
              <w:rPr>
                <w:rFonts w:ascii="Arial" w:cs="Arial" w:eastAsia="Arial" w:hAnsi="Arial"/>
                <w:sz w:val="18"/>
                <w:szCs w:val="18"/>
                <w:color w:val="auto"/>
              </w:rPr>
              <w:t>1/28/2020</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line="187"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87" w:lineRule="exact"/>
              <w:rPr>
                <w:sz w:val="20"/>
                <w:szCs w:val="20"/>
                <w:color w:val="auto"/>
              </w:rPr>
            </w:pPr>
            <w:r>
              <w:rPr>
                <w:rFonts w:ascii="Arial" w:cs="Arial" w:eastAsia="Arial" w:hAnsi="Arial"/>
                <w:sz w:val="18"/>
                <w:szCs w:val="18"/>
                <w:color w:val="auto"/>
              </w:rPr>
              <w:t>101,886</w:t>
            </w: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line="187" w:lineRule="exact"/>
              <w:rPr>
                <w:sz w:val="20"/>
                <w:szCs w:val="20"/>
                <w:color w:val="auto"/>
              </w:rPr>
            </w:pPr>
            <w:r>
              <w:rPr>
                <w:rFonts w:ascii="Arial" w:cs="Arial" w:eastAsia="Arial" w:hAnsi="Arial"/>
                <w:sz w:val="18"/>
                <w:szCs w:val="18"/>
                <w:color w:val="auto"/>
              </w:rPr>
              <w:t>2.70</w:t>
            </w:r>
          </w:p>
        </w:tc>
        <w:tc>
          <w:tcPr>
            <w:tcW w:w="80" w:type="dxa"/>
            <w:vAlign w:val="bottom"/>
          </w:tcPr>
          <w:p>
            <w:pPr>
              <w:spacing w:after="0"/>
              <w:rPr>
                <w:sz w:val="16"/>
                <w:szCs w:val="16"/>
                <w:color w:val="auto"/>
              </w:rPr>
            </w:pPr>
          </w:p>
        </w:tc>
        <w:tc>
          <w:tcPr>
            <w:tcW w:w="1320" w:type="dxa"/>
            <w:vAlign w:val="bottom"/>
          </w:tcPr>
          <w:p>
            <w:pPr>
              <w:jc w:val="right"/>
              <w:spacing w:after="0" w:line="187" w:lineRule="exact"/>
              <w:rPr>
                <w:sz w:val="20"/>
                <w:szCs w:val="20"/>
                <w:color w:val="auto"/>
              </w:rPr>
            </w:pPr>
            <w:r>
              <w:rPr>
                <w:rFonts w:ascii="Arial" w:cs="Arial" w:eastAsia="Arial" w:hAnsi="Arial"/>
                <w:sz w:val="18"/>
                <w:szCs w:val="18"/>
                <w:color w:val="auto"/>
              </w:rPr>
              <w:t>1/27/2030</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7/28/2020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51,753</w:t>
            </w:r>
          </w:p>
        </w:tc>
        <w:tc>
          <w:tcPr>
            <w:tcW w:w="420" w:type="dxa"/>
            <w:vAlign w:val="bottom"/>
          </w:tcPr>
          <w:p>
            <w:pPr>
              <w:ind w:left="4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7/27/2030</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9/11/2020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38,422</w:t>
            </w:r>
          </w:p>
        </w:tc>
        <w:tc>
          <w:tcPr>
            <w:tcW w:w="420" w:type="dxa"/>
            <w:vAlign w:val="bottom"/>
          </w:tcPr>
          <w:p>
            <w:pPr>
              <w:ind w:left="40"/>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9/10/2030</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18,691</w:t>
            </w:r>
          </w:p>
        </w:tc>
        <w:tc>
          <w:tcPr>
            <w:tcW w:w="420" w:type="dxa"/>
            <w:vAlign w:val="bottom"/>
          </w:tcPr>
          <w:p>
            <w:pPr>
              <w:ind w:left="4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12/2/2030</w:t>
            </w:r>
          </w:p>
        </w:tc>
        <w:tc>
          <w:tcPr>
            <w:tcW w:w="0" w:type="dxa"/>
            <w:vAlign w:val="bottom"/>
          </w:tcPr>
          <w:p>
            <w:pPr>
              <w:spacing w:after="0"/>
              <w:rPr>
                <w:sz w:val="1"/>
                <w:szCs w:val="1"/>
                <w:color w:val="auto"/>
              </w:rPr>
            </w:pPr>
          </w:p>
        </w:tc>
      </w:tr>
      <w:tr>
        <w:trPr>
          <w:trHeight w:val="278"/>
        </w:trPr>
        <w:tc>
          <w:tcPr>
            <w:tcW w:w="33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6/17/2021</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tcPr>
          <w:p>
            <w:pPr>
              <w:ind w:left="4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33.74</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6/17/2031</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Robert Langer, Sc.D.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2/19/2018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ind w:left="4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5/18/2018</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104,048</w:t>
            </w:r>
          </w:p>
        </w:tc>
        <w:tc>
          <w:tcPr>
            <w:tcW w:w="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0.05</w:t>
            </w:r>
          </w:p>
        </w:tc>
        <w:tc>
          <w:tcPr>
            <w:tcW w:w="8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5/17/2028</w:t>
            </w:r>
          </w:p>
        </w:tc>
        <w:tc>
          <w:tcPr>
            <w:tcW w:w="0" w:type="dxa"/>
            <w:vAlign w:val="bottom"/>
          </w:tcPr>
          <w:p>
            <w:pPr>
              <w:spacing w:after="0"/>
              <w:rPr>
                <w:sz w:val="1"/>
                <w:szCs w:val="1"/>
                <w:color w:val="auto"/>
              </w:rPr>
            </w:pPr>
          </w:p>
        </w:tc>
      </w:tr>
      <w:tr>
        <w:trPr>
          <w:trHeight w:val="48"/>
        </w:trPr>
        <w:tc>
          <w:tcPr>
            <w:tcW w:w="3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101,886</w:t>
            </w:r>
          </w:p>
        </w:tc>
        <w:tc>
          <w:tcPr>
            <w:tcW w:w="420" w:type="dxa"/>
            <w:vAlign w:val="bottom"/>
            <w:vMerge w:val="restart"/>
          </w:tcPr>
          <w:p>
            <w:pPr>
              <w:ind w:left="40"/>
              <w:spacing w:after="0"/>
              <w:rPr>
                <w:sz w:val="20"/>
                <w:szCs w:val="20"/>
                <w:color w:val="auto"/>
              </w:rPr>
            </w:pPr>
            <w:r>
              <w:rPr>
                <w:rFonts w:ascii="Arial" w:cs="Arial" w:eastAsia="Arial" w:hAnsi="Arial"/>
                <w:sz w:val="12"/>
                <w:szCs w:val="12"/>
                <w:color w:val="auto"/>
              </w:rPr>
              <w:t>(6)</w:t>
            </w:r>
          </w:p>
        </w:tc>
        <w:tc>
          <w:tcPr>
            <w:tcW w:w="100" w:type="dxa"/>
            <w:vAlign w:val="bottom"/>
            <w:vMerge w:val="restart"/>
          </w:tcPr>
          <w:p>
            <w:pPr>
              <w:spacing w:after="0"/>
              <w:rPr>
                <w:sz w:val="4"/>
                <w:szCs w:val="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2.70</w:t>
            </w:r>
          </w:p>
        </w:tc>
        <w:tc>
          <w:tcPr>
            <w:tcW w:w="80" w:type="dxa"/>
            <w:vAlign w:val="bottom"/>
            <w:vMerge w:val="restart"/>
          </w:tcPr>
          <w:p>
            <w:pPr>
              <w:spacing w:after="0"/>
              <w:rPr>
                <w:sz w:val="4"/>
                <w:szCs w:val="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1/27/2030</w:t>
            </w:r>
          </w:p>
        </w:tc>
        <w:tc>
          <w:tcPr>
            <w:tcW w:w="0" w:type="dxa"/>
            <w:vAlign w:val="bottom"/>
          </w:tcPr>
          <w:p>
            <w:pPr>
              <w:spacing w:after="0"/>
              <w:rPr>
                <w:sz w:val="1"/>
                <w:szCs w:val="1"/>
                <w:color w:val="auto"/>
              </w:rPr>
            </w:pPr>
          </w:p>
        </w:tc>
      </w:tr>
      <w:tr>
        <w:trPr>
          <w:trHeight w:val="181"/>
        </w:trPr>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1/28/2020</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360" w:type="dxa"/>
            <w:vAlign w:val="bottom"/>
            <w:shd w:val="clear" w:color="auto" w:fill="CCEEFF"/>
          </w:tcPr>
          <w:p>
            <w:pPr>
              <w:spacing w:after="0"/>
              <w:rPr>
                <w:sz w:val="4"/>
                <w:szCs w:val="4"/>
                <w:color w:val="auto"/>
              </w:rPr>
            </w:pPr>
          </w:p>
        </w:tc>
        <w:tc>
          <w:tcPr>
            <w:tcW w:w="100" w:type="dxa"/>
            <w:vAlign w:val="bottom"/>
            <w:vMerge w:val="restart"/>
            <w:shd w:val="clear" w:color="auto" w:fill="CCEEFF"/>
          </w:tcPr>
          <w:p>
            <w:pPr>
              <w:spacing w:after="0"/>
              <w:rPr>
                <w:sz w:val="4"/>
                <w:szCs w:val="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7/28/2020</w:t>
            </w:r>
          </w:p>
        </w:tc>
        <w:tc>
          <w:tcPr>
            <w:tcW w:w="100" w:type="dxa"/>
            <w:vAlign w:val="bottom"/>
          </w:tcPr>
          <w:p>
            <w:pPr>
              <w:spacing w:after="0"/>
              <w:rPr>
                <w:sz w:val="4"/>
                <w:szCs w:val="4"/>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121,562</w:t>
            </w:r>
          </w:p>
        </w:tc>
        <w:tc>
          <w:tcPr>
            <w:tcW w:w="420" w:type="dxa"/>
            <w:vAlign w:val="bottom"/>
            <w:vMerge w:val="restart"/>
          </w:tcPr>
          <w:p>
            <w:pPr>
              <w:ind w:left="40"/>
              <w:spacing w:after="0"/>
              <w:rPr>
                <w:sz w:val="20"/>
                <w:szCs w:val="20"/>
                <w:color w:val="auto"/>
              </w:rPr>
            </w:pPr>
            <w:r>
              <w:rPr>
                <w:rFonts w:ascii="Arial" w:cs="Arial" w:eastAsia="Arial" w:hAnsi="Arial"/>
                <w:sz w:val="12"/>
                <w:szCs w:val="12"/>
                <w:color w:val="auto"/>
              </w:rPr>
              <w:t>(7)</w:t>
            </w:r>
          </w:p>
        </w:tc>
        <w:tc>
          <w:tcPr>
            <w:tcW w:w="100" w:type="dxa"/>
            <w:vAlign w:val="bottom"/>
            <w:vMerge w:val="restart"/>
          </w:tcPr>
          <w:p>
            <w:pPr>
              <w:spacing w:after="0"/>
              <w:rPr>
                <w:sz w:val="4"/>
                <w:szCs w:val="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3.47</w:t>
            </w:r>
          </w:p>
        </w:tc>
        <w:tc>
          <w:tcPr>
            <w:tcW w:w="80" w:type="dxa"/>
            <w:vAlign w:val="bottom"/>
            <w:vMerge w:val="restart"/>
          </w:tcPr>
          <w:p>
            <w:pPr>
              <w:spacing w:after="0"/>
              <w:rPr>
                <w:sz w:val="4"/>
                <w:szCs w:val="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7/27/2030</w:t>
            </w:r>
          </w:p>
        </w:tc>
        <w:tc>
          <w:tcPr>
            <w:tcW w:w="0" w:type="dxa"/>
            <w:vAlign w:val="bottom"/>
          </w:tcPr>
          <w:p>
            <w:pPr>
              <w:spacing w:after="0"/>
              <w:rPr>
                <w:sz w:val="1"/>
                <w:szCs w:val="1"/>
                <w:color w:val="auto"/>
              </w:rPr>
            </w:pPr>
          </w:p>
        </w:tc>
      </w:tr>
      <w:tr>
        <w:trPr>
          <w:trHeight w:val="181"/>
        </w:trPr>
        <w:tc>
          <w:tcPr>
            <w:tcW w:w="336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360" w:type="dxa"/>
            <w:vAlign w:val="bottom"/>
            <w:shd w:val="clear" w:color="auto" w:fill="CCEEFF"/>
          </w:tcPr>
          <w:p>
            <w:pPr>
              <w:spacing w:after="0"/>
              <w:rPr>
                <w:sz w:val="4"/>
                <w:szCs w:val="4"/>
                <w:color w:val="auto"/>
              </w:rPr>
            </w:pPr>
          </w:p>
        </w:tc>
        <w:tc>
          <w:tcPr>
            <w:tcW w:w="100" w:type="dxa"/>
            <w:vAlign w:val="bottom"/>
            <w:vMerge w:val="restart"/>
            <w:shd w:val="clear" w:color="auto" w:fill="CCEEFF"/>
          </w:tcPr>
          <w:p>
            <w:pPr>
              <w:spacing w:after="0"/>
              <w:rPr>
                <w:sz w:val="4"/>
                <w:szCs w:val="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shd w:val="clear" w:color="auto" w:fill="CCEEFF"/>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18,691</w:t>
            </w:r>
          </w:p>
        </w:tc>
        <w:tc>
          <w:tcPr>
            <w:tcW w:w="420" w:type="dxa"/>
            <w:vAlign w:val="bottom"/>
            <w:vMerge w:val="restart"/>
          </w:tcPr>
          <w:p>
            <w:pPr>
              <w:ind w:left="40"/>
              <w:spacing w:after="0"/>
              <w:rPr>
                <w:sz w:val="20"/>
                <w:szCs w:val="20"/>
                <w:color w:val="auto"/>
              </w:rPr>
            </w:pPr>
            <w:r>
              <w:rPr>
                <w:rFonts w:ascii="Arial" w:cs="Arial" w:eastAsia="Arial" w:hAnsi="Arial"/>
                <w:sz w:val="12"/>
                <w:szCs w:val="12"/>
                <w:color w:val="auto"/>
              </w:rPr>
              <w:t>(3)</w:t>
            </w:r>
          </w:p>
        </w:tc>
        <w:tc>
          <w:tcPr>
            <w:tcW w:w="100" w:type="dxa"/>
            <w:vAlign w:val="bottom"/>
            <w:vMerge w:val="restart"/>
          </w:tcPr>
          <w:p>
            <w:pPr>
              <w:spacing w:after="0"/>
              <w:rPr>
                <w:sz w:val="4"/>
                <w:szCs w:val="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19.00</w:t>
            </w:r>
          </w:p>
        </w:tc>
        <w:tc>
          <w:tcPr>
            <w:tcW w:w="80" w:type="dxa"/>
            <w:vAlign w:val="bottom"/>
            <w:vMerge w:val="restart"/>
          </w:tcPr>
          <w:p>
            <w:pPr>
              <w:spacing w:after="0"/>
              <w:rPr>
                <w:sz w:val="4"/>
                <w:szCs w:val="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12/2/2030</w:t>
            </w:r>
          </w:p>
        </w:tc>
        <w:tc>
          <w:tcPr>
            <w:tcW w:w="0" w:type="dxa"/>
            <w:vAlign w:val="bottom"/>
          </w:tcPr>
          <w:p>
            <w:pPr>
              <w:spacing w:after="0"/>
              <w:rPr>
                <w:sz w:val="1"/>
                <w:szCs w:val="1"/>
                <w:color w:val="auto"/>
              </w:rPr>
            </w:pPr>
          </w:p>
        </w:tc>
      </w:tr>
      <w:tr>
        <w:trPr>
          <w:trHeight w:val="181"/>
        </w:trPr>
        <w:tc>
          <w:tcPr>
            <w:tcW w:w="336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6/17/2021</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60" w:type="dxa"/>
            <w:vAlign w:val="bottom"/>
            <w:vMerge w:val="restart"/>
          </w:tcPr>
          <w:p>
            <w:pPr>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tcPr>
          <w:p>
            <w:pPr>
              <w:ind w:left="4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33.74</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6/17/2031</w:t>
            </w:r>
          </w:p>
        </w:tc>
        <w:tc>
          <w:tcPr>
            <w:tcW w:w="0" w:type="dxa"/>
            <w:vAlign w:val="bottom"/>
          </w:tcPr>
          <w:p>
            <w:pPr>
              <w:spacing w:after="0"/>
              <w:rPr>
                <w:sz w:val="1"/>
                <w:szCs w:val="1"/>
                <w:color w:val="auto"/>
              </w:rPr>
            </w:pPr>
          </w:p>
        </w:tc>
      </w:tr>
      <w:tr>
        <w:trPr>
          <w:trHeight w:val="181"/>
        </w:trPr>
        <w:tc>
          <w:tcPr>
            <w:tcW w:w="3360" w:type="dxa"/>
            <w:vAlign w:val="bottom"/>
          </w:tcPr>
          <w:p>
            <w:pPr>
              <w:ind w:left="20"/>
              <w:spacing w:after="0" w:line="182" w:lineRule="exact"/>
              <w:rPr>
                <w:sz w:val="20"/>
                <w:szCs w:val="20"/>
                <w:color w:val="auto"/>
              </w:rPr>
            </w:pPr>
            <w:r>
              <w:rPr>
                <w:rFonts w:ascii="Arial" w:cs="Arial" w:eastAsia="Arial" w:hAnsi="Arial"/>
                <w:sz w:val="18"/>
                <w:szCs w:val="18"/>
                <w:color w:val="auto"/>
              </w:rPr>
              <w:t>Terrance McGuire</w:t>
            </w:r>
          </w:p>
        </w:tc>
        <w:tc>
          <w:tcPr>
            <w:tcW w:w="100" w:type="dxa"/>
            <w:vAlign w:val="bottom"/>
          </w:tcPr>
          <w:p>
            <w:pPr>
              <w:spacing w:after="0"/>
              <w:rPr>
                <w:sz w:val="15"/>
                <w:szCs w:val="15"/>
                <w:color w:val="auto"/>
              </w:rPr>
            </w:pP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11/15/2017</w:t>
            </w:r>
          </w:p>
        </w:tc>
        <w:tc>
          <w:tcPr>
            <w:tcW w:w="10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2,456</w:t>
            </w: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2"/>
        </w:trPr>
        <w:tc>
          <w:tcPr>
            <w:tcW w:w="336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2/19/2018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4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ind w:left="40"/>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1380" w:type="dxa"/>
            <w:vAlign w:val="bottom"/>
            <w:gridSpan w:val="2"/>
          </w:tcPr>
          <w:p>
            <w:pPr>
              <w:jc w:val="right"/>
              <w:spacing w:after="0" w:line="187" w:lineRule="exact"/>
              <w:rPr>
                <w:sz w:val="20"/>
                <w:szCs w:val="20"/>
                <w:color w:val="auto"/>
              </w:rPr>
            </w:pPr>
            <w:r>
              <w:rPr>
                <w:rFonts w:ascii="Arial" w:cs="Arial" w:eastAsia="Arial" w:hAnsi="Arial"/>
                <w:sz w:val="18"/>
                <w:szCs w:val="18"/>
                <w:color w:val="auto"/>
              </w:rPr>
              <w:t>5/18/2018</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line="187"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87" w:lineRule="exact"/>
              <w:rPr>
                <w:sz w:val="20"/>
                <w:szCs w:val="20"/>
                <w:color w:val="auto"/>
              </w:rPr>
            </w:pPr>
            <w:r>
              <w:rPr>
                <w:rFonts w:ascii="Arial" w:cs="Arial" w:eastAsia="Arial" w:hAnsi="Arial"/>
                <w:sz w:val="18"/>
                <w:szCs w:val="18"/>
                <w:color w:val="auto"/>
              </w:rPr>
              <w:t>104,048</w:t>
            </w: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line="187" w:lineRule="exact"/>
              <w:rPr>
                <w:sz w:val="20"/>
                <w:szCs w:val="20"/>
                <w:color w:val="auto"/>
              </w:rPr>
            </w:pPr>
            <w:r>
              <w:rPr>
                <w:rFonts w:ascii="Arial" w:cs="Arial" w:eastAsia="Arial" w:hAnsi="Arial"/>
                <w:sz w:val="18"/>
                <w:szCs w:val="18"/>
                <w:color w:val="auto"/>
              </w:rPr>
              <w:t>0.05</w:t>
            </w:r>
          </w:p>
        </w:tc>
        <w:tc>
          <w:tcPr>
            <w:tcW w:w="80" w:type="dxa"/>
            <w:vAlign w:val="bottom"/>
          </w:tcPr>
          <w:p>
            <w:pPr>
              <w:spacing w:after="0"/>
              <w:rPr>
                <w:sz w:val="16"/>
                <w:szCs w:val="16"/>
                <w:color w:val="auto"/>
              </w:rPr>
            </w:pPr>
          </w:p>
        </w:tc>
        <w:tc>
          <w:tcPr>
            <w:tcW w:w="1320" w:type="dxa"/>
            <w:vAlign w:val="bottom"/>
          </w:tcPr>
          <w:p>
            <w:pPr>
              <w:jc w:val="right"/>
              <w:spacing w:after="0" w:line="187" w:lineRule="exact"/>
              <w:rPr>
                <w:sz w:val="20"/>
                <w:szCs w:val="20"/>
                <w:color w:val="auto"/>
              </w:rPr>
            </w:pPr>
            <w:r>
              <w:rPr>
                <w:rFonts w:ascii="Arial" w:cs="Arial" w:eastAsia="Arial" w:hAnsi="Arial"/>
                <w:sz w:val="18"/>
                <w:szCs w:val="18"/>
                <w:color w:val="auto"/>
              </w:rPr>
              <w:t>5/17/2028</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1/28/2020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101,886</w:t>
            </w:r>
          </w:p>
        </w:tc>
        <w:tc>
          <w:tcPr>
            <w:tcW w:w="420" w:type="dxa"/>
            <w:vAlign w:val="bottom"/>
          </w:tcPr>
          <w:p>
            <w:pPr>
              <w:ind w:left="4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1/27/2030</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7/28/2020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58,415</w:t>
            </w:r>
          </w:p>
        </w:tc>
        <w:tc>
          <w:tcPr>
            <w:tcW w:w="420" w:type="dxa"/>
            <w:vAlign w:val="bottom"/>
          </w:tcPr>
          <w:p>
            <w:pPr>
              <w:ind w:left="4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7/27/2030</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18,691</w:t>
            </w:r>
          </w:p>
        </w:tc>
        <w:tc>
          <w:tcPr>
            <w:tcW w:w="420" w:type="dxa"/>
            <w:vAlign w:val="bottom"/>
          </w:tcPr>
          <w:p>
            <w:pPr>
              <w:ind w:left="4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12/2/2030</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6/17/2021</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tcPr>
          <w:p>
            <w:pPr>
              <w:ind w:left="4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33.74</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6/17/2031</w:t>
            </w:r>
          </w:p>
        </w:tc>
        <w:tc>
          <w:tcPr>
            <w:tcW w:w="0" w:type="dxa"/>
            <w:vAlign w:val="bottom"/>
          </w:tcPr>
          <w:p>
            <w:pPr>
              <w:spacing w:after="0"/>
              <w:rPr>
                <w:sz w:val="1"/>
                <w:szCs w:val="1"/>
                <w:color w:val="auto"/>
              </w:rPr>
            </w:pPr>
          </w:p>
        </w:tc>
      </w:tr>
      <w:tr>
        <w:trPr>
          <w:trHeight w:val="278"/>
        </w:trPr>
        <w:tc>
          <w:tcPr>
            <w:tcW w:w="3360" w:type="dxa"/>
            <w:vAlign w:val="bottom"/>
          </w:tcPr>
          <w:p>
            <w:pPr>
              <w:ind w:left="20"/>
              <w:spacing w:after="0"/>
              <w:rPr>
                <w:sz w:val="20"/>
                <w:szCs w:val="20"/>
                <w:color w:val="auto"/>
              </w:rPr>
            </w:pPr>
            <w:r>
              <w:rPr>
                <w:rFonts w:ascii="Arial" w:cs="Arial" w:eastAsia="Arial" w:hAnsi="Arial"/>
                <w:sz w:val="18"/>
                <w:szCs w:val="18"/>
                <w:color w:val="auto"/>
              </w:rPr>
              <w:t>David Singer</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11,423</w:t>
            </w:r>
          </w:p>
        </w:tc>
        <w:tc>
          <w:tcPr>
            <w:tcW w:w="420" w:type="dxa"/>
            <w:vAlign w:val="bottom"/>
          </w:tcPr>
          <w:p>
            <w:pPr>
              <w:ind w:left="4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3360" w:type="dxa"/>
            <w:vAlign w:val="bottom"/>
          </w:tcPr>
          <w:p>
            <w:pPr>
              <w:ind w:left="20"/>
              <w:spacing w:after="0" w:line="182" w:lineRule="exact"/>
              <w:rPr>
                <w:sz w:val="20"/>
                <w:szCs w:val="20"/>
                <w:color w:val="auto"/>
              </w:rPr>
            </w:pPr>
            <w:r>
              <w:rPr>
                <w:rFonts w:ascii="Arial" w:cs="Arial" w:eastAsia="Arial" w:hAnsi="Arial"/>
                <w:sz w:val="17"/>
                <w:szCs w:val="17"/>
                <w:color w:val="auto"/>
              </w:rPr>
              <w:t>Mostafa Ronaghi, Ph.D.</w:t>
            </w:r>
            <w:r>
              <w:rPr>
                <w:rFonts w:ascii="Arial" w:cs="Arial" w:eastAsia="Arial" w:hAnsi="Arial"/>
                <w:sz w:val="21"/>
                <w:szCs w:val="21"/>
                <w:color w:val="auto"/>
                <w:vertAlign w:val="superscript"/>
              </w:rPr>
              <w:t>(15)</w:t>
            </w:r>
          </w:p>
        </w:tc>
        <w:tc>
          <w:tcPr>
            <w:tcW w:w="1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5/18/2018</w:t>
            </w:r>
          </w:p>
        </w:tc>
        <w:tc>
          <w:tcPr>
            <w:tcW w:w="9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2,556</w:t>
            </w: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2"/>
        </w:trPr>
        <w:tc>
          <w:tcPr>
            <w:tcW w:w="336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1/28/2020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29,108</w:t>
            </w:r>
          </w:p>
        </w:tc>
        <w:tc>
          <w:tcPr>
            <w:tcW w:w="4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ind w:left="40"/>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1380" w:type="dxa"/>
            <w:vAlign w:val="bottom"/>
            <w:gridSpan w:val="2"/>
          </w:tcPr>
          <w:p>
            <w:pPr>
              <w:jc w:val="right"/>
              <w:spacing w:after="0" w:line="187" w:lineRule="exact"/>
              <w:rPr>
                <w:sz w:val="20"/>
                <w:szCs w:val="20"/>
                <w:color w:val="auto"/>
              </w:rPr>
            </w:pPr>
            <w:r>
              <w:rPr>
                <w:rFonts w:ascii="Arial" w:cs="Arial" w:eastAsia="Arial" w:hAnsi="Arial"/>
                <w:sz w:val="18"/>
                <w:szCs w:val="18"/>
                <w:color w:val="auto"/>
              </w:rPr>
              <w:t>2/16/2021</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line="187"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87" w:lineRule="exact"/>
              <w:rPr>
                <w:sz w:val="20"/>
                <w:szCs w:val="20"/>
                <w:color w:val="auto"/>
              </w:rPr>
            </w:pPr>
            <w:r>
              <w:rPr>
                <w:rFonts w:ascii="Arial" w:cs="Arial" w:eastAsia="Arial" w:hAnsi="Arial"/>
                <w:sz w:val="18"/>
                <w:szCs w:val="18"/>
                <w:color w:val="auto"/>
              </w:rPr>
              <w:t>27,939</w:t>
            </w: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line="187" w:lineRule="exact"/>
              <w:rPr>
                <w:sz w:val="20"/>
                <w:szCs w:val="20"/>
                <w:color w:val="auto"/>
              </w:rPr>
            </w:pPr>
            <w:r>
              <w:rPr>
                <w:rFonts w:ascii="Arial" w:cs="Arial" w:eastAsia="Arial" w:hAnsi="Arial"/>
                <w:sz w:val="18"/>
                <w:szCs w:val="18"/>
                <w:color w:val="auto"/>
              </w:rPr>
              <w:t>64.48</w:t>
            </w:r>
          </w:p>
        </w:tc>
        <w:tc>
          <w:tcPr>
            <w:tcW w:w="80" w:type="dxa"/>
            <w:vAlign w:val="bottom"/>
          </w:tcPr>
          <w:p>
            <w:pPr>
              <w:spacing w:after="0"/>
              <w:rPr>
                <w:sz w:val="16"/>
                <w:szCs w:val="16"/>
                <w:color w:val="auto"/>
              </w:rPr>
            </w:pPr>
          </w:p>
        </w:tc>
        <w:tc>
          <w:tcPr>
            <w:tcW w:w="1320" w:type="dxa"/>
            <w:vAlign w:val="bottom"/>
          </w:tcPr>
          <w:p>
            <w:pPr>
              <w:jc w:val="right"/>
              <w:spacing w:after="0" w:line="187" w:lineRule="exact"/>
              <w:rPr>
                <w:sz w:val="20"/>
                <w:szCs w:val="20"/>
                <w:color w:val="auto"/>
              </w:rPr>
            </w:pPr>
            <w:r>
              <w:rPr>
                <w:rFonts w:ascii="Arial" w:cs="Arial" w:eastAsia="Arial" w:hAnsi="Arial"/>
                <w:sz w:val="18"/>
                <w:szCs w:val="18"/>
                <w:color w:val="auto"/>
              </w:rPr>
              <w:t>2/16/2031</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line="230" w:lineRule="exact"/>
              <w:rPr>
                <w:sz w:val="20"/>
                <w:szCs w:val="20"/>
                <w:color w:val="auto"/>
              </w:rPr>
            </w:pPr>
            <w:r>
              <w:rPr>
                <w:rFonts w:ascii="Arial" w:cs="Arial" w:eastAsia="Arial" w:hAnsi="Arial"/>
                <w:sz w:val="18"/>
                <w:szCs w:val="18"/>
                <w:color w:val="auto"/>
              </w:rPr>
              <w:t>Rachel Haurwitz, Ph.D.</w:t>
            </w:r>
            <w:r>
              <w:rPr>
                <w:rFonts w:ascii="Arial" w:cs="Arial" w:eastAsia="Arial" w:hAnsi="Arial"/>
                <w:sz w:val="23"/>
                <w:szCs w:val="23"/>
                <w:color w:val="auto"/>
                <w:vertAlign w:val="superscript"/>
              </w:rPr>
              <w:t>(19)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11/9/2021</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w:t>
            </w:r>
          </w:p>
        </w:tc>
        <w:tc>
          <w:tcPr>
            <w:tcW w:w="420" w:type="dxa"/>
            <w:vAlign w:val="bottom"/>
          </w:tcPr>
          <w:p>
            <w:pPr>
              <w:ind w:left="4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35.25</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11/9/2031</w:t>
            </w:r>
          </w:p>
        </w:tc>
        <w:tc>
          <w:tcPr>
            <w:tcW w:w="0" w:type="dxa"/>
            <w:vAlign w:val="bottom"/>
          </w:tcPr>
          <w:p>
            <w:pPr>
              <w:spacing w:after="0"/>
              <w:rPr>
                <w:sz w:val="1"/>
                <w:szCs w:val="1"/>
                <w:color w:val="auto"/>
              </w:rPr>
            </w:pPr>
          </w:p>
        </w:tc>
      </w:tr>
      <w:tr>
        <w:trPr>
          <w:trHeight w:val="365"/>
        </w:trPr>
        <w:tc>
          <w:tcPr>
            <w:tcW w:w="3360" w:type="dxa"/>
            <w:vAlign w:val="bottom"/>
          </w:tcPr>
          <w:p>
            <w:pPr>
              <w:ind w:left="20"/>
              <w:spacing w:after="0"/>
              <w:rPr>
                <w:sz w:val="20"/>
                <w:szCs w:val="20"/>
                <w:color w:val="auto"/>
              </w:rPr>
            </w:pPr>
            <w:r>
              <w:rPr>
                <w:rFonts w:ascii="Arial" w:cs="Arial" w:eastAsia="Arial" w:hAnsi="Arial"/>
                <w:sz w:val="18"/>
                <w:szCs w:val="18"/>
                <w:color w:val="auto"/>
              </w:rPr>
              <w:t>Meeta Gulyani</w:t>
            </w:r>
            <w:r>
              <w:rPr>
                <w:rFonts w:ascii="Arial" w:cs="Arial" w:eastAsia="Arial" w:hAnsi="Arial"/>
                <w:sz w:val="23"/>
                <w:szCs w:val="23"/>
                <w:color w:val="auto"/>
                <w:vertAlign w:val="superscript"/>
              </w:rPr>
              <w:t>(19)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11/29/2021</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w:t>
            </w:r>
          </w:p>
        </w:tc>
        <w:tc>
          <w:tcPr>
            <w:tcW w:w="420" w:type="dxa"/>
            <w:vAlign w:val="bottom"/>
          </w:tcPr>
          <w:p>
            <w:pPr>
              <w:ind w:left="4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21.52</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11/29/2031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-4289425</wp:posOffset>
            </wp:positionV>
            <wp:extent cx="650621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621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-2823210</wp:posOffset>
            </wp:positionV>
            <wp:extent cx="6506210" cy="874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6210" cy="8743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-929005</wp:posOffset>
            </wp:positionV>
            <wp:extent cx="650621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621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650621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6210" cy="14605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30" w:lineRule="exact"/>
        <w:rPr>
          <w:sz w:val="20"/>
          <w:szCs w:val="20"/>
          <w:color w:val="auto"/>
        </w:rPr>
      </w:pPr>
    </w:p>
    <w:p>
      <w:pPr>
        <w:ind w:left="660" w:hanging="652"/>
        <w:spacing w:after="0" w:line="252"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shares were acquired pursuant to an early option exercise and vest in 45 equal monthly installments beginning on January 15, 2021, subject to continued service to the Company.</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Shares subject to the option vest in 6 equal monthly installments beginning on January 3, 2021, subject to continued service to the Company.</w:t>
      </w:r>
    </w:p>
    <w:p>
      <w:pPr>
        <w:spacing w:after="0" w:line="8" w:lineRule="exact"/>
        <w:rPr>
          <w:rFonts w:ascii="Arial" w:cs="Arial" w:eastAsia="Arial" w:hAnsi="Arial"/>
          <w:sz w:val="16"/>
          <w:szCs w:val="16"/>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Shares subject to the option vest in full on June 15, 2022.</w:t>
      </w:r>
    </w:p>
    <w:p>
      <w:pPr>
        <w:spacing w:after="0" w:line="5" w:lineRule="exact"/>
        <w:rPr>
          <w:rFonts w:ascii="Arial" w:cs="Arial" w:eastAsia="Arial" w:hAnsi="Arial"/>
          <w:sz w:val="16"/>
          <w:szCs w:val="16"/>
          <w:color w:val="auto"/>
        </w:rPr>
      </w:pPr>
    </w:p>
    <w:p>
      <w:pPr>
        <w:ind w:left="660" w:hanging="652"/>
        <w:spacing w:after="0" w:line="255"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shares were acquired pursuant to a restricted stock award and vest in 15 equal monthly installments beginning on January 23, 2021, subject to continued service to the Company.</w:t>
      </w:r>
    </w:p>
    <w:p>
      <w:pPr>
        <w:ind w:left="660" w:hanging="652"/>
        <w:spacing w:after="0" w:line="255"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shares were acquired pursuant to an early option exercise and vest in 15 equal monthly installments beginning on January 23, 2021, subject to continued service to the Company.</w:t>
      </w: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Shares subject to the option vest in 48 equal monthly installments beginning on February 28, 2020, subject to continued service to the Company.</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935" w:right="379" w:bottom="1440" w:gutter="0" w:footer="0" w:header="0"/>
        </w:sectPr>
      </w:pPr>
    </w:p>
    <w:bookmarkStart w:id="26" w:name="page27"/>
    <w:bookmarkEnd w:id="26"/>
    <w:p>
      <w:pPr>
        <w:ind w:left="652" w:hanging="652"/>
        <w:spacing w:after="0"/>
        <w:tabs>
          <w:tab w:leader="none" w:pos="6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Shares subject to the option vest in 48 equal monthly installments beginning on August 28, 2020, subject to continued service to the Company.</w:t>
      </w:r>
    </w:p>
    <w:p>
      <w:pPr>
        <w:spacing w:after="0" w:line="21" w:lineRule="exact"/>
        <w:rPr>
          <w:rFonts w:ascii="Arial" w:cs="Arial" w:eastAsia="Arial" w:hAnsi="Arial"/>
          <w:sz w:val="16"/>
          <w:szCs w:val="16"/>
          <w:color w:val="auto"/>
        </w:rPr>
      </w:pPr>
    </w:p>
    <w:p>
      <w:pPr>
        <w:ind w:left="652" w:hanging="652"/>
        <w:spacing w:after="0"/>
        <w:tabs>
          <w:tab w:leader="none" w:pos="6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Shares subject to the option vest in 48 equal monthly installments beginning on October 11, 2020, subject to continued service to the Company.</w:t>
      </w:r>
    </w:p>
    <w:p>
      <w:pPr>
        <w:spacing w:after="0" w:line="14" w:lineRule="exact"/>
        <w:rPr>
          <w:rFonts w:ascii="Arial" w:cs="Arial" w:eastAsia="Arial" w:hAnsi="Arial"/>
          <w:sz w:val="16"/>
          <w:szCs w:val="16"/>
          <w:color w:val="auto"/>
        </w:rPr>
      </w:pPr>
    </w:p>
    <w:p>
      <w:pPr>
        <w:ind w:left="652" w:hanging="652"/>
        <w:spacing w:after="0" w:line="255" w:lineRule="auto"/>
        <w:tabs>
          <w:tab w:leader="none" w:pos="64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shares were acquired pursuant to a restricted stock award and vest in 13 equal monthly installments beginning on January 31, 2021, subject to continued service to the Company.</w:t>
      </w:r>
    </w:p>
    <w:p>
      <w:pPr>
        <w:ind w:left="652" w:right="200" w:hanging="652"/>
        <w:spacing w:after="0" w:line="249" w:lineRule="auto"/>
        <w:tabs>
          <w:tab w:leader="none" w:pos="6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vested on March 23, 2019, and 1/48th of the shares vest monthly thereafter, subject to continued service to the Company.</w:t>
      </w:r>
    </w:p>
    <w:p>
      <w:pPr>
        <w:ind w:left="652" w:right="200" w:hanging="652"/>
        <w:spacing w:after="0" w:line="256" w:lineRule="auto"/>
        <w:tabs>
          <w:tab w:leader="none" w:pos="63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shares are held of record by Strong Bridge LLC (Strong Bridge) for which Mr. McGuire serves as an operating manager. The shares were acquired pursuant to a restricted stock award and vest in 13 equal monthly installments beginning on January 31, 2021, subject to Mr. McGuire’s continued service to the Company.</w:t>
      </w:r>
    </w:p>
    <w:p>
      <w:pPr>
        <w:spacing w:after="0" w:line="1" w:lineRule="exact"/>
        <w:rPr>
          <w:rFonts w:ascii="Arial" w:cs="Arial" w:eastAsia="Arial" w:hAnsi="Arial"/>
          <w:sz w:val="16"/>
          <w:szCs w:val="16"/>
          <w:color w:val="auto"/>
        </w:rPr>
      </w:pPr>
    </w:p>
    <w:p>
      <w:pPr>
        <w:ind w:left="652" w:right="280" w:hanging="652"/>
        <w:spacing w:after="0" w:line="249" w:lineRule="auto"/>
        <w:tabs>
          <w:tab w:leader="none" w:pos="6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shares are held of record by Strong Bridge. The shares were acquired pursuant to an early exercise provision and vest in 13 equal monthly installments beginning on January 31, 2021, subject to Mr. McGuire’s continued service to the Company.</w:t>
      </w:r>
    </w:p>
    <w:p>
      <w:pPr>
        <w:ind w:left="652" w:right="100" w:hanging="652"/>
        <w:spacing w:after="0" w:line="252" w:lineRule="auto"/>
        <w:tabs>
          <w:tab w:leader="none" w:pos="6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option is held of record by Strong Bridge. The shares underlying the option are subject to an early exercise provision and are immediately exercisable. One-fourth of the shares underlying the option vested on March 23, 2019, and 1/48th of the shares vest monthly thereafter, subject to Mr. McGuire’s continued service to the Company.</w:t>
      </w:r>
    </w:p>
    <w:p>
      <w:pPr>
        <w:ind w:left="632" w:hanging="632"/>
        <w:spacing w:after="0"/>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shares underlying the option are fully vested. Mr. Singer is a former member of our board, who served until November 2021.</w:t>
      </w:r>
    </w:p>
    <w:p>
      <w:pPr>
        <w:spacing w:after="0" w:line="14" w:lineRule="exact"/>
        <w:rPr>
          <w:rFonts w:ascii="Arial" w:cs="Arial" w:eastAsia="Arial" w:hAnsi="Arial"/>
          <w:sz w:val="16"/>
          <w:szCs w:val="16"/>
          <w:color w:val="auto"/>
        </w:rPr>
      </w:pPr>
    </w:p>
    <w:p>
      <w:pPr>
        <w:ind w:left="632" w:hanging="632"/>
        <w:spacing w:after="0"/>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Dr. Ronaghi joined our board of directors in February 2021.</w:t>
      </w:r>
    </w:p>
    <w:p>
      <w:pPr>
        <w:spacing w:after="0" w:line="8" w:lineRule="exact"/>
        <w:rPr>
          <w:rFonts w:ascii="Arial" w:cs="Arial" w:eastAsia="Arial" w:hAnsi="Arial"/>
          <w:sz w:val="16"/>
          <w:szCs w:val="16"/>
          <w:color w:val="auto"/>
        </w:rPr>
      </w:pPr>
    </w:p>
    <w:p>
      <w:pPr>
        <w:ind w:left="652" w:right="180" w:hanging="652"/>
        <w:spacing w:after="0" w:line="255" w:lineRule="auto"/>
        <w:tabs>
          <w:tab w:leader="none" w:pos="6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shares were acquired pursuant to an early option exercise and vest in 3 equal monthly installments beginning on January 5, 2022, subject to continued service to the Company.</w:t>
      </w:r>
    </w:p>
    <w:p>
      <w:pPr>
        <w:ind w:left="652" w:right="100" w:hanging="652"/>
        <w:spacing w:after="0" w:line="252" w:lineRule="auto"/>
        <w:tabs>
          <w:tab w:leader="none" w:pos="6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shares were acquired pursuant to an early option exercise and vest in 23 equal monthly installments beginning on January 9, 2022, subject to continued service to the Company.</w:t>
      </w:r>
    </w:p>
    <w:p>
      <w:pPr>
        <w:spacing w:after="0" w:line="1" w:lineRule="exact"/>
        <w:rPr>
          <w:rFonts w:ascii="Arial" w:cs="Arial" w:eastAsia="Arial" w:hAnsi="Arial"/>
          <w:sz w:val="16"/>
          <w:szCs w:val="16"/>
          <w:color w:val="auto"/>
        </w:rPr>
      </w:pPr>
    </w:p>
    <w:p>
      <w:pPr>
        <w:ind w:left="632" w:hanging="632"/>
        <w:spacing w:after="0"/>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Shares subject to the option vest in 36 equal monthly installments beginning on March 16, 2021, subject to continued service to the Company.</w:t>
      </w:r>
    </w:p>
    <w:p>
      <w:pPr>
        <w:spacing w:after="0" w:line="8" w:lineRule="exact"/>
        <w:rPr>
          <w:rFonts w:ascii="Arial" w:cs="Arial" w:eastAsia="Arial" w:hAnsi="Arial"/>
          <w:sz w:val="16"/>
          <w:szCs w:val="16"/>
          <w:color w:val="auto"/>
        </w:rPr>
      </w:pPr>
    </w:p>
    <w:p>
      <w:pPr>
        <w:ind w:left="632" w:hanging="632"/>
        <w:spacing w:after="0"/>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Dr. Haurwitz and Ms. Gulyani joined our board of directors in November 2021.</w:t>
      </w:r>
    </w:p>
    <w:p>
      <w:pPr>
        <w:spacing w:after="0" w:line="14" w:lineRule="exact"/>
        <w:rPr>
          <w:rFonts w:ascii="Arial" w:cs="Arial" w:eastAsia="Arial" w:hAnsi="Arial"/>
          <w:sz w:val="16"/>
          <w:szCs w:val="16"/>
          <w:color w:val="auto"/>
        </w:rPr>
      </w:pPr>
    </w:p>
    <w:p>
      <w:pPr>
        <w:ind w:left="632" w:hanging="632"/>
        <w:spacing w:after="0"/>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Shares subject to the option vest in 36 equal monthly installments beginning on December 9, 2021, subject to continued service to the Company.</w:t>
      </w:r>
    </w:p>
    <w:p>
      <w:pPr>
        <w:spacing w:after="0" w:line="8" w:lineRule="exact"/>
        <w:rPr>
          <w:rFonts w:ascii="Arial" w:cs="Arial" w:eastAsia="Arial" w:hAnsi="Arial"/>
          <w:sz w:val="16"/>
          <w:szCs w:val="16"/>
          <w:color w:val="auto"/>
        </w:rPr>
      </w:pPr>
    </w:p>
    <w:p>
      <w:pPr>
        <w:ind w:left="632" w:hanging="632"/>
        <w:spacing w:after="0"/>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Shares subject to the option vest in 36 equal monthly installments beginning on December 29, 2021, subject to continued service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92"/>
          </w:cols>
          <w:pgMar w:left="328" w:top="935" w:right="37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board of directors is currently composed of ten members. In accordance with our amended and restated certificate of incorporation, our board of directors is divided into three classes with staggered three-year terms. At the Annual Meeting, three Class II directors will be elected for a three-year term to succeed the same class whose term is then expiring.</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Each director’s term continues until the election and qualification of such director’s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Our corporate governance and nominating committee has recommended, and our board of directors has approved, Robert Langer Sc.D., Rachel Haurwitz Ph.D., and Dipchand (Deep) Nishar, as nominees for election as Class II directors at the Annual Meeting. If elected, each of Dr. Langer, Dr. Haurwitz and Mr. Nishar will serve as a Class II director until the 2025 annual meeting of stockholders or until his or her successor is duly elected and qualified. Dr. Langer, Dr. Haurwitz and Mr. Nishar are currently directors of our company, and each has agreed to being named in this proxy statement as a nominee. For information concerning the nominees, please see the section titled “Board of Directors and Corporate Governance.”</w:t>
      </w:r>
    </w:p>
    <w:p>
      <w:pPr>
        <w:spacing w:after="0" w:line="17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If you are a stockholder of record and you sign your proxy card or vote over the Internet or by telephone but do not give instructions with respect to the voting of directors, your shares will be voted FOR the election of Dr. Langer, Dr. Haurwitz and Mr. Nishar. If you are a street name stockholder of shares of our common stock and you do not give voting instructions to your broker, bank or other nominee, then your broker, bank or other nominee will leave your shares unvoted on this matter. We expect that Dr. Langer, Dr. Haurwitz and Mr. Nishar will accept such nomination; however, in the event that a director nominee is unable or declines to serve as a director at the time of the Annual Meeting, the proxies will be voted for any nominee who shall be designated by our board of directors to fill such vacancy.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election of Class II directors requires a plurality of the votes of the shares of our common stock present in person (including virtually) or represented by proxy at the Annual Meeting and entitled to vote thereon to be approved. “Plurality” means that the three nominees who receive the most votes cast FOR will be elected as Class II directors. As a result, any shares not voted FOR a particular nominee (whether as a result of voting withheld or a broker non-vote) will not be counted in such nominee’s favor and will have no effect on the outcome of the election.</w:t>
      </w:r>
    </w:p>
    <w:p>
      <w:pPr>
        <w:spacing w:after="0" w:line="179" w:lineRule="exact"/>
        <w:rPr>
          <w:sz w:val="20"/>
          <w:szCs w:val="20"/>
          <w:color w:val="auto"/>
        </w:rPr>
      </w:pPr>
    </w:p>
    <w:p>
      <w:pPr>
        <w:spacing w:after="0" w:line="296" w:lineRule="auto"/>
        <w:rPr>
          <w:sz w:val="20"/>
          <w:szCs w:val="20"/>
          <w:color w:val="auto"/>
        </w:rPr>
      </w:pPr>
      <w:r>
        <w:rPr>
          <w:rFonts w:ascii="Arial" w:cs="Arial" w:eastAsia="Arial" w:hAnsi="Arial"/>
          <w:sz w:val="18"/>
          <w:szCs w:val="18"/>
          <w:b w:val="1"/>
          <w:bCs w:val="1"/>
          <w:color w:val="auto"/>
        </w:rPr>
        <w:t>THE BOARD OF DIRECTORS RECOMMENDS A VOTE “FOR” THE ELECTION OF EACH OF THE THREE NOMINEES NAMED ABOVE AS CLASS II DIRECTORS TO SERVE FOR A THREE-YEAR TERM.</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1255" w:right="37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audit committee has appointed Deloitte &amp; Touche LLP, an independent registered public accounting firm, to audit our financial statements for our fiscal year ending December 31, 2022. Deloitte &amp; Touche LLP has served as our independent registered public accounting firm since 2018.</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the Annual Meeting, our stockholders are being asked to ratify the appointment of Deloitte &amp; Touche LLP as our independent registered public accounting firm for our fiscal year ending December 31, 2022. Stockholder ratification of the appointment of Deloitte &amp; Touche LLP is not required by our bylaws or other applicable legal requirements. However, our board of directors is submitting the appointment of Deloitte &amp; Touche LLP to our stockholders for ratification as a matter of good corporate governance. In the event that this appointment is not ratified by the affirmative vote of a majority of the shares present in person (including virtually)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2022 if our audit committee believes that such a change would be in the best interests our company and our stockholders. A representative of Deloitte &amp; Touche LLP is expected to be present at the Annual Meeting, will have an opportunity to make a statement if he or she wishes to do so, and is expected to be available to respond to appropriate questions from stockholders.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22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Deloitte &amp; Touche LLP for our fiscal years ended December 31, 2021 and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Audit Fees (1)</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1,057,503</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1,301,420</w:t>
            </w:r>
          </w:p>
        </w:tc>
      </w:tr>
      <w:tr>
        <w:trPr>
          <w:trHeight w:val="215"/>
        </w:trPr>
        <w:tc>
          <w:tcPr>
            <w:tcW w:w="7080" w:type="dxa"/>
            <w:vAlign w:val="bottom"/>
          </w:tcPr>
          <w:p>
            <w:pPr>
              <w:ind w:left="20"/>
              <w:spacing w:after="0"/>
              <w:rPr>
                <w:sz w:val="20"/>
                <w:szCs w:val="20"/>
                <w:color w:val="auto"/>
              </w:rPr>
            </w:pPr>
            <w:r>
              <w:rPr>
                <w:rFonts w:ascii="Arial" w:cs="Arial" w:eastAsia="Arial" w:hAnsi="Arial"/>
                <w:sz w:val="16"/>
                <w:szCs w:val="16"/>
                <w:color w:val="auto"/>
              </w:rPr>
              <w:t>Audit-Related Fees</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 Fees (2)</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67,068</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178,108</w:t>
            </w:r>
          </w:p>
        </w:tc>
      </w:tr>
      <w:tr>
        <w:trPr>
          <w:trHeight w:val="215"/>
        </w:trPr>
        <w:tc>
          <w:tcPr>
            <w:tcW w:w="708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All Other Fees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5"/>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Fees</w:t>
            </w: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1,124,571</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1,479,528</w:t>
            </w:r>
          </w:p>
        </w:tc>
      </w:tr>
      <w:tr>
        <w:trPr>
          <w:trHeight w:val="20"/>
        </w:trPr>
        <w:tc>
          <w:tcPr>
            <w:tcW w:w="70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106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1060" w:type="dxa"/>
            <w:vAlign w:val="bottom"/>
            <w:tcBorders>
              <w:top w:val="single" w:sz="8" w:color="CFF0FC"/>
            </w:tcBorders>
            <w:shd w:val="clear" w:color="auto" w:fill="000000"/>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18" w:lineRule="exact"/>
        <w:rPr>
          <w:sz w:val="20"/>
          <w:szCs w:val="20"/>
          <w:color w:val="auto"/>
        </w:rPr>
      </w:pPr>
    </w:p>
    <w:p>
      <w:pPr>
        <w:ind w:left="660" w:right="160" w:hanging="652"/>
        <w:spacing w:after="0" w:line="252"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“Audit Fees” consist of fees billed for professional services rendered in connection with the audit of our annual financial statements and reviews of our quarterly financial statements for those fiscal years. This category also includes fees for services incurred in connection with our initial public offering and follow-on offering in 2020 and 2021, respectively.</w:t>
      </w: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“Tax Fees” consist of fees billed for professional services rendered by Deloitte &amp; Touche LLP for tax compliance, tax advice and tax planning.</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22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 our fiscal year ended December 31, 2021, there were no other professional services provided by Deloitte &amp; Touche LLP that would have required our audit committee to consider their compatibility with maintaining the independence of Deloitte &amp; Touche LLP.</w:t>
      </w:r>
    </w:p>
    <w:p>
      <w:pPr>
        <w:spacing w:after="0" w:line="261" w:lineRule="exact"/>
        <w:rPr>
          <w:sz w:val="20"/>
          <w:szCs w:val="20"/>
          <w:color w:val="auto"/>
        </w:rPr>
      </w:pPr>
    </w:p>
    <w:p>
      <w:pPr>
        <w:ind w:right="980"/>
        <w:spacing w:after="0" w:line="296" w:lineRule="auto"/>
        <w:rPr>
          <w:sz w:val="20"/>
          <w:szCs w:val="20"/>
          <w:color w:val="auto"/>
        </w:rPr>
      </w:pPr>
      <w:r>
        <w:rPr>
          <w:rFonts w:ascii="Arial" w:cs="Arial" w:eastAsia="Arial" w:hAnsi="Arial"/>
          <w:sz w:val="18"/>
          <w:szCs w:val="18"/>
          <w:b w:val="1"/>
          <w:bCs w:val="1"/>
          <w:color w:val="auto"/>
        </w:rPr>
        <w:t>Audit Committee Policy on Pre-Approval of Audit and Permissible Non-Audit Services of Independent Registered Public Accounting Firm</w:t>
      </w:r>
    </w:p>
    <w:p>
      <w:pPr>
        <w:spacing w:after="0" w:line="13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Deloitte &amp; Touche LLP for our fiscal years ended December 31, 2021 and 2020 were pre-approved by our audit committee.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Vote Required</w:t>
      </w:r>
    </w:p>
    <w:p>
      <w:pPr>
        <w:spacing w:after="0" w:line="22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ratification of the appointment of Deloitte &amp; Touche LLP as our independent registered public accounting firm for our fiscal year ending December 31, 2022 requires the affirmative vote of a majority of the shares of our common stock present in person (including virtually) or represented by proxy at the Annual Meeting and entitled to vote thereon. Abstentions will have the effect of a vote AGAINST this proposal, and broker non-votes will have no effect.</w:t>
      </w:r>
    </w:p>
    <w:p>
      <w:pPr>
        <w:spacing w:after="0" w:line="176" w:lineRule="exact"/>
        <w:rPr>
          <w:sz w:val="20"/>
          <w:szCs w:val="20"/>
          <w:color w:val="auto"/>
        </w:rPr>
      </w:pPr>
    </w:p>
    <w:p>
      <w:pPr>
        <w:spacing w:after="0" w:line="328" w:lineRule="auto"/>
        <w:rPr>
          <w:sz w:val="20"/>
          <w:szCs w:val="20"/>
          <w:color w:val="auto"/>
        </w:rPr>
      </w:pPr>
      <w:r>
        <w:rPr>
          <w:rFonts w:ascii="Arial" w:cs="Arial" w:eastAsia="Arial" w:hAnsi="Arial"/>
          <w:sz w:val="17"/>
          <w:szCs w:val="17"/>
          <w:b w:val="1"/>
          <w:bCs w:val="1"/>
          <w:color w:val="auto"/>
        </w:rPr>
        <w:t>THE BOARD OF DIRECTORS RECOMMENDS A VOTE “FOR” THE RATIFICATION OF THE APPOINTMENT OF DELOITTE &amp; TOUCHE LLP AS OUR INDEPENDENT REGISTERED PUBLIC ACCOUNTING FIRM FOR OUR FISCAL YEAR ENDING DECEMBER 31, 2022.</w:t>
      </w: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320" w:top="1255" w:right="39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PROPOSAL NO. 3</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ADVISORY VOTE ON FREQUENCY OF ADVISORY VOTES ON NAMED EXECUTIVE OFFICER COMPENSATION</w:t>
      </w:r>
    </w:p>
    <w:p>
      <w:pPr>
        <w:spacing w:after="0" w:line="252"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Pursuant to Section 14A of the Exchange Act and the related rules of the SEC, we seek your vote, on a non-binding advisory basis, on whether the say-on-pay vote should occur every one, two or three years. Stockholders may instead abstain from casting a vote on this proposal.</w:t>
      </w:r>
    </w:p>
    <w:p>
      <w:pPr>
        <w:spacing w:after="0" w:line="1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board of directors asks that you support a frequency period of three years for future non-binding advisory stockholder votes on the compensation of the Company’s named executive officers. Although the advisory vote is non-binding, the Board of Directors will review the results of the vote and take them into account in making a determination concerning the frequency of future advisory votes on executive compensation.</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Stockholders may vote on their preferred voting frequency by choosing the option of one year, two years or three years, or may abstain from voting. Stockholders are not voting to approve or disapprove the recommendation of the board of directors. Although the board of directors intends to carefully consider the voting results of this proposal, the vote is advisory and is not binding on the Company, the board of directors or the talent and compensation committee. The board of directors may decide that it is in the best interests of stockholders and the Company to hold an advisory vote to approve executive compensation more or less frequently than the frequency preferred by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this proposal of an advisory vote on frequency of advisory vote on executive compensation asks for a non-binding, advisory vote, there is no required vote that would constitute approval. We value the opinions expressed by our stockholders in this advisory vote, and our board of directors values the opinions expressed by our stockholders and will take into account the outcome of this vote when considering the frequency of future advisory say-on-pay votes. Any shares not voted FOR a particular option (whether as a result of voting withheld or a broker non-vote) will not be counted in such option’s favor and will have no effect on the outcome of the election.</w:t>
      </w:r>
    </w:p>
    <w:p>
      <w:pPr>
        <w:spacing w:after="0" w:line="179" w:lineRule="exact"/>
        <w:rPr>
          <w:sz w:val="20"/>
          <w:szCs w:val="20"/>
          <w:color w:val="auto"/>
        </w:rPr>
      </w:pPr>
    </w:p>
    <w:p>
      <w:pPr>
        <w:ind w:right="260"/>
        <w:spacing w:after="0" w:line="296" w:lineRule="auto"/>
        <w:rPr>
          <w:sz w:val="20"/>
          <w:szCs w:val="20"/>
          <w:color w:val="auto"/>
        </w:rPr>
      </w:pPr>
      <w:r>
        <w:rPr>
          <w:rFonts w:ascii="Arial" w:cs="Arial" w:eastAsia="Arial" w:hAnsi="Arial"/>
          <w:sz w:val="18"/>
          <w:szCs w:val="18"/>
          <w:b w:val="1"/>
          <w:bCs w:val="1"/>
          <w:color w:val="auto"/>
        </w:rPr>
        <w:t>THE BOARD OF DIRECTORS RECOMMENDS A VOTE FOR THE OPTION OF “3 YEARS” AS THE PREFERRED FREQUENCY FOR AN ADVISORY VOTE ON EXECUTIVE COMPENSATION.</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1255" w:right="3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which is available on our website at investor.seer.bio. The audit committee reviews and assesses the adequacy of its charter and the audit committee’s performance on an annual basis.</w:t>
      </w:r>
    </w:p>
    <w:p>
      <w:pPr>
        <w:spacing w:after="0" w:line="18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With respect to the Company’s financial reporting process, the Company’s management is responsible for (1) establishing and maintaining internal controls and (2) preparing the Company’s financial statements. The Company’s independent registered public accounting firm, Deloitte &amp; Touche LLP (Deloitte),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the performance of its oversight function, the audit committee has:</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Deloitte;</w:t>
      </w:r>
    </w:p>
    <w:p>
      <w:pPr>
        <w:spacing w:after="0" w:line="225" w:lineRule="exact"/>
        <w:rPr>
          <w:rFonts w:ascii="Arial" w:cs="Arial" w:eastAsia="Arial" w:hAnsi="Arial"/>
          <w:sz w:val="18"/>
          <w:szCs w:val="18"/>
          <w:color w:val="auto"/>
        </w:rPr>
      </w:pPr>
    </w:p>
    <w:p>
      <w:pPr>
        <w:ind w:left="980" w:right="180" w:hanging="324"/>
        <w:spacing w:after="0" w:line="28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discussed with Deloitte the matters required to be discussed by the applicable requirements of the Public Company Accounting Oversight Board (PCAOB) and the SEC; and</w:t>
      </w:r>
    </w:p>
    <w:p>
      <w:pPr>
        <w:spacing w:after="0" w:line="152" w:lineRule="exact"/>
        <w:rPr>
          <w:rFonts w:ascii="Arial" w:cs="Arial" w:eastAsia="Arial" w:hAnsi="Arial"/>
          <w:sz w:val="18"/>
          <w:szCs w:val="18"/>
          <w:color w:val="auto"/>
        </w:rPr>
      </w:pPr>
    </w:p>
    <w:p>
      <w:pPr>
        <w:ind w:left="980" w:right="200" w:hanging="324"/>
        <w:spacing w:after="0" w:line="268"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Deloitte required by applicable requirements of the PCAOB regarding the independent accountant’s communications with the audit committee concerning independence and has discussed with Deloitte its independence.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on the audit committee’s review and discussions with management and Deloitte, the audit committee recommended to the board of directors that the audited financial statements be included in the Company’s Annual Report on Form 10-K for the fiscal year ended December 31, 2021 for filing with the SEC.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Catherine Friedman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Terrance McGuire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Meeta Gulyani</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147" w:right="3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following table sets forth certain information about our executive officers as of March 31, 2022. Officers are elected by our board of directors to hold office until their successors are elected and qualified.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6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7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Age</w:t>
            </w:r>
          </w:p>
        </w:tc>
        <w:tc>
          <w:tcPr>
            <w:tcW w:w="5440" w:type="dxa"/>
            <w:vAlign w:val="bottom"/>
          </w:tcPr>
          <w:p>
            <w:pPr>
              <w:ind w:left="2400"/>
              <w:spacing w:after="0"/>
              <w:rPr>
                <w:sz w:val="20"/>
                <w:szCs w:val="20"/>
                <w:color w:val="auto"/>
              </w:rPr>
            </w:pPr>
            <w:r>
              <w:rPr>
                <w:rFonts w:ascii="Arial" w:cs="Arial" w:eastAsia="Arial" w:hAnsi="Arial"/>
                <w:sz w:val="16"/>
                <w:szCs w:val="16"/>
                <w:b w:val="1"/>
                <w:bCs w:val="1"/>
                <w:color w:val="auto"/>
              </w:rPr>
              <w:t>Position</w:t>
            </w:r>
          </w:p>
        </w:tc>
      </w:tr>
      <w:tr>
        <w:trPr>
          <w:trHeight w:val="210"/>
        </w:trPr>
        <w:tc>
          <w:tcPr>
            <w:tcW w:w="40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Omid Farokhzad, M.D.</w:t>
            </w:r>
          </w:p>
        </w:tc>
        <w:tc>
          <w:tcPr>
            <w:tcW w:w="1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53</w:t>
            </w:r>
          </w:p>
        </w:tc>
        <w:tc>
          <w:tcPr>
            <w:tcW w:w="80" w:type="dxa"/>
            <w:vAlign w:val="bottom"/>
            <w:tcBorders>
              <w:top w:val="single" w:sz="8" w:color="CFF0FC"/>
            </w:tcBorders>
            <w:shd w:val="clear" w:color="auto" w:fill="CFF0FC"/>
          </w:tcPr>
          <w:p>
            <w:pPr>
              <w:spacing w:after="0"/>
              <w:rPr>
                <w:sz w:val="18"/>
                <w:szCs w:val="18"/>
                <w:color w:val="auto"/>
              </w:rPr>
            </w:pPr>
          </w:p>
        </w:tc>
        <w:tc>
          <w:tcPr>
            <w:tcW w:w="54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Chief Executive Officer and Chair of the Board of Directors</w:t>
            </w:r>
          </w:p>
        </w:tc>
      </w:tr>
      <w:tr>
        <w:trPr>
          <w:trHeight w:val="215"/>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Omead Ostadan</w:t>
            </w:r>
          </w:p>
        </w:tc>
        <w:tc>
          <w:tcPr>
            <w:tcW w:w="660" w:type="dxa"/>
            <w:vAlign w:val="bottom"/>
          </w:tcPr>
          <w:p>
            <w:pPr>
              <w:jc w:val="center"/>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Arial" w:cs="Arial" w:eastAsia="Arial" w:hAnsi="Arial"/>
                <w:sz w:val="16"/>
                <w:szCs w:val="16"/>
                <w:color w:val="auto"/>
              </w:rPr>
              <w:t>President and Director</w:t>
            </w:r>
          </w:p>
        </w:tc>
      </w:tr>
      <w:tr>
        <w:trPr>
          <w:trHeight w:val="217"/>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David Horn</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54</w:t>
            </w:r>
          </w:p>
        </w:tc>
        <w:tc>
          <w:tcPr>
            <w:tcW w:w="80" w:type="dxa"/>
            <w:vAlign w:val="bottom"/>
            <w:shd w:val="clear" w:color="auto" w:fill="CFF0FC"/>
          </w:tcPr>
          <w:p>
            <w:pPr>
              <w:spacing w:after="0"/>
              <w:rPr>
                <w:sz w:val="18"/>
                <w:szCs w:val="18"/>
                <w:color w:val="auto"/>
              </w:rPr>
            </w:pPr>
          </w:p>
        </w:tc>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Chief Financial Officer and Treasurer</w:t>
            </w:r>
          </w:p>
        </w:tc>
      </w:tr>
      <w:tr>
        <w:trPr>
          <w:trHeight w:val="215"/>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Elona Kogan</w:t>
            </w:r>
          </w:p>
        </w:tc>
        <w:tc>
          <w:tcPr>
            <w:tcW w:w="660" w:type="dxa"/>
            <w:vAlign w:val="bottom"/>
          </w:tcPr>
          <w:p>
            <w:pPr>
              <w:jc w:val="center"/>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Arial" w:cs="Arial" w:eastAsia="Arial" w:hAnsi="Arial"/>
                <w:sz w:val="16"/>
                <w:szCs w:val="16"/>
                <w:color w:val="auto"/>
              </w:rPr>
              <w:t>General Counsel and Corporate Secretary</w:t>
            </w:r>
          </w:p>
        </w:tc>
      </w:tr>
      <w:tr>
        <w:trPr>
          <w:trHeight w:val="217"/>
        </w:trPr>
        <w:tc>
          <w:tcPr>
            <w:tcW w:w="4160" w:type="dxa"/>
            <w:vAlign w:val="bottom"/>
            <w:gridSpan w:val="2"/>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Scott Thomas </w:t>
            </w:r>
            <w:r>
              <w:rPr>
                <w:rFonts w:ascii="Arial" w:cs="Arial" w:eastAsia="Arial" w:hAnsi="Arial"/>
                <w:sz w:val="21"/>
                <w:szCs w:val="21"/>
                <w:color w:val="auto"/>
                <w:vertAlign w:val="superscript"/>
              </w:rPr>
              <w:t>(1)</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49</w:t>
            </w:r>
          </w:p>
        </w:tc>
        <w:tc>
          <w:tcPr>
            <w:tcW w:w="80" w:type="dxa"/>
            <w:vAlign w:val="bottom"/>
            <w:shd w:val="clear" w:color="auto" w:fill="CFF0FC"/>
          </w:tcPr>
          <w:p>
            <w:pPr>
              <w:spacing w:after="0"/>
              <w:rPr>
                <w:sz w:val="18"/>
                <w:szCs w:val="18"/>
                <w:color w:val="auto"/>
              </w:rPr>
            </w:pPr>
          </w:p>
        </w:tc>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Chief Commercial Officer</w:t>
            </w:r>
          </w:p>
        </w:tc>
      </w:tr>
    </w:tbl>
    <w:p>
      <w:pPr>
        <w:spacing w:after="0" w:line="296"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Thomas was appointed Chief Commercial Officer on March 21, 2022.</w:t>
      </w:r>
    </w:p>
    <w:p>
      <w:pPr>
        <w:spacing w:after="0" w:line="2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For the biographies of Omid Farokhzad, M.D. and Omead Ostadan, please see “Board of Directors and Corporate Governance.”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David Horn </w:t>
      </w:r>
      <w:r>
        <w:rPr>
          <w:rFonts w:ascii="Arial" w:cs="Arial" w:eastAsia="Arial" w:hAnsi="Arial"/>
          <w:sz w:val="18"/>
          <w:szCs w:val="18"/>
          <w:color w:val="auto"/>
        </w:rPr>
        <w:t>has served as our Chief Financial Officer and Treasurer since May 2020. Prior to joining us, Mr. Horn was with Morgan Stanley,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investment bank and financial services 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spacing w:after="0" w:line="1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Elona Kogan </w:t>
      </w:r>
      <w:r>
        <w:rPr>
          <w:rFonts w:ascii="Arial" w:cs="Arial" w:eastAsia="Arial" w:hAnsi="Arial"/>
          <w:sz w:val="18"/>
          <w:szCs w:val="18"/>
          <w:color w:val="auto"/>
        </w:rPr>
        <w:t>has served as our General Counsel and Corporate Secretary since November 2020. Prior to joining us, Ms. Kogan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Counsel and Corporate Secretary of Selecta Biosciences, Inc., a clinical-stage biotechnology company, from March 2019 to August 2020. From July 2016 to April 2017, Ms. Kogan served as General Counsel and Head of Government Relations at ARIAD Pharmaceuticals, Inc., a rare disease oncology company, where she was a key executive through the acquisition of the company by Takeda Pharmaceuticals Company Limited. Ms. Kogan led the legal and government affairs functions of Avanir Pharmaceuticals, Inc., a publicly traded pharmaceutical company, from May 2011 to August 2015, until its acquisition by Otsuka Pharmaceutical Co. Ltd. Prior roles included positions of increasing responsibility at King Pharmaceuticals, Inc., Bristol-Myers Squibb, and Bergen Brunswig Corporation. Ms. Kogan is a graduate of the SCALE program at Southwestern University School of Law. Ms. Kogan graduated cum laude from Columbia University, Barnard College, with a B.A. in Economics.</w:t>
      </w:r>
    </w:p>
    <w:p>
      <w:pPr>
        <w:spacing w:after="0" w:line="181"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 xml:space="preserve">Scott Thomas </w:t>
      </w:r>
      <w:r>
        <w:rPr>
          <w:rFonts w:ascii="Arial" w:cs="Arial" w:eastAsia="Arial" w:hAnsi="Arial"/>
          <w:sz w:val="17"/>
          <w:szCs w:val="17"/>
          <w:color w:val="auto"/>
        </w:rPr>
        <w:t>has served as our Chief Commercial Officer since March 2022. Mr. Thomas previously served as Senior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and Marketing at Singular Genomics Systems, a life sciences company focused on delivering genomic technologies, from May 2021 to March 2022. From August 2009 to May 2021, Mr. Thomas served in numerous roles with escalating commercial responsibilities at Illumina, a life science tools company. Most recently, Mr. Thomas served as Vice President, Global Commercial Strategy and Enablement at Illumina. Previously, he served as Vice President and General Manager of Illumina Japan, and Senior Director, Sales for Europe, Middle East and Africa. Mr. Thomas holds a B.A. in Public Relations from the University of Idaho, Moscow, a Master of Healthcare Administration from the University of Washington, Seattle and completed the Advanced Management Program at IESE Business School in Barcelona, Spain.</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255" w:right="3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The following table provides information regarding the compensation of our named executive officers during the years ended December 31, 2021 and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Name and Principal</w:t>
            </w: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8"/>
                <w:szCs w:val="18"/>
                <w:color w:val="auto"/>
              </w:rPr>
            </w:pPr>
          </w:p>
        </w:tc>
        <w:tc>
          <w:tcPr>
            <w:tcW w:w="8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Salary</w:t>
            </w: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Bonus</w:t>
            </w:r>
          </w:p>
        </w:tc>
        <w:tc>
          <w:tcPr>
            <w:tcW w:w="1020" w:type="dxa"/>
            <w:vAlign w:val="bottom"/>
          </w:tcPr>
          <w:p>
            <w:pPr>
              <w:jc w:val="right"/>
              <w:ind w:right="288"/>
              <w:spacing w:after="0"/>
              <w:rPr>
                <w:sz w:val="20"/>
                <w:szCs w:val="20"/>
                <w:color w:val="auto"/>
              </w:rPr>
            </w:pPr>
            <w:r>
              <w:rPr>
                <w:rFonts w:ascii="Arial" w:cs="Arial" w:eastAsia="Arial" w:hAnsi="Arial"/>
                <w:sz w:val="14"/>
                <w:szCs w:val="14"/>
                <w:b w:val="1"/>
                <w:bCs w:val="1"/>
                <w:color w:val="auto"/>
              </w:rPr>
              <w:t>Stock</w:t>
            </w:r>
          </w:p>
        </w:tc>
        <w:tc>
          <w:tcPr>
            <w:tcW w:w="1080" w:type="dxa"/>
            <w:vAlign w:val="bottom"/>
          </w:tcPr>
          <w:p>
            <w:pPr>
              <w:jc w:val="right"/>
              <w:ind w:right="288"/>
              <w:spacing w:after="0"/>
              <w:rPr>
                <w:sz w:val="20"/>
                <w:szCs w:val="20"/>
                <w:color w:val="auto"/>
              </w:rPr>
            </w:pPr>
            <w:r>
              <w:rPr>
                <w:rFonts w:ascii="Arial" w:cs="Arial" w:eastAsia="Arial" w:hAnsi="Arial"/>
                <w:sz w:val="14"/>
                <w:szCs w:val="14"/>
                <w:b w:val="1"/>
                <w:bCs w:val="1"/>
                <w:color w:val="auto"/>
              </w:rPr>
              <w:t>Option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400" w:type="dxa"/>
            <w:vAlign w:val="bottom"/>
          </w:tcPr>
          <w:p>
            <w:pPr>
              <w:jc w:val="right"/>
              <w:ind w:right="308"/>
              <w:spacing w:after="0"/>
              <w:rPr>
                <w:sz w:val="20"/>
                <w:szCs w:val="20"/>
                <w:color w:val="auto"/>
              </w:rPr>
            </w:pPr>
            <w:r>
              <w:rPr>
                <w:rFonts w:ascii="Arial" w:cs="Arial" w:eastAsia="Arial" w:hAnsi="Arial"/>
                <w:sz w:val="14"/>
                <w:szCs w:val="14"/>
                <w:b w:val="1"/>
                <w:bCs w:val="1"/>
                <w:color w:val="auto"/>
              </w:rPr>
              <w:t>All Other</w:t>
            </w:r>
          </w:p>
        </w:tc>
        <w:tc>
          <w:tcPr>
            <w:tcW w:w="360" w:type="dxa"/>
            <w:vAlign w:val="bottom"/>
          </w:tcPr>
          <w:p>
            <w:pPr>
              <w:spacing w:after="0"/>
              <w:rPr>
                <w:sz w:val="18"/>
                <w:szCs w:val="18"/>
                <w:color w:val="auto"/>
              </w:rPr>
            </w:pPr>
          </w:p>
        </w:tc>
        <w:tc>
          <w:tcPr>
            <w:tcW w:w="10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9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Position</w:t>
            </w: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7"/>
                <w:szCs w:val="17"/>
                <w:b w:val="1"/>
                <w:bCs w:val="1"/>
                <w:color w:val="auto"/>
                <w:vertAlign w:val="superscript"/>
              </w:rPr>
              <w:t>(1)</w:t>
            </w:r>
          </w:p>
        </w:tc>
        <w:tc>
          <w:tcPr>
            <w:tcW w:w="10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7"/>
                <w:szCs w:val="17"/>
                <w:b w:val="1"/>
                <w:bCs w:val="1"/>
                <w:color w:val="auto"/>
                <w:vertAlign w:val="superscript"/>
              </w:rPr>
              <w:t>(1)</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Incentive Plan</w:t>
            </w:r>
          </w:p>
        </w:tc>
        <w:tc>
          <w:tcPr>
            <w:tcW w:w="14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7"/>
                <w:szCs w:val="17"/>
                <w:b w:val="1"/>
                <w:bCs w:val="1"/>
                <w:color w:val="auto"/>
                <w:vertAlign w:val="superscript"/>
              </w:rPr>
              <w:t>(2)</w:t>
            </w:r>
          </w:p>
        </w:tc>
        <w:tc>
          <w:tcPr>
            <w:tcW w:w="3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9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rPr>
              <w:t>Compensation</w:t>
            </w:r>
          </w:p>
        </w:tc>
        <w:tc>
          <w:tcPr>
            <w:tcW w:w="14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Omid Farokhzad, M.D.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2021</w:t>
            </w:r>
          </w:p>
        </w:tc>
        <w:tc>
          <w:tcPr>
            <w:tcW w:w="2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527,262</w:t>
            </w:r>
          </w:p>
        </w:tc>
        <w:tc>
          <w:tcPr>
            <w:tcW w:w="8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5,233,050</w:t>
            </w:r>
          </w:p>
        </w:tc>
        <w:tc>
          <w:tcPr>
            <w:tcW w:w="10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3,251,677</w:t>
            </w:r>
          </w:p>
        </w:tc>
        <w:tc>
          <w:tcPr>
            <w:tcW w:w="13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342,550</w:t>
            </w:r>
          </w:p>
        </w:tc>
        <w:tc>
          <w:tcPr>
            <w:tcW w:w="14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75,071</w:t>
            </w:r>
          </w:p>
        </w:tc>
        <w:tc>
          <w:tcPr>
            <w:tcW w:w="3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9,429,610</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434,448</w:t>
            </w: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424,092</w:t>
            </w:r>
          </w:p>
        </w:tc>
        <w:tc>
          <w:tcPr>
            <w:tcW w:w="10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424,092</w:t>
            </w:r>
          </w:p>
        </w:tc>
        <w:tc>
          <w:tcPr>
            <w:tcW w:w="10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9,080,012</w:t>
            </w: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113,542</w:t>
            </w:r>
          </w:p>
        </w:tc>
        <w:tc>
          <w:tcPr>
            <w:tcW w:w="3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10,476,186</w:t>
            </w:r>
          </w:p>
        </w:tc>
        <w:tc>
          <w:tcPr>
            <w:tcW w:w="0" w:type="dxa"/>
            <w:vAlign w:val="bottom"/>
          </w:tcPr>
          <w:p>
            <w:pPr>
              <w:spacing w:after="0"/>
              <w:rPr>
                <w:sz w:val="1"/>
                <w:szCs w:val="1"/>
                <w:color w:val="auto"/>
              </w:rPr>
            </w:pPr>
          </w:p>
        </w:tc>
      </w:tr>
      <w:tr>
        <w:trPr>
          <w:trHeight w:val="203"/>
        </w:trPr>
        <w:tc>
          <w:tcPr>
            <w:tcW w:w="19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980" w:type="dxa"/>
            <w:vAlign w:val="bottom"/>
          </w:tcPr>
          <w:p>
            <w:pPr>
              <w:ind w:left="20"/>
              <w:spacing w:after="0" w:line="155" w:lineRule="exact"/>
              <w:rPr>
                <w:sz w:val="20"/>
                <w:szCs w:val="20"/>
                <w:color w:val="auto"/>
              </w:rPr>
            </w:pPr>
            <w:r>
              <w:rPr>
                <w:rFonts w:ascii="Arial" w:cs="Arial" w:eastAsia="Arial" w:hAnsi="Arial"/>
                <w:sz w:val="14"/>
                <w:szCs w:val="14"/>
                <w:color w:val="auto"/>
              </w:rPr>
              <w:t>Omead Ostadan</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2021</w:t>
            </w:r>
          </w:p>
        </w:tc>
        <w:tc>
          <w:tcPr>
            <w:tcW w:w="2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line="155" w:lineRule="exact"/>
              <w:rPr>
                <w:sz w:val="20"/>
                <w:szCs w:val="20"/>
                <w:color w:val="auto"/>
              </w:rPr>
            </w:pPr>
            <w:r>
              <w:rPr>
                <w:rFonts w:ascii="Arial" w:cs="Arial" w:eastAsia="Arial" w:hAnsi="Arial"/>
                <w:sz w:val="14"/>
                <w:szCs w:val="14"/>
                <w:color w:val="auto"/>
              </w:rPr>
              <w:t>393,343</w:t>
            </w:r>
          </w:p>
        </w:tc>
        <w:tc>
          <w:tcPr>
            <w:tcW w:w="8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line="155" w:lineRule="exact"/>
              <w:rPr>
                <w:sz w:val="20"/>
                <w:szCs w:val="20"/>
                <w:color w:val="auto"/>
              </w:rPr>
            </w:pPr>
            <w:r>
              <w:rPr>
                <w:rFonts w:ascii="Arial" w:cs="Arial" w:eastAsia="Arial" w:hAnsi="Arial"/>
                <w:sz w:val="14"/>
                <w:szCs w:val="14"/>
                <w:color w:val="auto"/>
              </w:rPr>
              <w:t>2,481,188</w:t>
            </w:r>
          </w:p>
        </w:tc>
        <w:tc>
          <w:tcPr>
            <w:tcW w:w="10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1,541,744</w:t>
            </w:r>
          </w:p>
        </w:tc>
        <w:tc>
          <w:tcPr>
            <w:tcW w:w="13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178,050</w:t>
            </w:r>
          </w:p>
        </w:tc>
        <w:tc>
          <w:tcPr>
            <w:tcW w:w="1400" w:type="dxa"/>
            <w:vAlign w:val="bottom"/>
          </w:tcPr>
          <w:p>
            <w:pPr>
              <w:jc w:val="right"/>
              <w:ind w:right="8"/>
              <w:spacing w:after="0" w:line="155" w:lineRule="exact"/>
              <w:rPr>
                <w:sz w:val="20"/>
                <w:szCs w:val="20"/>
                <w:color w:val="auto"/>
              </w:rPr>
            </w:pPr>
            <w:r>
              <w:rPr>
                <w:rFonts w:ascii="Arial" w:cs="Arial" w:eastAsia="Arial" w:hAnsi="Arial"/>
                <w:sz w:val="14"/>
                <w:szCs w:val="14"/>
                <w:color w:val="auto"/>
              </w:rPr>
              <w:t>4,038</w:t>
            </w:r>
          </w:p>
        </w:tc>
        <w:tc>
          <w:tcPr>
            <w:tcW w:w="36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line="155" w:lineRule="exact"/>
              <w:rPr>
                <w:sz w:val="20"/>
                <w:szCs w:val="20"/>
                <w:color w:val="auto"/>
              </w:rPr>
            </w:pPr>
            <w:r>
              <w:rPr>
                <w:rFonts w:ascii="Arial" w:cs="Arial" w:eastAsia="Arial" w:hAnsi="Arial"/>
                <w:sz w:val="14"/>
                <w:szCs w:val="14"/>
                <w:color w:val="auto"/>
              </w:rPr>
              <w:t>4,598,363</w:t>
            </w:r>
          </w:p>
        </w:tc>
        <w:tc>
          <w:tcPr>
            <w:tcW w:w="0" w:type="dxa"/>
            <w:vAlign w:val="bottom"/>
          </w:tcPr>
          <w:p>
            <w:pPr>
              <w:spacing w:after="0"/>
              <w:rPr>
                <w:sz w:val="1"/>
                <w:szCs w:val="1"/>
                <w:color w:val="auto"/>
              </w:rPr>
            </w:pPr>
          </w:p>
        </w:tc>
      </w:tr>
      <w:tr>
        <w:trPr>
          <w:trHeight w:val="142"/>
        </w:trPr>
        <w:tc>
          <w:tcPr>
            <w:tcW w:w="1980" w:type="dxa"/>
            <w:vAlign w:val="bottom"/>
          </w:tcPr>
          <w:p>
            <w:pPr>
              <w:ind w:left="20"/>
              <w:spacing w:after="0" w:line="143" w:lineRule="exact"/>
              <w:rPr>
                <w:sz w:val="20"/>
                <w:szCs w:val="20"/>
                <w:color w:val="auto"/>
              </w:rPr>
            </w:pPr>
            <w:r>
              <w:rPr>
                <w:rFonts w:ascii="Arial" w:cs="Arial" w:eastAsia="Arial" w:hAnsi="Arial"/>
                <w:sz w:val="14"/>
                <w:szCs w:val="14"/>
                <w:i w:val="1"/>
                <w:iCs w:val="1"/>
                <w:color w:val="auto"/>
              </w:rPr>
              <w:t>President and Chief Operating</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80" w:type="dxa"/>
            <w:vAlign w:val="bottom"/>
          </w:tcPr>
          <w:p>
            <w:pPr>
              <w:ind w:left="20"/>
              <w:spacing w:after="0"/>
              <w:rPr>
                <w:sz w:val="20"/>
                <w:szCs w:val="20"/>
                <w:color w:val="auto"/>
              </w:rPr>
            </w:pPr>
            <w:r>
              <w:rPr>
                <w:rFonts w:ascii="Arial" w:cs="Arial" w:eastAsia="Arial" w:hAnsi="Arial"/>
                <w:sz w:val="14"/>
                <w:szCs w:val="14"/>
                <w:i w:val="1"/>
                <w:iCs w:val="1"/>
                <w:color w:val="auto"/>
              </w:rPr>
              <w:t xml:space="preserve">Officer </w:t>
            </w:r>
            <w:r>
              <w:rPr>
                <w:rFonts w:ascii="Arial" w:cs="Arial" w:eastAsia="Arial" w:hAnsi="Arial"/>
                <w:sz w:val="9"/>
                <w:szCs w:val="9"/>
                <w:color w:val="auto"/>
              </w:rPr>
              <w:t>(3)</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2020</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215,577</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282,071</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1,092,068</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5,052,575</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32,511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6,674,802</w:t>
            </w:r>
          </w:p>
        </w:tc>
        <w:tc>
          <w:tcPr>
            <w:tcW w:w="0" w:type="dxa"/>
            <w:vAlign w:val="bottom"/>
          </w:tcPr>
          <w:p>
            <w:pPr>
              <w:spacing w:after="0"/>
              <w:rPr>
                <w:sz w:val="1"/>
                <w:szCs w:val="1"/>
                <w:color w:val="auto"/>
              </w:rPr>
            </w:pPr>
          </w:p>
        </w:tc>
      </w:tr>
      <w:tr>
        <w:trPr>
          <w:trHeight w:val="159"/>
        </w:trPr>
        <w:tc>
          <w:tcPr>
            <w:tcW w:w="19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David Horn</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2021</w:t>
            </w:r>
          </w:p>
        </w:tc>
        <w:tc>
          <w:tcPr>
            <w:tcW w:w="240" w:type="dxa"/>
            <w:vAlign w:val="bottom"/>
            <w:shd w:val="clear" w:color="auto" w:fill="CCEEFF"/>
          </w:tcPr>
          <w:p>
            <w:pPr>
              <w:jc w:val="right"/>
              <w:ind w:right="28"/>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line="159" w:lineRule="exact"/>
              <w:rPr>
                <w:sz w:val="20"/>
                <w:szCs w:val="20"/>
                <w:color w:val="auto"/>
              </w:rPr>
            </w:pPr>
            <w:r>
              <w:rPr>
                <w:rFonts w:ascii="Arial" w:cs="Arial" w:eastAsia="Arial" w:hAnsi="Arial"/>
                <w:sz w:val="14"/>
                <w:szCs w:val="14"/>
                <w:color w:val="auto"/>
              </w:rPr>
              <w:t>389,982</w:t>
            </w:r>
          </w:p>
        </w:tc>
        <w:tc>
          <w:tcPr>
            <w:tcW w:w="820" w:type="dxa"/>
            <w:vAlign w:val="bottom"/>
            <w:shd w:val="clear" w:color="auto" w:fill="CCEEFF"/>
          </w:tcPr>
          <w:p>
            <w:pPr>
              <w:jc w:val="right"/>
              <w:ind w:right="68"/>
              <w:spacing w:after="0" w:line="15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line="159" w:lineRule="exact"/>
              <w:rPr>
                <w:sz w:val="20"/>
                <w:szCs w:val="20"/>
                <w:color w:val="auto"/>
              </w:rPr>
            </w:pPr>
            <w:r>
              <w:rPr>
                <w:rFonts w:ascii="Arial" w:cs="Arial" w:eastAsia="Arial" w:hAnsi="Arial"/>
                <w:sz w:val="14"/>
                <w:szCs w:val="14"/>
                <w:color w:val="auto"/>
              </w:rPr>
              <w:t>2,052,619</w:t>
            </w:r>
          </w:p>
        </w:tc>
        <w:tc>
          <w:tcPr>
            <w:tcW w:w="1080" w:type="dxa"/>
            <w:vAlign w:val="bottom"/>
            <w:shd w:val="clear" w:color="auto" w:fill="CCEEFF"/>
          </w:tcPr>
          <w:p>
            <w:pPr>
              <w:jc w:val="right"/>
              <w:ind w:right="88"/>
              <w:spacing w:after="0" w:line="159" w:lineRule="exact"/>
              <w:rPr>
                <w:sz w:val="20"/>
                <w:szCs w:val="20"/>
                <w:color w:val="auto"/>
              </w:rPr>
            </w:pPr>
            <w:r>
              <w:rPr>
                <w:rFonts w:ascii="Arial" w:cs="Arial" w:eastAsia="Arial" w:hAnsi="Arial"/>
                <w:sz w:val="14"/>
                <w:szCs w:val="14"/>
                <w:color w:val="auto"/>
              </w:rPr>
              <w:t>1,275,442</w:t>
            </w:r>
          </w:p>
        </w:tc>
        <w:tc>
          <w:tcPr>
            <w:tcW w:w="1380" w:type="dxa"/>
            <w:vAlign w:val="bottom"/>
            <w:shd w:val="clear" w:color="auto" w:fill="CCEEFF"/>
          </w:tcPr>
          <w:p>
            <w:pPr>
              <w:jc w:val="right"/>
              <w:ind w:right="48"/>
              <w:spacing w:after="0" w:line="159" w:lineRule="exact"/>
              <w:rPr>
                <w:sz w:val="20"/>
                <w:szCs w:val="20"/>
                <w:color w:val="auto"/>
              </w:rPr>
            </w:pPr>
            <w:r>
              <w:rPr>
                <w:rFonts w:ascii="Arial" w:cs="Arial" w:eastAsia="Arial" w:hAnsi="Arial"/>
                <w:sz w:val="14"/>
                <w:szCs w:val="14"/>
                <w:color w:val="auto"/>
              </w:rPr>
              <w:t>162,199</w:t>
            </w:r>
          </w:p>
        </w:tc>
        <w:tc>
          <w:tcPr>
            <w:tcW w:w="1400" w:type="dxa"/>
            <w:vAlign w:val="bottom"/>
            <w:shd w:val="clear" w:color="auto" w:fill="CCEEFF"/>
          </w:tcPr>
          <w:p>
            <w:pPr>
              <w:jc w:val="right"/>
              <w:ind w:right="8"/>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08"/>
              <w:spacing w:after="0" w:line="15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line="159" w:lineRule="exact"/>
              <w:rPr>
                <w:sz w:val="20"/>
                <w:szCs w:val="20"/>
                <w:color w:val="auto"/>
              </w:rPr>
            </w:pPr>
            <w:r>
              <w:rPr>
                <w:rFonts w:ascii="Arial" w:cs="Arial" w:eastAsia="Arial" w:hAnsi="Arial"/>
                <w:sz w:val="14"/>
                <w:szCs w:val="14"/>
                <w:color w:val="auto"/>
              </w:rPr>
              <w:t>3,880,242</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227,269</w:t>
            </w: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212,934</w:t>
            </w:r>
          </w:p>
        </w:tc>
        <w:tc>
          <w:tcPr>
            <w:tcW w:w="10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534,436</w:t>
            </w:r>
          </w:p>
        </w:tc>
        <w:tc>
          <w:tcPr>
            <w:tcW w:w="10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3,288,345</w:t>
            </w: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455</w:t>
            </w:r>
          </w:p>
        </w:tc>
        <w:tc>
          <w:tcPr>
            <w:tcW w:w="3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4,263,439</w:t>
            </w:r>
          </w:p>
        </w:tc>
        <w:tc>
          <w:tcPr>
            <w:tcW w:w="0" w:type="dxa"/>
            <w:vAlign w:val="bottom"/>
          </w:tcPr>
          <w:p>
            <w:pPr>
              <w:spacing w:after="0"/>
              <w:rPr>
                <w:sz w:val="1"/>
                <w:szCs w:val="1"/>
                <w:color w:val="auto"/>
              </w:rPr>
            </w:pPr>
          </w:p>
        </w:tc>
      </w:tr>
      <w:tr>
        <w:trPr>
          <w:trHeight w:val="203"/>
        </w:trPr>
        <w:tc>
          <w:tcPr>
            <w:tcW w:w="19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980" w:type="dxa"/>
            <w:vAlign w:val="bottom"/>
          </w:tcPr>
          <w:p>
            <w:pPr>
              <w:ind w:left="20"/>
              <w:spacing w:after="0" w:line="155" w:lineRule="exact"/>
              <w:rPr>
                <w:sz w:val="20"/>
                <w:szCs w:val="20"/>
                <w:color w:val="auto"/>
              </w:rPr>
            </w:pPr>
            <w:r>
              <w:rPr>
                <w:rFonts w:ascii="Arial" w:cs="Arial" w:eastAsia="Arial" w:hAnsi="Arial"/>
                <w:sz w:val="14"/>
                <w:szCs w:val="14"/>
                <w:color w:val="auto"/>
              </w:rPr>
              <w:t>Elona Kogan</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2021</w:t>
            </w:r>
          </w:p>
        </w:tc>
        <w:tc>
          <w:tcPr>
            <w:tcW w:w="2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line="155" w:lineRule="exact"/>
              <w:rPr>
                <w:sz w:val="20"/>
                <w:szCs w:val="20"/>
                <w:color w:val="auto"/>
              </w:rPr>
            </w:pPr>
            <w:r>
              <w:rPr>
                <w:rFonts w:ascii="Arial" w:cs="Arial" w:eastAsia="Arial" w:hAnsi="Arial"/>
                <w:sz w:val="14"/>
                <w:szCs w:val="14"/>
                <w:color w:val="auto"/>
              </w:rPr>
              <w:t>375,000</w:t>
            </w:r>
          </w:p>
        </w:tc>
        <w:tc>
          <w:tcPr>
            <w:tcW w:w="8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150,000</w:t>
            </w:r>
          </w:p>
        </w:tc>
        <w:tc>
          <w:tcPr>
            <w:tcW w:w="140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line="155" w:lineRule="exact"/>
              <w:rPr>
                <w:sz w:val="20"/>
                <w:szCs w:val="20"/>
                <w:color w:val="auto"/>
              </w:rPr>
            </w:pPr>
            <w:r>
              <w:rPr>
                <w:rFonts w:ascii="Arial" w:cs="Arial" w:eastAsia="Arial" w:hAnsi="Arial"/>
                <w:sz w:val="14"/>
                <w:szCs w:val="14"/>
                <w:color w:val="auto"/>
              </w:rPr>
              <w:t>525,000</w:t>
            </w:r>
          </w:p>
        </w:tc>
        <w:tc>
          <w:tcPr>
            <w:tcW w:w="0" w:type="dxa"/>
            <w:vAlign w:val="bottom"/>
          </w:tcPr>
          <w:p>
            <w:pPr>
              <w:spacing w:after="0"/>
              <w:rPr>
                <w:sz w:val="1"/>
                <w:szCs w:val="1"/>
                <w:color w:val="auto"/>
              </w:rPr>
            </w:pPr>
          </w:p>
        </w:tc>
      </w:tr>
      <w:tr>
        <w:trPr>
          <w:trHeight w:val="142"/>
        </w:trPr>
        <w:tc>
          <w:tcPr>
            <w:tcW w:w="1980" w:type="dxa"/>
            <w:vAlign w:val="bottom"/>
          </w:tcPr>
          <w:p>
            <w:pPr>
              <w:ind w:left="20"/>
              <w:spacing w:after="0" w:line="143" w:lineRule="exact"/>
              <w:rPr>
                <w:sz w:val="20"/>
                <w:szCs w:val="20"/>
                <w:color w:val="auto"/>
              </w:rPr>
            </w:pPr>
            <w:r>
              <w:rPr>
                <w:rFonts w:ascii="Arial" w:cs="Arial" w:eastAsia="Arial" w:hAnsi="Arial"/>
                <w:sz w:val="14"/>
                <w:szCs w:val="14"/>
                <w:i w:val="1"/>
                <w:iCs w:val="1"/>
                <w:color w:val="auto"/>
              </w:rPr>
              <w:t>General Counsel and</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80" w:type="dxa"/>
            <w:vAlign w:val="bottom"/>
          </w:tcPr>
          <w:p>
            <w:pPr>
              <w:ind w:left="20"/>
              <w:spacing w:after="0"/>
              <w:rPr>
                <w:sz w:val="20"/>
                <w:szCs w:val="20"/>
                <w:color w:val="auto"/>
              </w:rPr>
            </w:pPr>
            <w:r>
              <w:rPr>
                <w:rFonts w:ascii="Arial" w:cs="Arial" w:eastAsia="Arial" w:hAnsi="Arial"/>
                <w:sz w:val="14"/>
                <w:szCs w:val="14"/>
                <w:i w:val="1"/>
                <w:iCs w:val="1"/>
                <w:color w:val="auto"/>
              </w:rPr>
              <w:t xml:space="preserve">Corporate Secretary </w:t>
            </w:r>
            <w:r>
              <w:rPr>
                <w:rFonts w:ascii="Arial" w:cs="Arial" w:eastAsia="Arial" w:hAnsi="Arial"/>
                <w:sz w:val="9"/>
                <w:szCs w:val="9"/>
                <w:color w:val="auto"/>
              </w:rPr>
              <w:t>(4)</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2020</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8,320</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669,612</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3,132,704</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3,810,636</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18" w:lineRule="exact"/>
        <w:rPr>
          <w:sz w:val="20"/>
          <w:szCs w:val="20"/>
          <w:color w:val="auto"/>
        </w:rPr>
      </w:pPr>
    </w:p>
    <w:p>
      <w:pPr>
        <w:ind w:left="660" w:right="80" w:hanging="652"/>
        <w:spacing w:after="0" w:line="254"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 in this column represents the aggregate grant-date fair value of the award as computed as of the grant date of each option awarded in fiscal 2021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in our Annual Report on Form 10-K filed with the SEC on March 1, 2022.</w:t>
      </w:r>
    </w:p>
    <w:p>
      <w:pPr>
        <w:spacing w:after="0" w:line="1" w:lineRule="exact"/>
        <w:rPr>
          <w:rFonts w:ascii="Arial" w:cs="Arial" w:eastAsia="Arial" w:hAnsi="Arial"/>
          <w:sz w:val="16"/>
          <w:szCs w:val="16"/>
          <w:color w:val="auto"/>
        </w:rPr>
      </w:pPr>
    </w:p>
    <w:p>
      <w:pPr>
        <w:ind w:left="660" w:right="20" w:hanging="652"/>
        <w:spacing w:after="0" w:line="251" w:lineRule="auto"/>
        <w:tabs>
          <w:tab w:leader="none" w:pos="650" w:val="left"/>
        </w:tabs>
        <w:numPr>
          <w:ilvl w:val="0"/>
          <w:numId w:val="26"/>
        </w:numPr>
        <w:rPr>
          <w:rFonts w:ascii="Arial" w:cs="Arial" w:eastAsia="Arial" w:hAnsi="Arial"/>
          <w:sz w:val="18"/>
          <w:szCs w:val="18"/>
          <w:color w:val="auto"/>
        </w:rPr>
      </w:pPr>
      <w:r>
        <w:rPr>
          <w:rFonts w:ascii="Arial" w:cs="Arial" w:eastAsia="Arial" w:hAnsi="Arial"/>
          <w:sz w:val="16"/>
          <w:szCs w:val="16"/>
          <w:color w:val="auto"/>
        </w:rPr>
        <w:t>All other compensation consists of reimbursement of commuting costs and tax gross ups related thereto. The gross-up allowance for Dr. Farokhzad in 2021 and 2020 are $75,071 and $60,575, respectively. The gross-up allowance for Mr. Ostadan in 2021 and 2020 are $4,004 and $16,255, respectively. In May 2021, the Company opened the San Diego office. Accordingly, Mr. Ostadan no longer received a tax gross up on his commuting costs.</w:t>
      </w:r>
    </w:p>
    <w:p>
      <w:pPr>
        <w:spacing w:after="0" w:line="1" w:lineRule="exact"/>
        <w:rPr>
          <w:rFonts w:ascii="Arial" w:cs="Arial" w:eastAsia="Arial" w:hAnsi="Arial"/>
          <w:sz w:val="18"/>
          <w:szCs w:val="18"/>
          <w:color w:val="auto"/>
        </w:rPr>
      </w:pPr>
    </w:p>
    <w:p>
      <w:pPr>
        <w:ind w:left="660" w:right="240" w:hanging="652"/>
        <w:spacing w:after="0" w:line="254"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Beginning November 20, 2021, Mr. Ostadan took a leave of absence for approximately 3 months. In connection with Mr. Ostadan’s leave of absence, the Company and Mr. Ostadan entered into a Leave of Absence Agreement which provided for the suspension of Mr. Ostadan’s salary and confirmation of vesting suspension of equity awards during the leave of absence and the proration of Mr. Ostadan’s bonus opportunity.</w:t>
      </w: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Ms. Kogan was hired in November 2020.</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Year-End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outstanding equity awards held by our named executive officers as of December 31, 2021.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255"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auto"/>
              </w:rPr>
              <w:t>Option Awards</w:t>
            </w:r>
          </w:p>
        </w:tc>
        <w:tc>
          <w:tcPr>
            <w:tcW w:w="7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ind w:right="849"/>
              <w:spacing w:after="0"/>
              <w:rPr>
                <w:sz w:val="20"/>
                <w:szCs w:val="20"/>
                <w:color w:val="auto"/>
              </w:rPr>
            </w:pPr>
            <w:r>
              <w:rPr>
                <w:rFonts w:ascii="Arial" w:cs="Arial" w:eastAsia="Arial" w:hAnsi="Arial"/>
                <w:sz w:val="13"/>
                <w:szCs w:val="13"/>
                <w:b w:val="1"/>
                <w:bCs w:val="1"/>
                <w:color w:val="auto"/>
                <w:w w:val="95"/>
              </w:rPr>
              <w:t>Stock Awards</w:t>
            </w: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center"/>
              <w:ind w:left="250"/>
              <w:spacing w:after="0"/>
              <w:rPr>
                <w:sz w:val="20"/>
                <w:szCs w:val="20"/>
                <w:color w:val="auto"/>
              </w:rPr>
            </w:pPr>
            <w:r>
              <w:rPr>
                <w:rFonts w:ascii="Arial" w:cs="Arial" w:eastAsia="Arial" w:hAnsi="Arial"/>
                <w:sz w:val="13"/>
                <w:szCs w:val="13"/>
                <w:b w:val="1"/>
                <w:bCs w:val="1"/>
                <w:color w:val="auto"/>
                <w:w w:val="95"/>
              </w:rPr>
              <w:t>Number of</w:t>
            </w:r>
          </w:p>
        </w:tc>
        <w:tc>
          <w:tcPr>
            <w:tcW w:w="300" w:type="dxa"/>
            <w:vAlign w:val="bottom"/>
          </w:tcPr>
          <w:p>
            <w:pPr>
              <w:spacing w:after="0"/>
              <w:rPr>
                <w:sz w:val="22"/>
                <w:szCs w:val="22"/>
                <w:color w:val="auto"/>
              </w:rPr>
            </w:pPr>
          </w:p>
        </w:tc>
        <w:tc>
          <w:tcPr>
            <w:tcW w:w="1040" w:type="dxa"/>
            <w:vAlign w:val="bottom"/>
          </w:tcPr>
          <w:p>
            <w:pPr>
              <w:jc w:val="center"/>
              <w:ind w:left="330"/>
              <w:spacing w:after="0"/>
              <w:rPr>
                <w:sz w:val="20"/>
                <w:szCs w:val="20"/>
                <w:color w:val="auto"/>
              </w:rPr>
            </w:pPr>
            <w:r>
              <w:rPr>
                <w:rFonts w:ascii="Arial" w:cs="Arial" w:eastAsia="Arial" w:hAnsi="Arial"/>
                <w:sz w:val="13"/>
                <w:szCs w:val="13"/>
                <w:b w:val="1"/>
                <w:bCs w:val="1"/>
                <w:color w:val="auto"/>
                <w:w w:val="98"/>
              </w:rPr>
              <w:t>Number of</w:t>
            </w: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left="230"/>
              <w:spacing w:after="0" w:line="131" w:lineRule="exact"/>
              <w:rPr>
                <w:sz w:val="20"/>
                <w:szCs w:val="20"/>
                <w:color w:val="auto"/>
              </w:rPr>
            </w:pPr>
            <w:r>
              <w:rPr>
                <w:rFonts w:ascii="Arial" w:cs="Arial" w:eastAsia="Arial" w:hAnsi="Arial"/>
                <w:sz w:val="13"/>
                <w:szCs w:val="13"/>
                <w:b w:val="1"/>
                <w:bCs w:val="1"/>
                <w:color w:val="auto"/>
                <w:w w:val="96"/>
              </w:rPr>
              <w:t>Securities</w:t>
            </w:r>
          </w:p>
        </w:tc>
        <w:tc>
          <w:tcPr>
            <w:tcW w:w="300" w:type="dxa"/>
            <w:vAlign w:val="bottom"/>
          </w:tcPr>
          <w:p>
            <w:pPr>
              <w:spacing w:after="0"/>
              <w:rPr>
                <w:sz w:val="11"/>
                <w:szCs w:val="11"/>
                <w:color w:val="auto"/>
              </w:rPr>
            </w:pPr>
          </w:p>
        </w:tc>
        <w:tc>
          <w:tcPr>
            <w:tcW w:w="1040" w:type="dxa"/>
            <w:vAlign w:val="bottom"/>
          </w:tcPr>
          <w:p>
            <w:pPr>
              <w:jc w:val="center"/>
              <w:ind w:left="330"/>
              <w:spacing w:after="0" w:line="131" w:lineRule="exact"/>
              <w:rPr>
                <w:sz w:val="20"/>
                <w:szCs w:val="20"/>
                <w:color w:val="auto"/>
              </w:rPr>
            </w:pPr>
            <w:r>
              <w:rPr>
                <w:rFonts w:ascii="Arial" w:cs="Arial" w:eastAsia="Arial" w:hAnsi="Arial"/>
                <w:sz w:val="13"/>
                <w:szCs w:val="13"/>
                <w:b w:val="1"/>
                <w:bCs w:val="1"/>
                <w:color w:val="auto"/>
                <w:w w:val="96"/>
              </w:rPr>
              <w:t>Securities</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Market Value of</w:t>
            </w: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color w:val="auto"/>
                <w:w w:val="97"/>
              </w:rPr>
              <w:t>Underlying</w:t>
            </w:r>
          </w:p>
        </w:tc>
        <w:tc>
          <w:tcPr>
            <w:tcW w:w="1520" w:type="dxa"/>
            <w:vAlign w:val="bottom"/>
            <w:gridSpan w:val="2"/>
          </w:tcPr>
          <w:p>
            <w:pPr>
              <w:jc w:val="center"/>
              <w:ind w:right="13"/>
              <w:spacing w:after="0" w:line="126" w:lineRule="exact"/>
              <w:rPr>
                <w:sz w:val="20"/>
                <w:szCs w:val="20"/>
                <w:color w:val="auto"/>
              </w:rPr>
            </w:pPr>
            <w:r>
              <w:rPr>
                <w:rFonts w:ascii="Arial" w:cs="Arial" w:eastAsia="Arial" w:hAnsi="Arial"/>
                <w:sz w:val="13"/>
                <w:szCs w:val="13"/>
                <w:b w:val="1"/>
                <w:bCs w:val="1"/>
                <w:color w:val="auto"/>
                <w:w w:val="97"/>
              </w:rPr>
              <w:t>Underlying</w:t>
            </w:r>
          </w:p>
        </w:tc>
        <w:tc>
          <w:tcPr>
            <w:tcW w:w="780" w:type="dxa"/>
            <w:vAlign w:val="bottom"/>
            <w:vMerge w:val="restart"/>
          </w:tcPr>
          <w:p>
            <w:pPr>
              <w:jc w:val="center"/>
              <w:ind w:right="109"/>
              <w:spacing w:after="0"/>
              <w:rPr>
                <w:sz w:val="20"/>
                <w:szCs w:val="20"/>
                <w:color w:val="auto"/>
              </w:rPr>
            </w:pPr>
            <w:r>
              <w:rPr>
                <w:rFonts w:ascii="Arial" w:cs="Arial" w:eastAsia="Arial" w:hAnsi="Arial"/>
                <w:sz w:val="13"/>
                <w:szCs w:val="13"/>
                <w:b w:val="1"/>
                <w:bCs w:val="1"/>
                <w:color w:val="auto"/>
                <w:w w:val="95"/>
              </w:rPr>
              <w:t>Option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Option</w:t>
            </w:r>
          </w:p>
        </w:tc>
        <w:tc>
          <w:tcPr>
            <w:tcW w:w="13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Number of Shares or</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5"/>
              </w:rPr>
              <w:t>Unexercised</w:t>
            </w:r>
          </w:p>
        </w:tc>
        <w:tc>
          <w:tcPr>
            <w:tcW w:w="1520" w:type="dxa"/>
            <w:vAlign w:val="bottom"/>
            <w:gridSpan w:val="2"/>
          </w:tcPr>
          <w:p>
            <w:pPr>
              <w:jc w:val="center"/>
              <w:ind w:right="33"/>
              <w:spacing w:after="0" w:line="122" w:lineRule="exact"/>
              <w:rPr>
                <w:sz w:val="20"/>
                <w:szCs w:val="20"/>
                <w:color w:val="auto"/>
              </w:rPr>
            </w:pPr>
            <w:r>
              <w:rPr>
                <w:rFonts w:ascii="Arial" w:cs="Arial" w:eastAsia="Arial" w:hAnsi="Arial"/>
                <w:sz w:val="13"/>
                <w:szCs w:val="13"/>
                <w:b w:val="1"/>
                <w:bCs w:val="1"/>
                <w:color w:val="auto"/>
                <w:w w:val="98"/>
              </w:rPr>
              <w:t>Unexercised</w:t>
            </w:r>
          </w:p>
        </w:tc>
        <w:tc>
          <w:tcPr>
            <w:tcW w:w="78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3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Shares or Units of</w:t>
            </w:r>
          </w:p>
        </w:tc>
        <w:tc>
          <w:tcPr>
            <w:tcW w:w="0" w:type="dxa"/>
            <w:vAlign w:val="bottom"/>
          </w:tcPr>
          <w:p>
            <w:pPr>
              <w:spacing w:after="0"/>
              <w:rPr>
                <w:sz w:val="1"/>
                <w:szCs w:val="1"/>
                <w:color w:val="auto"/>
              </w:rPr>
            </w:pPr>
          </w:p>
        </w:tc>
      </w:tr>
      <w:tr>
        <w:trPr>
          <w:trHeight w:val="135"/>
        </w:trPr>
        <w:tc>
          <w:tcPr>
            <w:tcW w:w="1780" w:type="dxa"/>
            <w:vAlign w:val="bottom"/>
            <w:vMerge w:val="restart"/>
          </w:tcPr>
          <w:p>
            <w:pPr>
              <w:ind w:left="7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1"/>
                <w:szCs w:val="11"/>
                <w:color w:val="auto"/>
              </w:rPr>
            </w:pPr>
          </w:p>
        </w:tc>
        <w:tc>
          <w:tcPr>
            <w:tcW w:w="10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Grant Date</w:t>
            </w:r>
            <w:r>
              <w:rPr>
                <w:rFonts w:ascii="Arial" w:cs="Arial" w:eastAsia="Arial" w:hAnsi="Arial"/>
                <w:sz w:val="16"/>
                <w:szCs w:val="16"/>
                <w:b w:val="1"/>
                <w:bCs w:val="1"/>
                <w:color w:val="auto"/>
                <w:vertAlign w:val="superscript"/>
              </w:rPr>
              <w:t>(1)</w:t>
            </w:r>
          </w:p>
        </w:tc>
        <w:tc>
          <w:tcPr>
            <w:tcW w:w="80" w:type="dxa"/>
            <w:vAlign w:val="bottom"/>
          </w:tcPr>
          <w:p>
            <w:pPr>
              <w:spacing w:after="0"/>
              <w:rPr>
                <w:sz w:val="11"/>
                <w:szCs w:val="11"/>
                <w:color w:val="auto"/>
              </w:rPr>
            </w:pPr>
          </w:p>
        </w:tc>
        <w:tc>
          <w:tcPr>
            <w:tcW w:w="12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6"/>
              </w:rPr>
              <w:t>Options (#)</w:t>
            </w:r>
          </w:p>
        </w:tc>
        <w:tc>
          <w:tcPr>
            <w:tcW w:w="1520" w:type="dxa"/>
            <w:vAlign w:val="bottom"/>
            <w:gridSpan w:val="2"/>
          </w:tcPr>
          <w:p>
            <w:pPr>
              <w:jc w:val="center"/>
              <w:ind w:right="13"/>
              <w:spacing w:after="0" w:line="135" w:lineRule="exact"/>
              <w:rPr>
                <w:sz w:val="20"/>
                <w:szCs w:val="20"/>
                <w:color w:val="auto"/>
              </w:rPr>
            </w:pPr>
            <w:r>
              <w:rPr>
                <w:rFonts w:ascii="Arial" w:cs="Arial" w:eastAsia="Arial" w:hAnsi="Arial"/>
                <w:sz w:val="13"/>
                <w:szCs w:val="13"/>
                <w:b w:val="1"/>
                <w:bCs w:val="1"/>
                <w:color w:val="auto"/>
                <w:w w:val="96"/>
              </w:rPr>
              <w:t>Options (#)</w:t>
            </w:r>
          </w:p>
        </w:tc>
        <w:tc>
          <w:tcPr>
            <w:tcW w:w="780" w:type="dxa"/>
            <w:vAlign w:val="bottom"/>
          </w:tcPr>
          <w:p>
            <w:pPr>
              <w:jc w:val="center"/>
              <w:ind w:right="109"/>
              <w:spacing w:after="0" w:line="135" w:lineRule="exact"/>
              <w:rPr>
                <w:sz w:val="20"/>
                <w:szCs w:val="20"/>
                <w:color w:val="auto"/>
              </w:rPr>
            </w:pPr>
            <w:r>
              <w:rPr>
                <w:rFonts w:ascii="Arial" w:cs="Arial" w:eastAsia="Arial" w:hAnsi="Arial"/>
                <w:sz w:val="13"/>
                <w:szCs w:val="13"/>
                <w:b w:val="1"/>
                <w:bCs w:val="1"/>
                <w:color w:val="auto"/>
                <w:w w:val="97"/>
              </w:rPr>
              <w:t>Exercise</w:t>
            </w: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Expiration</w:t>
            </w:r>
          </w:p>
        </w:tc>
        <w:tc>
          <w:tcPr>
            <w:tcW w:w="1320" w:type="dxa"/>
            <w:vAlign w:val="bottom"/>
            <w:gridSpan w:val="2"/>
          </w:tcPr>
          <w:p>
            <w:pPr>
              <w:jc w:val="center"/>
              <w:ind w:right="12"/>
              <w:spacing w:after="0" w:line="135" w:lineRule="exact"/>
              <w:rPr>
                <w:sz w:val="20"/>
                <w:szCs w:val="20"/>
                <w:color w:val="auto"/>
              </w:rPr>
            </w:pPr>
            <w:r>
              <w:rPr>
                <w:rFonts w:ascii="Arial" w:cs="Arial" w:eastAsia="Arial" w:hAnsi="Arial"/>
                <w:sz w:val="13"/>
                <w:szCs w:val="13"/>
                <w:b w:val="1"/>
                <w:bCs w:val="1"/>
                <w:color w:val="auto"/>
                <w:w w:val="96"/>
              </w:rPr>
              <w:t>Units of Stock That</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 That Have Not</w:t>
            </w:r>
          </w:p>
        </w:tc>
        <w:tc>
          <w:tcPr>
            <w:tcW w:w="0" w:type="dxa"/>
            <w:vAlign w:val="bottom"/>
          </w:tcPr>
          <w:p>
            <w:pPr>
              <w:spacing w:after="0"/>
              <w:rPr>
                <w:sz w:val="1"/>
                <w:szCs w:val="1"/>
                <w:color w:val="auto"/>
              </w:rPr>
            </w:pPr>
          </w:p>
        </w:tc>
      </w:tr>
      <w:tr>
        <w:trPr>
          <w:trHeight w:val="176"/>
        </w:trPr>
        <w:tc>
          <w:tcPr>
            <w:tcW w:w="1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520" w:type="dxa"/>
            <w:vAlign w:val="bottom"/>
            <w:gridSpan w:val="2"/>
          </w:tcPr>
          <w:p>
            <w:pPr>
              <w:jc w:val="center"/>
              <w:ind w:right="33"/>
              <w:spacing w:after="0"/>
              <w:rPr>
                <w:sz w:val="20"/>
                <w:szCs w:val="20"/>
                <w:color w:val="auto"/>
              </w:rPr>
            </w:pPr>
            <w:r>
              <w:rPr>
                <w:rFonts w:ascii="Arial" w:cs="Arial" w:eastAsia="Arial" w:hAnsi="Arial"/>
                <w:sz w:val="13"/>
                <w:szCs w:val="13"/>
                <w:b w:val="1"/>
                <w:bCs w:val="1"/>
                <w:color w:val="auto"/>
                <w:w w:val="95"/>
              </w:rPr>
              <w:t>Unexercisable</w:t>
            </w:r>
          </w:p>
        </w:tc>
        <w:tc>
          <w:tcPr>
            <w:tcW w:w="780" w:type="dxa"/>
            <w:vAlign w:val="bottom"/>
          </w:tcPr>
          <w:p>
            <w:pPr>
              <w:jc w:val="center"/>
              <w:ind w:right="89"/>
              <w:spacing w:after="0"/>
              <w:rPr>
                <w:sz w:val="20"/>
                <w:szCs w:val="20"/>
                <w:color w:val="auto"/>
              </w:rPr>
            </w:pPr>
            <w:r>
              <w:rPr>
                <w:rFonts w:ascii="Arial" w:cs="Arial" w:eastAsia="Arial" w:hAnsi="Arial"/>
                <w:sz w:val="13"/>
                <w:szCs w:val="13"/>
                <w:b w:val="1"/>
                <w:bCs w:val="1"/>
                <w:color w:val="auto"/>
                <w:w w:val="97"/>
              </w:rPr>
              <w:t>Price ($)</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Date</w:t>
            </w:r>
          </w:p>
        </w:tc>
        <w:tc>
          <w:tcPr>
            <w:tcW w:w="1320" w:type="dxa"/>
            <w:vAlign w:val="bottom"/>
            <w:gridSpan w:val="2"/>
          </w:tcPr>
          <w:p>
            <w:pPr>
              <w:jc w:val="center"/>
              <w:ind w:right="12"/>
              <w:spacing w:after="0"/>
              <w:rPr>
                <w:sz w:val="20"/>
                <w:szCs w:val="20"/>
                <w:color w:val="auto"/>
              </w:rPr>
            </w:pPr>
            <w:r>
              <w:rPr>
                <w:rFonts w:ascii="Arial" w:cs="Arial" w:eastAsia="Arial" w:hAnsi="Arial"/>
                <w:sz w:val="13"/>
                <w:szCs w:val="13"/>
                <w:b w:val="1"/>
                <w:bCs w:val="1"/>
                <w:color w:val="auto"/>
                <w:w w:val="96"/>
              </w:rPr>
              <w:t>Have Not Vested (#)</w:t>
            </w:r>
          </w:p>
        </w:tc>
        <w:tc>
          <w:tcPr>
            <w:tcW w:w="134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93"/>
              </w:rPr>
              <w:t>Vested ($)</w:t>
            </w:r>
            <w:r>
              <w:rPr>
                <w:rFonts w:ascii="Arial" w:cs="Arial" w:eastAsia="Arial" w:hAnsi="Arial"/>
                <w:sz w:val="16"/>
                <w:szCs w:val="16"/>
                <w:b w:val="1"/>
                <w:bCs w:val="1"/>
                <w:color w:val="auto"/>
                <w:w w:val="93"/>
                <w:vertAlign w:val="superscript"/>
              </w:rPr>
              <w:t>(2)</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Omid Farokhzad, M.D.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2/19/2018</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3,522</w:t>
            </w:r>
          </w:p>
        </w:tc>
        <w:tc>
          <w:tcPr>
            <w:tcW w:w="420" w:type="dxa"/>
            <w:vAlign w:val="bottom"/>
            <w:shd w:val="clear" w:color="auto" w:fill="CCEEFF"/>
          </w:tcPr>
          <w:p>
            <w:pPr>
              <w:ind w:left="80"/>
              <w:spacing w:after="0"/>
              <w:rPr>
                <w:sz w:val="20"/>
                <w:szCs w:val="20"/>
                <w:color w:val="auto"/>
              </w:rPr>
            </w:pPr>
            <w:r>
              <w:rPr>
                <w:rFonts w:ascii="Arial" w:cs="Arial" w:eastAsia="Arial" w:hAnsi="Arial"/>
                <w:sz w:val="9"/>
                <w:szCs w:val="9"/>
                <w:color w:val="auto"/>
              </w:rPr>
              <w:t>(3)</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80,337</w:t>
            </w:r>
          </w:p>
        </w:tc>
        <w:tc>
          <w:tcPr>
            <w:tcW w:w="0" w:type="dxa"/>
            <w:vAlign w:val="bottom"/>
          </w:tcPr>
          <w:p>
            <w:pPr>
              <w:spacing w:after="0"/>
              <w:rPr>
                <w:sz w:val="1"/>
                <w:szCs w:val="1"/>
                <w:color w:val="auto"/>
              </w:rPr>
            </w:pPr>
          </w:p>
        </w:tc>
      </w:tr>
      <w:tr>
        <w:trPr>
          <w:trHeight w:val="150"/>
        </w:trPr>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tcPr>
          <w:p>
            <w:pPr>
              <w:jc w:val="right"/>
              <w:spacing w:after="0" w:line="151" w:lineRule="exact"/>
              <w:rPr>
                <w:sz w:val="20"/>
                <w:szCs w:val="20"/>
                <w:color w:val="auto"/>
              </w:rPr>
            </w:pPr>
            <w:r>
              <w:rPr>
                <w:rFonts w:ascii="Arial" w:cs="Arial" w:eastAsia="Arial" w:hAnsi="Arial"/>
                <w:sz w:val="14"/>
                <w:szCs w:val="14"/>
                <w:color w:val="auto"/>
              </w:rPr>
              <w:t>5/18/2018</w:t>
            </w:r>
          </w:p>
        </w:tc>
        <w:tc>
          <w:tcPr>
            <w:tcW w:w="10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210,935</w:t>
            </w:r>
          </w:p>
        </w:tc>
        <w:tc>
          <w:tcPr>
            <w:tcW w:w="2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9"/>
                <w:szCs w:val="9"/>
                <w:color w:val="auto"/>
              </w:rPr>
              <w:t>(4)</w:t>
            </w:r>
          </w:p>
        </w:tc>
        <w:tc>
          <w:tcPr>
            <w:tcW w:w="1040" w:type="dxa"/>
            <w:vAlign w:val="bottom"/>
          </w:tcPr>
          <w:p>
            <w:pPr>
              <w:jc w:val="right"/>
              <w:ind w:right="10"/>
              <w:spacing w:after="0" w:line="151"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780" w:type="dxa"/>
            <w:vAlign w:val="bottom"/>
          </w:tcPr>
          <w:p>
            <w:pPr>
              <w:jc w:val="right"/>
              <w:ind w:right="89"/>
              <w:spacing w:after="0" w:line="151" w:lineRule="exact"/>
              <w:rPr>
                <w:sz w:val="20"/>
                <w:szCs w:val="20"/>
                <w:color w:val="auto"/>
              </w:rPr>
            </w:pPr>
            <w:r>
              <w:rPr>
                <w:rFonts w:ascii="Arial" w:cs="Arial" w:eastAsia="Arial" w:hAnsi="Arial"/>
                <w:sz w:val="14"/>
                <w:szCs w:val="14"/>
                <w:color w:val="auto"/>
              </w:rPr>
              <w:t>0.05</w:t>
            </w:r>
          </w:p>
        </w:tc>
        <w:tc>
          <w:tcPr>
            <w:tcW w:w="960" w:type="dxa"/>
            <w:vAlign w:val="bottom"/>
          </w:tcPr>
          <w:p>
            <w:pPr>
              <w:jc w:val="right"/>
              <w:spacing w:after="0" w:line="151" w:lineRule="exact"/>
              <w:rPr>
                <w:sz w:val="20"/>
                <w:szCs w:val="20"/>
                <w:color w:val="auto"/>
              </w:rPr>
            </w:pPr>
            <w:r>
              <w:rPr>
                <w:rFonts w:ascii="Arial" w:cs="Arial" w:eastAsia="Arial" w:hAnsi="Arial"/>
                <w:sz w:val="14"/>
                <w:szCs w:val="14"/>
                <w:color w:val="auto"/>
              </w:rPr>
              <w:t>5/17/2028</w:t>
            </w:r>
          </w:p>
        </w:tc>
        <w:tc>
          <w:tcPr>
            <w:tcW w:w="100" w:type="dxa"/>
            <w:vAlign w:val="bottom"/>
          </w:tcPr>
          <w:p>
            <w:pPr>
              <w:spacing w:after="0"/>
              <w:rPr>
                <w:sz w:val="13"/>
                <w:szCs w:val="13"/>
                <w:color w:val="auto"/>
              </w:rPr>
            </w:pPr>
          </w:p>
        </w:tc>
        <w:tc>
          <w:tcPr>
            <w:tcW w:w="90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1340" w:type="dxa"/>
            <w:vAlign w:val="bottom"/>
          </w:tcPr>
          <w:p>
            <w:pPr>
              <w:jc w:val="right"/>
              <w:ind w:right="9"/>
              <w:spacing w:after="0" w:line="15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2"/>
        </w:trPr>
        <w:tc>
          <w:tcPr>
            <w:tcW w:w="1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tcPr>
          <w:p>
            <w:pPr>
              <w:spacing w:after="0"/>
              <w:rPr>
                <w:sz w:val="4"/>
                <w:szCs w:val="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915,524</w:t>
            </w:r>
          </w:p>
        </w:tc>
        <w:tc>
          <w:tcPr>
            <w:tcW w:w="20" w:type="dxa"/>
            <w:vAlign w:val="bottom"/>
          </w:tcPr>
          <w:p>
            <w:pPr>
              <w:spacing w:after="0"/>
              <w:rPr>
                <w:sz w:val="4"/>
                <w:szCs w:val="4"/>
                <w:color w:val="auto"/>
              </w:rPr>
            </w:pPr>
          </w:p>
        </w:tc>
        <w:tc>
          <w:tcPr>
            <w:tcW w:w="300" w:type="dxa"/>
            <w:vAlign w:val="bottom"/>
            <w:vMerge w:val="restart"/>
          </w:tcPr>
          <w:p>
            <w:pPr>
              <w:spacing w:after="0"/>
              <w:rPr>
                <w:sz w:val="20"/>
                <w:szCs w:val="20"/>
                <w:color w:val="auto"/>
              </w:rPr>
            </w:pPr>
            <w:r>
              <w:rPr>
                <w:rFonts w:ascii="Arial" w:cs="Arial" w:eastAsia="Arial" w:hAnsi="Arial"/>
                <w:sz w:val="9"/>
                <w:szCs w:val="9"/>
                <w:color w:val="auto"/>
              </w:rPr>
              <w:t>(5)</w:t>
            </w:r>
          </w:p>
        </w:tc>
        <w:tc>
          <w:tcPr>
            <w:tcW w:w="10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4"/>
                <w:szCs w:val="4"/>
                <w:color w:val="auto"/>
              </w:rPr>
            </w:pPr>
          </w:p>
        </w:tc>
        <w:tc>
          <w:tcPr>
            <w:tcW w:w="780" w:type="dxa"/>
            <w:vAlign w:val="bottom"/>
            <w:vMerge w:val="restart"/>
          </w:tcPr>
          <w:p>
            <w:pPr>
              <w:jc w:val="right"/>
              <w:ind w:right="89"/>
              <w:spacing w:after="0"/>
              <w:rPr>
                <w:sz w:val="20"/>
                <w:szCs w:val="20"/>
                <w:color w:val="auto"/>
              </w:rPr>
            </w:pPr>
            <w:r>
              <w:rPr>
                <w:rFonts w:ascii="Arial" w:cs="Arial" w:eastAsia="Arial" w:hAnsi="Arial"/>
                <w:sz w:val="14"/>
                <w:szCs w:val="14"/>
                <w:color w:val="auto"/>
              </w:rPr>
              <w:t>2.70</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1/27/2030</w:t>
            </w:r>
          </w:p>
        </w:tc>
        <w:tc>
          <w:tcPr>
            <w:tcW w:w="100" w:type="dxa"/>
            <w:vAlign w:val="bottom"/>
          </w:tcPr>
          <w:p>
            <w:pPr>
              <w:spacing w:after="0"/>
              <w:rPr>
                <w:sz w:val="4"/>
                <w:szCs w:val="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4"/>
                <w:szCs w:val="4"/>
                <w:color w:val="auto"/>
              </w:rPr>
            </w:pPr>
          </w:p>
        </w:tc>
        <w:tc>
          <w:tcPr>
            <w:tcW w:w="13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1/28/2020</w:t>
            </w:r>
          </w:p>
        </w:tc>
        <w:tc>
          <w:tcPr>
            <w:tcW w:w="10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7/28/2020</w:t>
            </w:r>
          </w:p>
        </w:tc>
        <w:tc>
          <w:tcPr>
            <w:tcW w:w="80" w:type="dxa"/>
            <w:vAlign w:val="bottom"/>
          </w:tcPr>
          <w:p>
            <w:pPr>
              <w:spacing w:after="0"/>
              <w:rPr>
                <w:sz w:val="4"/>
                <w:szCs w:val="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532,718</w:t>
            </w:r>
          </w:p>
        </w:tc>
        <w:tc>
          <w:tcPr>
            <w:tcW w:w="20" w:type="dxa"/>
            <w:vAlign w:val="bottom"/>
          </w:tcPr>
          <w:p>
            <w:pPr>
              <w:spacing w:after="0"/>
              <w:rPr>
                <w:sz w:val="4"/>
                <w:szCs w:val="4"/>
                <w:color w:val="auto"/>
              </w:rPr>
            </w:pPr>
          </w:p>
        </w:tc>
        <w:tc>
          <w:tcPr>
            <w:tcW w:w="300" w:type="dxa"/>
            <w:vAlign w:val="bottom"/>
            <w:vMerge w:val="restart"/>
          </w:tcPr>
          <w:p>
            <w:pPr>
              <w:spacing w:after="0"/>
              <w:rPr>
                <w:sz w:val="20"/>
                <w:szCs w:val="20"/>
                <w:color w:val="auto"/>
              </w:rPr>
            </w:pPr>
            <w:r>
              <w:rPr>
                <w:rFonts w:ascii="Arial" w:cs="Arial" w:eastAsia="Arial" w:hAnsi="Arial"/>
                <w:sz w:val="9"/>
                <w:szCs w:val="9"/>
                <w:color w:val="auto"/>
              </w:rPr>
              <w:t>(6)</w:t>
            </w:r>
          </w:p>
        </w:tc>
        <w:tc>
          <w:tcPr>
            <w:tcW w:w="10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4"/>
                <w:szCs w:val="4"/>
                <w:color w:val="auto"/>
              </w:rPr>
            </w:pPr>
          </w:p>
        </w:tc>
        <w:tc>
          <w:tcPr>
            <w:tcW w:w="780" w:type="dxa"/>
            <w:vAlign w:val="bottom"/>
            <w:vMerge w:val="restart"/>
          </w:tcPr>
          <w:p>
            <w:pPr>
              <w:jc w:val="right"/>
              <w:ind w:right="89"/>
              <w:spacing w:after="0"/>
              <w:rPr>
                <w:sz w:val="20"/>
                <w:szCs w:val="20"/>
                <w:color w:val="auto"/>
              </w:rPr>
            </w:pPr>
            <w:r>
              <w:rPr>
                <w:rFonts w:ascii="Arial" w:cs="Arial" w:eastAsia="Arial" w:hAnsi="Arial"/>
                <w:sz w:val="14"/>
                <w:szCs w:val="14"/>
                <w:color w:val="auto"/>
              </w:rPr>
              <w:t>3.47</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7/27/2030</w:t>
            </w:r>
          </w:p>
        </w:tc>
        <w:tc>
          <w:tcPr>
            <w:tcW w:w="100" w:type="dxa"/>
            <w:vAlign w:val="bottom"/>
          </w:tcPr>
          <w:p>
            <w:pPr>
              <w:spacing w:after="0"/>
              <w:rPr>
                <w:sz w:val="4"/>
                <w:szCs w:val="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4"/>
                <w:szCs w:val="4"/>
                <w:color w:val="auto"/>
              </w:rPr>
            </w:pPr>
          </w:p>
        </w:tc>
        <w:tc>
          <w:tcPr>
            <w:tcW w:w="13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12/3/2020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146,066</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438,199</w:t>
            </w:r>
          </w:p>
        </w:tc>
        <w:tc>
          <w:tcPr>
            <w:tcW w:w="480" w:type="dxa"/>
            <w:vAlign w:val="bottom"/>
            <w:shd w:val="clear" w:color="auto" w:fill="CCEEFF"/>
          </w:tcPr>
          <w:p>
            <w:pPr>
              <w:spacing w:after="0"/>
              <w:rPr>
                <w:sz w:val="20"/>
                <w:szCs w:val="20"/>
                <w:color w:val="auto"/>
              </w:rPr>
            </w:pPr>
            <w:r>
              <w:rPr>
                <w:rFonts w:ascii="Arial" w:cs="Arial" w:eastAsia="Arial" w:hAnsi="Arial"/>
                <w:sz w:val="9"/>
                <w:szCs w:val="9"/>
                <w:color w:val="auto"/>
              </w:rPr>
              <w:t>(7)</w:t>
            </w:r>
          </w:p>
        </w:tc>
        <w:tc>
          <w:tcPr>
            <w:tcW w:w="7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19.00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12/2/2030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12/3/2020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22,320</w:t>
            </w:r>
          </w:p>
        </w:tc>
        <w:tc>
          <w:tcPr>
            <w:tcW w:w="420" w:type="dxa"/>
            <w:vAlign w:val="bottom"/>
            <w:shd w:val="clear" w:color="auto" w:fill="CCEEFF"/>
          </w:tcPr>
          <w:p>
            <w:pPr>
              <w:ind w:left="80"/>
              <w:spacing w:after="0"/>
              <w:rPr>
                <w:sz w:val="20"/>
                <w:szCs w:val="20"/>
                <w:color w:val="auto"/>
              </w:rPr>
            </w:pPr>
            <w:r>
              <w:rPr>
                <w:rFonts w:ascii="Arial" w:cs="Arial" w:eastAsia="Arial" w:hAnsi="Arial"/>
                <w:sz w:val="9"/>
                <w:szCs w:val="9"/>
                <w:color w:val="auto"/>
              </w:rPr>
              <w:t>(8)</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509,119</w:t>
            </w:r>
          </w:p>
        </w:tc>
        <w:tc>
          <w:tcPr>
            <w:tcW w:w="0" w:type="dxa"/>
            <w:vAlign w:val="bottom"/>
          </w:tcPr>
          <w:p>
            <w:pPr>
              <w:spacing w:after="0"/>
              <w:rPr>
                <w:sz w:val="1"/>
                <w:szCs w:val="1"/>
                <w:color w:val="auto"/>
              </w:rPr>
            </w:pPr>
          </w:p>
        </w:tc>
      </w:tr>
      <w:tr>
        <w:trPr>
          <w:trHeight w:val="211"/>
        </w:trPr>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2/1/2021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87,000</w:t>
            </w:r>
          </w:p>
        </w:tc>
        <w:tc>
          <w:tcPr>
            <w:tcW w:w="480" w:type="dxa"/>
            <w:vAlign w:val="bottom"/>
            <w:shd w:val="clear" w:color="auto" w:fill="CCEEFF"/>
          </w:tcPr>
          <w:p>
            <w:pPr>
              <w:spacing w:after="0"/>
              <w:rPr>
                <w:sz w:val="20"/>
                <w:szCs w:val="20"/>
                <w:color w:val="auto"/>
              </w:rPr>
            </w:pPr>
            <w:r>
              <w:rPr>
                <w:rFonts w:ascii="Arial" w:cs="Arial" w:eastAsia="Arial" w:hAnsi="Arial"/>
                <w:sz w:val="9"/>
                <w:szCs w:val="9"/>
                <w:color w:val="auto"/>
              </w:rPr>
              <w:t>(9)</w:t>
            </w:r>
          </w:p>
        </w:tc>
        <w:tc>
          <w:tcPr>
            <w:tcW w:w="7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60.15</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1/31/2031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2/1/2021</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300" w:type="dxa"/>
            <w:vAlign w:val="bottom"/>
            <w:vMerge w:val="restart"/>
          </w:tcPr>
          <w:p>
            <w:pPr>
              <w:spacing w:after="0"/>
              <w:rPr>
                <w:sz w:val="20"/>
                <w:szCs w:val="20"/>
                <w:color w:val="auto"/>
              </w:rPr>
            </w:pPr>
            <w:r>
              <w:rPr>
                <w:rFonts w:ascii="Arial" w:cs="Arial" w:eastAsia="Arial" w:hAnsi="Arial"/>
                <w:sz w:val="9"/>
                <w:szCs w:val="9"/>
                <w:color w:val="auto"/>
              </w:rPr>
              <w:t>(11)</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87,000</w:t>
            </w:r>
          </w:p>
        </w:tc>
        <w:tc>
          <w:tcPr>
            <w:tcW w:w="420" w:type="dxa"/>
            <w:vAlign w:val="bottom"/>
            <w:shd w:val="clear" w:color="auto" w:fill="CCEEFF"/>
          </w:tcPr>
          <w:p>
            <w:pPr>
              <w:ind w:left="80"/>
              <w:spacing w:after="0"/>
              <w:rPr>
                <w:sz w:val="20"/>
                <w:szCs w:val="20"/>
                <w:color w:val="auto"/>
              </w:rPr>
            </w:pPr>
            <w:r>
              <w:rPr>
                <w:rFonts w:ascii="Arial" w:cs="Arial" w:eastAsia="Arial" w:hAnsi="Arial"/>
                <w:sz w:val="9"/>
                <w:szCs w:val="9"/>
                <w:color w:val="auto"/>
              </w:rPr>
              <w:t>(10)</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1,984,470</w:t>
            </w:r>
          </w:p>
        </w:tc>
        <w:tc>
          <w:tcPr>
            <w:tcW w:w="0" w:type="dxa"/>
            <w:vAlign w:val="bottom"/>
          </w:tcPr>
          <w:p>
            <w:pPr>
              <w:spacing w:after="0"/>
              <w:rPr>
                <w:sz w:val="1"/>
                <w:szCs w:val="1"/>
                <w:color w:val="auto"/>
              </w:rPr>
            </w:pPr>
          </w:p>
        </w:tc>
      </w:tr>
      <w:tr>
        <w:trPr>
          <w:trHeight w:val="150"/>
        </w:trPr>
        <w:tc>
          <w:tcPr>
            <w:tcW w:w="1780" w:type="dxa"/>
            <w:vAlign w:val="bottom"/>
          </w:tcPr>
          <w:p>
            <w:pPr>
              <w:ind w:left="20"/>
              <w:spacing w:after="0" w:line="150" w:lineRule="exact"/>
              <w:rPr>
                <w:sz w:val="20"/>
                <w:szCs w:val="20"/>
                <w:color w:val="auto"/>
              </w:rPr>
            </w:pPr>
            <w:r>
              <w:rPr>
                <w:rFonts w:ascii="Arial" w:cs="Arial" w:eastAsia="Arial" w:hAnsi="Arial"/>
                <w:sz w:val="14"/>
                <w:szCs w:val="14"/>
                <w:color w:val="auto"/>
              </w:rPr>
              <w:t>Omead Ostadan</w:t>
            </w:r>
            <w:r>
              <w:rPr>
                <w:rFonts w:ascii="Arial" w:cs="Arial" w:eastAsia="Arial" w:hAnsi="Arial"/>
                <w:sz w:val="17"/>
                <w:szCs w:val="17"/>
                <w:color w:val="auto"/>
                <w:vertAlign w:val="superscript"/>
              </w:rPr>
              <w:t>(17)</w:t>
            </w:r>
          </w:p>
        </w:tc>
        <w:tc>
          <w:tcPr>
            <w:tcW w:w="114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3/5/2020</w:t>
            </w:r>
          </w:p>
        </w:tc>
        <w:tc>
          <w:tcPr>
            <w:tcW w:w="10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852,793</w:t>
            </w:r>
          </w:p>
        </w:tc>
        <w:tc>
          <w:tcPr>
            <w:tcW w:w="2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040" w:type="dxa"/>
            <w:vAlign w:val="bottom"/>
          </w:tcPr>
          <w:p>
            <w:pPr>
              <w:jc w:val="right"/>
              <w:ind w:right="10"/>
              <w:spacing w:after="0" w:line="151"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780" w:type="dxa"/>
            <w:vAlign w:val="bottom"/>
          </w:tcPr>
          <w:p>
            <w:pPr>
              <w:jc w:val="right"/>
              <w:ind w:right="89"/>
              <w:spacing w:after="0" w:line="151" w:lineRule="exact"/>
              <w:rPr>
                <w:sz w:val="20"/>
                <w:szCs w:val="20"/>
                <w:color w:val="auto"/>
              </w:rPr>
            </w:pPr>
            <w:r>
              <w:rPr>
                <w:rFonts w:ascii="Arial" w:cs="Arial" w:eastAsia="Arial" w:hAnsi="Arial"/>
                <w:sz w:val="14"/>
                <w:szCs w:val="14"/>
                <w:color w:val="auto"/>
              </w:rPr>
              <w:t>2.70</w:t>
            </w:r>
          </w:p>
        </w:tc>
        <w:tc>
          <w:tcPr>
            <w:tcW w:w="960" w:type="dxa"/>
            <w:vAlign w:val="bottom"/>
          </w:tcPr>
          <w:p>
            <w:pPr>
              <w:jc w:val="right"/>
              <w:spacing w:after="0" w:line="151" w:lineRule="exact"/>
              <w:rPr>
                <w:sz w:val="20"/>
                <w:szCs w:val="20"/>
                <w:color w:val="auto"/>
              </w:rPr>
            </w:pPr>
            <w:r>
              <w:rPr>
                <w:rFonts w:ascii="Arial" w:cs="Arial" w:eastAsia="Arial" w:hAnsi="Arial"/>
                <w:sz w:val="14"/>
                <w:szCs w:val="14"/>
                <w:color w:val="auto"/>
              </w:rPr>
              <w:t>3/4/2030</w:t>
            </w:r>
          </w:p>
        </w:tc>
        <w:tc>
          <w:tcPr>
            <w:tcW w:w="100" w:type="dxa"/>
            <w:vAlign w:val="bottom"/>
          </w:tcPr>
          <w:p>
            <w:pPr>
              <w:spacing w:after="0"/>
              <w:rPr>
                <w:sz w:val="13"/>
                <w:szCs w:val="13"/>
                <w:color w:val="auto"/>
              </w:rPr>
            </w:pPr>
          </w:p>
        </w:tc>
        <w:tc>
          <w:tcPr>
            <w:tcW w:w="90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1340" w:type="dxa"/>
            <w:vAlign w:val="bottom"/>
          </w:tcPr>
          <w:p>
            <w:pPr>
              <w:jc w:val="right"/>
              <w:ind w:right="9"/>
              <w:spacing w:after="0" w:line="15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7"/>
        </w:trPr>
        <w:tc>
          <w:tcPr>
            <w:tcW w:w="17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3/5/2020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285,481</w:t>
            </w:r>
          </w:p>
        </w:tc>
        <w:tc>
          <w:tcPr>
            <w:tcW w:w="2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Arial" w:cs="Arial" w:eastAsia="Arial" w:hAnsi="Arial"/>
                <w:sz w:val="9"/>
                <w:szCs w:val="9"/>
                <w:color w:val="auto"/>
              </w:rPr>
              <w:t>(12)</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2.70</w:t>
            </w:r>
          </w:p>
        </w:tc>
        <w:tc>
          <w:tcPr>
            <w:tcW w:w="960" w:type="dxa"/>
            <w:vAlign w:val="bottom"/>
          </w:tcPr>
          <w:p>
            <w:pPr>
              <w:jc w:val="right"/>
              <w:spacing w:after="0"/>
              <w:rPr>
                <w:sz w:val="20"/>
                <w:szCs w:val="20"/>
                <w:color w:val="auto"/>
              </w:rPr>
            </w:pPr>
            <w:r>
              <w:rPr>
                <w:rFonts w:ascii="Arial" w:cs="Arial" w:eastAsia="Arial" w:hAnsi="Arial"/>
                <w:sz w:val="14"/>
                <w:szCs w:val="14"/>
                <w:color w:val="auto"/>
              </w:rPr>
              <w:t>3/4/2030</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ind w:left="80"/>
              <w:spacing w:after="0"/>
              <w:rPr>
                <w:sz w:val="20"/>
                <w:szCs w:val="20"/>
                <w:color w:val="auto"/>
              </w:rPr>
            </w:pPr>
            <w:r>
              <w:rPr>
                <w:rFonts w:ascii="Arial" w:cs="Arial" w:eastAsia="Arial" w:hAnsi="Arial"/>
                <w:sz w:val="9"/>
                <w:szCs w:val="9"/>
                <w:color w:val="auto"/>
              </w:rPr>
              <w:t>(13)</w:t>
            </w: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7/28/2020</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spacing w:after="0"/>
              <w:rPr>
                <w:sz w:val="20"/>
                <w:szCs w:val="20"/>
                <w:color w:val="auto"/>
              </w:rPr>
            </w:pPr>
            <w:r>
              <w:rPr>
                <w:rFonts w:ascii="Arial" w:cs="Arial" w:eastAsia="Arial" w:hAnsi="Arial"/>
                <w:sz w:val="9"/>
                <w:szCs w:val="9"/>
                <w:color w:val="auto"/>
              </w:rPr>
              <w:t>(6)</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233,672</w:t>
            </w:r>
          </w:p>
        </w:tc>
        <w:tc>
          <w:tcPr>
            <w:tcW w:w="420" w:type="dxa"/>
            <w:vAlign w:val="bottom"/>
            <w:vMerge w:val="continue"/>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5,330,058</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7/28/2020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290,572</w:t>
            </w:r>
          </w:p>
        </w:tc>
        <w:tc>
          <w:tcPr>
            <w:tcW w:w="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3.47</w:t>
            </w:r>
          </w:p>
        </w:tc>
        <w:tc>
          <w:tcPr>
            <w:tcW w:w="960" w:type="dxa"/>
            <w:vAlign w:val="bottom"/>
          </w:tcPr>
          <w:p>
            <w:pPr>
              <w:jc w:val="right"/>
              <w:spacing w:after="0"/>
              <w:rPr>
                <w:sz w:val="20"/>
                <w:szCs w:val="20"/>
                <w:color w:val="auto"/>
              </w:rPr>
            </w:pPr>
            <w:r>
              <w:rPr>
                <w:rFonts w:ascii="Arial" w:cs="Arial" w:eastAsia="Arial" w:hAnsi="Arial"/>
                <w:sz w:val="14"/>
                <w:szCs w:val="14"/>
                <w:color w:val="auto"/>
              </w:rPr>
              <w:t>7/27/2030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12/3/2020</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201,909</w:t>
            </w:r>
          </w:p>
        </w:tc>
        <w:tc>
          <w:tcPr>
            <w:tcW w:w="480" w:type="dxa"/>
            <w:vAlign w:val="bottom"/>
          </w:tcPr>
          <w:p>
            <w:pPr>
              <w:spacing w:after="0"/>
              <w:rPr>
                <w:sz w:val="20"/>
                <w:szCs w:val="20"/>
                <w:color w:val="auto"/>
              </w:rPr>
            </w:pPr>
            <w:r>
              <w:rPr>
                <w:rFonts w:ascii="Arial" w:cs="Arial" w:eastAsia="Arial" w:hAnsi="Arial"/>
                <w:sz w:val="9"/>
                <w:szCs w:val="9"/>
                <w:color w:val="auto"/>
              </w:rPr>
              <w:t>(7)</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19.00</w:t>
            </w:r>
          </w:p>
        </w:tc>
        <w:tc>
          <w:tcPr>
            <w:tcW w:w="960" w:type="dxa"/>
            <w:vAlign w:val="bottom"/>
          </w:tcPr>
          <w:p>
            <w:pPr>
              <w:jc w:val="right"/>
              <w:spacing w:after="0"/>
              <w:rPr>
                <w:sz w:val="20"/>
                <w:szCs w:val="20"/>
                <w:color w:val="auto"/>
              </w:rPr>
            </w:pPr>
            <w:r>
              <w:rPr>
                <w:rFonts w:ascii="Arial" w:cs="Arial" w:eastAsia="Arial" w:hAnsi="Arial"/>
                <w:sz w:val="14"/>
                <w:szCs w:val="14"/>
                <w:color w:val="auto"/>
              </w:rPr>
              <w:t>12/2/2030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ind w:left="80"/>
              <w:spacing w:after="0"/>
              <w:rPr>
                <w:sz w:val="20"/>
                <w:szCs w:val="20"/>
                <w:color w:val="auto"/>
              </w:rPr>
            </w:pPr>
            <w:r>
              <w:rPr>
                <w:rFonts w:ascii="Arial" w:cs="Arial" w:eastAsia="Arial" w:hAnsi="Arial"/>
                <w:sz w:val="9"/>
                <w:szCs w:val="9"/>
                <w:color w:val="auto"/>
              </w:rPr>
              <w:t>(8)</w:t>
            </w: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12/3/2020</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14,845</w:t>
            </w:r>
          </w:p>
        </w:tc>
        <w:tc>
          <w:tcPr>
            <w:tcW w:w="420" w:type="dxa"/>
            <w:vAlign w:val="bottom"/>
            <w:vMerge w:val="continue"/>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338,614</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2/1/2021</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41,250</w:t>
            </w:r>
          </w:p>
        </w:tc>
        <w:tc>
          <w:tcPr>
            <w:tcW w:w="480" w:type="dxa"/>
            <w:vAlign w:val="bottom"/>
          </w:tcPr>
          <w:p>
            <w:pPr>
              <w:spacing w:after="0"/>
              <w:rPr>
                <w:sz w:val="20"/>
                <w:szCs w:val="20"/>
                <w:color w:val="auto"/>
              </w:rPr>
            </w:pPr>
            <w:r>
              <w:rPr>
                <w:rFonts w:ascii="Arial" w:cs="Arial" w:eastAsia="Arial" w:hAnsi="Arial"/>
                <w:sz w:val="9"/>
                <w:szCs w:val="9"/>
                <w:color w:val="auto"/>
              </w:rPr>
              <w:t>(9)</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60.15</w:t>
            </w:r>
          </w:p>
        </w:tc>
        <w:tc>
          <w:tcPr>
            <w:tcW w:w="960" w:type="dxa"/>
            <w:vAlign w:val="bottom"/>
          </w:tcPr>
          <w:p>
            <w:pPr>
              <w:jc w:val="right"/>
              <w:spacing w:after="0"/>
              <w:rPr>
                <w:sz w:val="20"/>
                <w:szCs w:val="20"/>
                <w:color w:val="auto"/>
              </w:rPr>
            </w:pPr>
            <w:r>
              <w:rPr>
                <w:rFonts w:ascii="Arial" w:cs="Arial" w:eastAsia="Arial" w:hAnsi="Arial"/>
                <w:sz w:val="14"/>
                <w:szCs w:val="14"/>
                <w:color w:val="auto"/>
              </w:rPr>
              <w:t>1/31/2031</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ind w:left="80"/>
              <w:spacing w:after="0"/>
              <w:rPr>
                <w:sz w:val="20"/>
                <w:szCs w:val="20"/>
                <w:color w:val="auto"/>
              </w:rPr>
            </w:pPr>
            <w:r>
              <w:rPr>
                <w:rFonts w:ascii="Arial" w:cs="Arial" w:eastAsia="Arial" w:hAnsi="Arial"/>
                <w:sz w:val="9"/>
                <w:szCs w:val="9"/>
                <w:color w:val="auto"/>
              </w:rPr>
              <w:t>(10)</w:t>
            </w: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2/1/2021</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41,250</w:t>
            </w:r>
          </w:p>
        </w:tc>
        <w:tc>
          <w:tcPr>
            <w:tcW w:w="420" w:type="dxa"/>
            <w:vAlign w:val="bottom"/>
            <w:vMerge w:val="continue"/>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940,913</w:t>
            </w:r>
          </w:p>
        </w:tc>
        <w:tc>
          <w:tcPr>
            <w:tcW w:w="0" w:type="dxa"/>
            <w:vAlign w:val="bottom"/>
          </w:tcPr>
          <w:p>
            <w:pPr>
              <w:spacing w:after="0"/>
              <w:rPr>
                <w:sz w:val="1"/>
                <w:szCs w:val="1"/>
                <w:color w:val="auto"/>
              </w:rPr>
            </w:pPr>
          </w:p>
        </w:tc>
      </w:tr>
      <w:tr>
        <w:trPr>
          <w:trHeight w:val="207"/>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Horn</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4/1/2020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566,547</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9"/>
                <w:szCs w:val="9"/>
                <w:color w:val="auto"/>
              </w:rPr>
              <w:t>(14)</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2.70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3/31/2030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4/1/2020</w:t>
            </w:r>
          </w:p>
        </w:tc>
        <w:tc>
          <w:tcPr>
            <w:tcW w:w="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spacing w:after="0"/>
              <w:rPr>
                <w:sz w:val="20"/>
                <w:szCs w:val="20"/>
                <w:color w:val="auto"/>
              </w:rPr>
            </w:pPr>
            <w:r>
              <w:rPr>
                <w:rFonts w:ascii="Arial" w:cs="Arial" w:eastAsia="Arial" w:hAnsi="Arial"/>
                <w:sz w:val="9"/>
                <w:szCs w:val="9"/>
                <w:color w:val="auto"/>
              </w:rPr>
              <w:t>(6)</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50,761</w:t>
            </w:r>
          </w:p>
        </w:tc>
        <w:tc>
          <w:tcPr>
            <w:tcW w:w="420" w:type="dxa"/>
            <w:vAlign w:val="bottom"/>
          </w:tcPr>
          <w:p>
            <w:pPr>
              <w:ind w:left="80"/>
              <w:spacing w:after="0"/>
              <w:rPr>
                <w:sz w:val="20"/>
                <w:szCs w:val="20"/>
                <w:color w:val="auto"/>
              </w:rPr>
            </w:pPr>
            <w:r>
              <w:rPr>
                <w:rFonts w:ascii="Arial" w:cs="Arial" w:eastAsia="Arial" w:hAnsi="Arial"/>
                <w:sz w:val="9"/>
                <w:szCs w:val="9"/>
                <w:color w:val="auto"/>
              </w:rPr>
              <w:t>(13)</w:t>
            </w: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1,157,858</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7/28/2020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140,682</w:t>
            </w:r>
          </w:p>
        </w:tc>
        <w:tc>
          <w:tcPr>
            <w:tcW w:w="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3.47</w:t>
            </w:r>
          </w:p>
        </w:tc>
        <w:tc>
          <w:tcPr>
            <w:tcW w:w="960" w:type="dxa"/>
            <w:vAlign w:val="bottom"/>
          </w:tcPr>
          <w:p>
            <w:pPr>
              <w:jc w:val="right"/>
              <w:spacing w:after="0"/>
              <w:rPr>
                <w:sz w:val="20"/>
                <w:szCs w:val="20"/>
                <w:color w:val="auto"/>
              </w:rPr>
            </w:pPr>
            <w:r>
              <w:rPr>
                <w:rFonts w:ascii="Arial" w:cs="Arial" w:eastAsia="Arial" w:hAnsi="Arial"/>
                <w:sz w:val="14"/>
                <w:szCs w:val="14"/>
                <w:color w:val="auto"/>
              </w:rPr>
              <w:t>7/27/2030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12/3/2020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33,775</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101,325</w:t>
            </w:r>
          </w:p>
        </w:tc>
        <w:tc>
          <w:tcPr>
            <w:tcW w:w="480" w:type="dxa"/>
            <w:vAlign w:val="bottom"/>
            <w:shd w:val="clear" w:color="auto" w:fill="CCEEFF"/>
          </w:tcPr>
          <w:p>
            <w:pPr>
              <w:spacing w:after="0"/>
              <w:rPr>
                <w:sz w:val="20"/>
                <w:szCs w:val="20"/>
                <w:color w:val="auto"/>
              </w:rPr>
            </w:pPr>
            <w:r>
              <w:rPr>
                <w:rFonts w:ascii="Arial" w:cs="Arial" w:eastAsia="Arial" w:hAnsi="Arial"/>
                <w:sz w:val="9"/>
                <w:szCs w:val="9"/>
                <w:color w:val="auto"/>
              </w:rPr>
              <w:t>(7)</w:t>
            </w:r>
          </w:p>
        </w:tc>
        <w:tc>
          <w:tcPr>
            <w:tcW w:w="7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19.00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12/2/2030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12/3/2020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11,207</w:t>
            </w:r>
          </w:p>
        </w:tc>
        <w:tc>
          <w:tcPr>
            <w:tcW w:w="420" w:type="dxa"/>
            <w:vAlign w:val="bottom"/>
            <w:shd w:val="clear" w:color="auto" w:fill="CCEEFF"/>
          </w:tcPr>
          <w:p>
            <w:pPr>
              <w:ind w:left="80"/>
              <w:spacing w:after="0"/>
              <w:rPr>
                <w:sz w:val="20"/>
                <w:szCs w:val="20"/>
                <w:color w:val="auto"/>
              </w:rPr>
            </w:pPr>
            <w:r>
              <w:rPr>
                <w:rFonts w:ascii="Arial" w:cs="Arial" w:eastAsia="Arial" w:hAnsi="Arial"/>
                <w:sz w:val="9"/>
                <w:szCs w:val="9"/>
                <w:color w:val="auto"/>
              </w:rPr>
              <w:t>(8)</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255,632</w:t>
            </w: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2/1/2021</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34,125</w:t>
            </w:r>
          </w:p>
        </w:tc>
        <w:tc>
          <w:tcPr>
            <w:tcW w:w="480" w:type="dxa"/>
            <w:vAlign w:val="bottom"/>
            <w:shd w:val="clear" w:color="auto" w:fill="CCEEFF"/>
          </w:tcPr>
          <w:p>
            <w:pPr>
              <w:spacing w:after="0"/>
              <w:rPr>
                <w:sz w:val="20"/>
                <w:szCs w:val="20"/>
                <w:color w:val="auto"/>
              </w:rPr>
            </w:pPr>
            <w:r>
              <w:rPr>
                <w:rFonts w:ascii="Arial" w:cs="Arial" w:eastAsia="Arial" w:hAnsi="Arial"/>
                <w:sz w:val="9"/>
                <w:szCs w:val="9"/>
                <w:color w:val="auto"/>
              </w:rPr>
              <w:t>(9)</w:t>
            </w:r>
          </w:p>
        </w:tc>
        <w:tc>
          <w:tcPr>
            <w:tcW w:w="7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60.15</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1/31/2031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2/1/2021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34,125</w:t>
            </w:r>
          </w:p>
        </w:tc>
        <w:tc>
          <w:tcPr>
            <w:tcW w:w="420" w:type="dxa"/>
            <w:vAlign w:val="bottom"/>
            <w:shd w:val="clear" w:color="auto" w:fill="CCEEFF"/>
          </w:tcPr>
          <w:p>
            <w:pPr>
              <w:ind w:left="80"/>
              <w:spacing w:after="0"/>
              <w:rPr>
                <w:sz w:val="20"/>
                <w:szCs w:val="20"/>
                <w:color w:val="auto"/>
              </w:rPr>
            </w:pPr>
            <w:r>
              <w:rPr>
                <w:rFonts w:ascii="Arial" w:cs="Arial" w:eastAsia="Arial" w:hAnsi="Arial"/>
                <w:sz w:val="9"/>
                <w:szCs w:val="9"/>
                <w:color w:val="auto"/>
              </w:rPr>
              <w:t>(10)</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778,391</w:t>
            </w:r>
          </w:p>
        </w:tc>
        <w:tc>
          <w:tcPr>
            <w:tcW w:w="0" w:type="dxa"/>
            <w:vAlign w:val="bottom"/>
          </w:tcPr>
          <w:p>
            <w:pPr>
              <w:spacing w:after="0"/>
              <w:rPr>
                <w:sz w:val="1"/>
                <w:szCs w:val="1"/>
                <w:color w:val="auto"/>
              </w:rPr>
            </w:pPr>
          </w:p>
        </w:tc>
      </w:tr>
      <w:tr>
        <w:trPr>
          <w:trHeight w:val="194"/>
        </w:trPr>
        <w:tc>
          <w:tcPr>
            <w:tcW w:w="1780" w:type="dxa"/>
            <w:vAlign w:val="bottom"/>
          </w:tcPr>
          <w:p>
            <w:pPr>
              <w:ind w:left="20"/>
              <w:spacing w:after="0"/>
              <w:rPr>
                <w:sz w:val="20"/>
                <w:szCs w:val="20"/>
                <w:color w:val="auto"/>
              </w:rPr>
            </w:pPr>
            <w:r>
              <w:rPr>
                <w:rFonts w:ascii="Arial" w:cs="Arial" w:eastAsia="Arial" w:hAnsi="Arial"/>
                <w:sz w:val="14"/>
                <w:szCs w:val="14"/>
                <w:color w:val="auto"/>
              </w:rPr>
              <w:t>Elona Kogan</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11/7/2020</w:t>
            </w:r>
          </w:p>
        </w:tc>
        <w:tc>
          <w:tcPr>
            <w:tcW w:w="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373,831</w:t>
            </w:r>
          </w:p>
        </w:tc>
        <w:tc>
          <w:tcPr>
            <w:tcW w:w="480" w:type="dxa"/>
            <w:vAlign w:val="bottom"/>
          </w:tcPr>
          <w:p>
            <w:pPr>
              <w:spacing w:after="0"/>
              <w:rPr>
                <w:sz w:val="20"/>
                <w:szCs w:val="20"/>
                <w:color w:val="auto"/>
              </w:rPr>
            </w:pPr>
            <w:r>
              <w:rPr>
                <w:rFonts w:ascii="Arial" w:cs="Arial" w:eastAsia="Arial" w:hAnsi="Arial"/>
                <w:sz w:val="9"/>
                <w:szCs w:val="9"/>
                <w:color w:val="auto"/>
              </w:rPr>
              <w:t>(15)</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7.96</w:t>
            </w:r>
          </w:p>
        </w:tc>
        <w:tc>
          <w:tcPr>
            <w:tcW w:w="960" w:type="dxa"/>
            <w:vAlign w:val="bottom"/>
          </w:tcPr>
          <w:p>
            <w:pPr>
              <w:jc w:val="right"/>
              <w:spacing w:after="0"/>
              <w:rPr>
                <w:sz w:val="20"/>
                <w:szCs w:val="20"/>
                <w:color w:val="auto"/>
              </w:rPr>
            </w:pPr>
            <w:r>
              <w:rPr>
                <w:rFonts w:ascii="Arial" w:cs="Arial" w:eastAsia="Arial" w:hAnsi="Arial"/>
                <w:sz w:val="14"/>
                <w:szCs w:val="14"/>
                <w:color w:val="auto"/>
              </w:rPr>
              <w:t>11/7/2030</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11/7/2020</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46,728</w:t>
            </w:r>
          </w:p>
        </w:tc>
        <w:tc>
          <w:tcPr>
            <w:tcW w:w="420" w:type="dxa"/>
            <w:vAlign w:val="bottom"/>
          </w:tcPr>
          <w:p>
            <w:pPr>
              <w:ind w:left="80"/>
              <w:spacing w:after="0"/>
              <w:rPr>
                <w:sz w:val="20"/>
                <w:szCs w:val="20"/>
                <w:color w:val="auto"/>
              </w:rPr>
            </w:pPr>
            <w:r>
              <w:rPr>
                <w:rFonts w:ascii="Arial" w:cs="Arial" w:eastAsia="Arial" w:hAnsi="Arial"/>
                <w:sz w:val="9"/>
                <w:szCs w:val="9"/>
                <w:color w:val="auto"/>
              </w:rPr>
              <w:t>(16)</w:t>
            </w: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1,065,866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-3080385</wp:posOffset>
            </wp:positionV>
            <wp:extent cx="5374640"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74640" cy="38608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-2437130</wp:posOffset>
            </wp:positionV>
            <wp:extent cx="20574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 cy="25717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-1022985</wp:posOffset>
            </wp:positionV>
            <wp:extent cx="537464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74640" cy="25717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w:t>
      </w:r>
    </w:p>
    <w:p>
      <w:pPr>
        <w:spacing w:after="0" w:line="18" w:lineRule="exact"/>
        <w:rPr>
          <w:sz w:val="20"/>
          <w:szCs w:val="20"/>
          <w:color w:val="auto"/>
        </w:rPr>
      </w:pPr>
    </w:p>
    <w:p>
      <w:pPr>
        <w:ind w:left="660" w:right="300" w:hanging="652"/>
        <w:spacing w:after="0" w:line="25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of the outstanding equity awards was granted pursuant to our 2017 Stock Incentive Plan, as amended and restated, 2020 Equity Incentive Plan or 2020 RSU Equity Incentive Plan.</w:t>
      </w:r>
    </w:p>
    <w:p>
      <w:pPr>
        <w:spacing w:after="0" w:line="1" w:lineRule="exact"/>
        <w:rPr>
          <w:rFonts w:ascii="Arial" w:cs="Arial" w:eastAsia="Arial" w:hAnsi="Arial"/>
          <w:sz w:val="16"/>
          <w:szCs w:val="16"/>
          <w:color w:val="auto"/>
        </w:rPr>
      </w:pPr>
    </w:p>
    <w:p>
      <w:pPr>
        <w:ind w:left="660" w:hanging="652"/>
        <w:spacing w:after="0" w:line="249"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amounts in this column are based upon the last reported price of our Class A common stock on the Nasdaq Global Select Market on December 31, 2021, which was $22.81.</w:t>
      </w:r>
    </w:p>
    <w:p>
      <w:pPr>
        <w:ind w:left="660" w:right="60" w:hanging="652"/>
        <w:spacing w:after="0" w:line="255"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shares were acquired pursuant to a restricted stock award and vests in 2 equal monthly installments beginning on January 31, 2022, subject to continued service to the Company.</w:t>
      </w:r>
    </w:p>
    <w:p>
      <w:pPr>
        <w:ind w:left="660" w:right="80" w:hanging="652"/>
        <w:spacing w:after="0" w:line="25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vested on March 23, 2019, and the remaining shares vest in 36 equal monthly installments thereafter, subject to continued service to the Company.</w:t>
      </w:r>
    </w:p>
    <w:p>
      <w:pPr>
        <w:ind w:left="660" w:right="120" w:hanging="652"/>
        <w:spacing w:after="0" w:line="256"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 on January 28, 2021, and the remaining shares vest in 36 equal monthly installments thereafter, subject to continued service to the Company.</w:t>
      </w:r>
    </w:p>
    <w:p>
      <w:pPr>
        <w:spacing w:after="0" w:line="1" w:lineRule="exact"/>
        <w:rPr>
          <w:rFonts w:ascii="Arial" w:cs="Arial" w:eastAsia="Arial" w:hAnsi="Arial"/>
          <w:sz w:val="16"/>
          <w:szCs w:val="16"/>
          <w:color w:val="auto"/>
        </w:rPr>
      </w:pPr>
    </w:p>
    <w:p>
      <w:pPr>
        <w:ind w:left="660" w:right="240" w:hanging="652"/>
        <w:spacing w:after="0" w:line="25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 on July 28, 2021, and the remaining shares vest in 36 equal monthly installments thereafter, subject to continued service to the Company.</w:t>
      </w:r>
    </w:p>
    <w:p>
      <w:pPr>
        <w:ind w:left="660" w:right="720" w:hanging="652"/>
        <w:spacing w:after="0" w:line="249"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One-fourth of the shares underlying the option vest on December 3, 2021, and the remaining shares vest in 36 equal monthly installments thereafter, subject to continued service to the Company.</w:t>
      </w:r>
    </w:p>
    <w:p>
      <w:pPr>
        <w:ind w:left="660" w:right="160" w:hanging="652"/>
        <w:spacing w:after="0" w:line="255"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50% of the shares underlying the RSU award vest on January 1, 2022 and 50% of the shares underlying the RSU award vest on January 1, 2023, subject to continued service to the Company.</w:t>
      </w:r>
    </w:p>
    <w:p>
      <w:pPr>
        <w:ind w:left="660" w:right="60" w:hanging="652"/>
        <w:spacing w:after="0" w:line="255"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One-fourth of the shares underlying the option vest on February 1, 2022, and the remaining shares vest in 36 equal monthly installments thereafter, subject to continued service to the Company.</w:t>
      </w:r>
    </w:p>
    <w:p>
      <w:pPr>
        <w:ind w:left="660" w:right="640" w:hanging="652"/>
        <w:spacing w:after="0" w:line="252" w:lineRule="auto"/>
        <w:tabs>
          <w:tab w:leader="none" w:pos="651" w:val="left"/>
        </w:tabs>
        <w:numPr>
          <w:ilvl w:val="0"/>
          <w:numId w:val="27"/>
        </w:numPr>
        <w:rPr>
          <w:rFonts w:ascii="Arial" w:cs="Arial" w:eastAsia="Arial" w:hAnsi="Arial"/>
          <w:sz w:val="16"/>
          <w:szCs w:val="16"/>
          <w:color w:val="auto"/>
        </w:rPr>
      </w:pPr>
      <w:r>
        <w:rPr>
          <w:rFonts w:ascii="Arial" w:cs="Arial" w:eastAsia="Arial" w:hAnsi="Arial"/>
          <w:sz w:val="16"/>
          <w:szCs w:val="16"/>
          <w:color w:val="auto"/>
        </w:rPr>
        <w:t>Shares underlying the RSU award vest in four equal annual installments beginning on February 1, 2022, subject to continued service to the Company.</w:t>
      </w:r>
    </w:p>
    <w:p>
      <w:pPr>
        <w:spacing w:after="0" w:line="1" w:lineRule="exact"/>
        <w:rPr>
          <w:rFonts w:ascii="Arial" w:cs="Arial" w:eastAsia="Arial" w:hAnsi="Arial"/>
          <w:sz w:val="16"/>
          <w:szCs w:val="16"/>
          <w:color w:val="auto"/>
        </w:rPr>
      </w:pPr>
    </w:p>
    <w:p>
      <w:pPr>
        <w:ind w:left="660" w:right="260" w:hanging="652"/>
        <w:spacing w:after="0" w:line="267" w:lineRule="auto"/>
        <w:tabs>
          <w:tab w:leader="none" w:pos="63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 on June 15, 2021, and the remaining shares vest in 36 equal monthly installments thereafter, subject to continued service to the Company.</w:t>
      </w: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1215" w:right="339" w:bottom="1440" w:gutter="0" w:footer="0" w:header="0"/>
          <w:type w:val="continuous"/>
        </w:sectPr>
      </w:pPr>
    </w:p>
    <w:bookmarkStart w:id="35" w:name="page36"/>
    <w:bookmarkEnd w:id="35"/>
    <w:p>
      <w:pPr>
        <w:ind w:left="660" w:right="200" w:hanging="652"/>
        <w:spacing w:after="0" w:line="263" w:lineRule="auto"/>
        <w:tabs>
          <w:tab w:leader="none" w:pos="6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The shares vest in 48 equal monthly installments beginning on April 6, 2020, subject to continued service to the Company.</w:t>
      </w:r>
    </w:p>
    <w:p>
      <w:pPr>
        <w:ind w:left="660" w:right="260" w:hanging="652"/>
        <w:spacing w:after="0" w:line="255" w:lineRule="auto"/>
        <w:tabs>
          <w:tab w:leader="none" w:pos="6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50% of the shares underlying the RSU award vest on December 3, 2021 and 50% of the shares underlying the RSU award vest on December 3, 2022, subject to continued service to the Company.</w:t>
      </w:r>
    </w:p>
    <w:p>
      <w:pPr>
        <w:ind w:left="660" w:right="240" w:hanging="652"/>
        <w:spacing w:after="0" w:line="252" w:lineRule="auto"/>
        <w:tabs>
          <w:tab w:leader="none" w:pos="6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 on April 1, 2021, and the remaining shares vest in 36 equal monthly installments thereafter, subject to continued service to the Company.</w:t>
      </w:r>
    </w:p>
    <w:p>
      <w:pPr>
        <w:jc w:val="both"/>
        <w:ind w:left="660" w:right="220" w:hanging="652"/>
        <w:spacing w:after="0" w:line="254" w:lineRule="auto"/>
        <w:tabs>
          <w:tab w:leader="none" w:pos="6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 on January 1, 2022, and the remaining shares vest in 36 equal monthly installments thereafter, subject to continued service to the Company.</w:t>
      </w:r>
    </w:p>
    <w:p>
      <w:pPr>
        <w:ind w:left="660" w:right="220" w:hanging="652"/>
        <w:spacing w:after="0" w:line="246" w:lineRule="auto"/>
        <w:tabs>
          <w:tab w:leader="none" w:pos="6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50% of the shares underlying the RSU award vest on June 3, 2022 and 50% of the shares underlying the RSU award vest on December 3, 2023, subject to continued service to the Company.</w:t>
      </w:r>
    </w:p>
    <w:p>
      <w:pPr>
        <w:ind w:left="660" w:right="120" w:hanging="652"/>
        <w:spacing w:after="0" w:line="239" w:lineRule="auto"/>
        <w:tabs>
          <w:tab w:leader="none" w:pos="6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November 20, 2021, Mr. Ostadan, took a leave of absence for approximately 3 months. In connection with Mr. Ostadan’s leave of absence, the Company and Mr. Ostadan entered into a Leave of Absence Agreement which provided for the suspension of Mr. Ostadan’s salary and vesting of equity awards during the leave of absence and the proration of Mr. Ostadan’s bonus opportunity. In February 2022, in connection with his return from his leave of absence, Mr. Ostadan entered into an Amended Confirmatory Employment Letter, which provides for a proration in salary and bonus opportunity commensurate with his reduced work schedule and a reduction in the portion of his equity awards that will vest during the temporary period Mr. Ostadan is employed on a part-time basis.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have entered into a change in control and severance agreement (the Severance Agreement) with Dr. Farokhzad which provides for certain severance and change in control benefits as described below.</w:t>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Dr. Farokhzad’s employment is terminated outside the period beginning on the date that is three months prior to the date of a change in control and ending on the one-year anniversary date of such change in control (the Change in Control Period) either (1) by the Company without “cause” and not by reason of death or disability or (2) by Dr. Farokhzad as a “good reason termination” (as such terms are defined in the Severance Agreement), Dr. Farokhzad will receive the following benefits if he timely signs and does not revoke a separation agreement and release of claims in our favor:</w:t>
      </w:r>
    </w:p>
    <w:p>
      <w:pPr>
        <w:spacing w:after="0" w:line="206" w:lineRule="exact"/>
        <w:rPr>
          <w:sz w:val="20"/>
          <w:szCs w:val="20"/>
          <w:color w:val="auto"/>
        </w:rPr>
      </w:pPr>
    </w:p>
    <w:p>
      <w:pPr>
        <w:ind w:left="660" w:hanging="328"/>
        <w:spacing w:after="0" w:line="25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spacing w:after="0" w:line="1" w:lineRule="exact"/>
        <w:rPr>
          <w:rFonts w:ascii="Arial" w:cs="Arial" w:eastAsia="Arial" w:hAnsi="Arial"/>
          <w:sz w:val="18"/>
          <w:szCs w:val="18"/>
          <w:color w:val="auto"/>
        </w:rPr>
      </w:pPr>
    </w:p>
    <w:p>
      <w:pPr>
        <w:jc w:val="both"/>
        <w:ind w:left="660" w:right="4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lump sum cash payment equal to Dr. Farokhzad’s annual target cash incentive bonus prorated for the number of days during which Dr. Farokhzad was employed by the Company (or the parent or subsidiary of the Company employing him) in the calendar year such termination occurs;</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Dr. Farokhzad and his eligible dependents have qualifying health care at the time of such termination, then either reimbursements for or direct payments of premiums for coverage under the Consolidated Omnibus Budget Reconciliation Act of 1985, as amended (COBRA), for Dr. Farokhzad and his eligible dependents, if any, for up to 12 months; and</w:t>
      </w:r>
    </w:p>
    <w:p>
      <w:pPr>
        <w:spacing w:after="0" w:line="1" w:lineRule="exact"/>
        <w:rPr>
          <w:rFonts w:ascii="Arial" w:cs="Arial" w:eastAsia="Arial" w:hAnsi="Arial"/>
          <w:sz w:val="18"/>
          <w:szCs w:val="18"/>
          <w:color w:val="auto"/>
        </w:rPr>
      </w:pPr>
    </w:p>
    <w:p>
      <w:pPr>
        <w:ind w:left="660" w:right="80" w:hanging="328"/>
        <w:spacing w:after="0" w:line="25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vesting acceleration of 50% of the shares subject to Dr. Farokhzad’s outstanding Company equity awards that are scheduled to vest based solely on Dr. Farokhzad’s continued service to the Company or any parent or subsidiary of the Company (time-based equity awards), or, with respect to the shares of company restricted stock received by Dr. Farokhzad under restricted stock purchase agreements entered into with the Company on September 20, 2017, as amended December 20, 2017 and on February 19, 2018, if greater, 100% acceleration of the number of shares that are otherwise scheduled to vest if Dr. Farokhzad remained employed by the Company (or any parent or subsidiary of the Company) through the one year anniversary of his termination.</w:t>
      </w:r>
    </w:p>
    <w:p>
      <w:pPr>
        <w:spacing w:after="0" w:line="21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If, during the Change in Control Period, Dr. Farokhzad’s employment with the Company is terminated either (1) by the Company without cause and not by reason of death or disability or (2) by Dr. Farokhzad as a good reason termination, Dr. Farokhzad will receive the following benefits if he timely signs and does not revoke a separation agreement and release of claims in our favor:</w:t>
      </w:r>
    </w:p>
    <w:p>
      <w:pPr>
        <w:spacing w:after="0" w:line="198" w:lineRule="exact"/>
        <w:rPr>
          <w:sz w:val="20"/>
          <w:szCs w:val="20"/>
          <w:color w:val="auto"/>
        </w:rPr>
      </w:pPr>
    </w:p>
    <w:p>
      <w:pPr>
        <w:ind w:left="660" w:right="220" w:hanging="328"/>
        <w:spacing w:after="0" w:line="26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continuing payments of Dr. Farokhzad’s base salary for a period of 18 months following the date of such termination (or if such termination is a good reason termination by Dr. Farokhzad based on a material reduction in base salary, then if greater, as in effect immediately prior to the reduction) (or, if greater, as in effect immediately before the change in control);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935" w:right="339" w:bottom="1440" w:gutter="0" w:footer="0" w:header="0"/>
        </w:sectPr>
      </w:pPr>
    </w:p>
    <w:bookmarkStart w:id="36" w:name="page37"/>
    <w:bookmarkEnd w:id="36"/>
    <w:p>
      <w:pPr>
        <w:ind w:left="660" w:right="20" w:hanging="328"/>
        <w:spacing w:after="0" w:line="26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lump sum cash payment equal to 150% of Dr. Farokhzad’s annualized target bonus as in effect for the performance period in which such termination occurs, or, if greater, as in effect for the performance period in which the change in control occurs;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Dr. Farokhzad and his eligible dependents have qualifying health care at the time of such termination, then either reimbursements for or direct payments of payment of premiums for coverage under COBRA, for Dr. Farokhzad and his eligible dependents, if any, for up to 18 months;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vesting acceleration of 100% of the shares subject to Dr. Farokhzad’s outstanding time-based equity awards.</w:t>
      </w:r>
    </w:p>
    <w:p>
      <w:pPr>
        <w:spacing w:after="0" w:line="22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us under which he has a material duty or obligation to us. Under Dr. Farokhzad’s confidentiality, information and inventions agreement with the Company, Dr. Farokhzad has nondisclosure obligations with respect to the Company’s confidential information for so long as such information otherwise is confidential, subject to certain exceptions under applicable law.</w:t>
      </w:r>
    </w:p>
    <w:p>
      <w:pPr>
        <w:spacing w:after="0" w:line="21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If Dr. Farokhzad begins employment or enters into a consultant relationship with a new employer during the period he is receiving severance benefits from us under the Severance Agreement, then any cash compensation paid to him by the new employer will reduce our cash severance benefit obligations under the Severance Agreement, and we will have no obligation to provide COBRA benefits for medical, vision and dental coverage if the new employer provides such benefits to Dr. Farokhzad.</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our initial public offering.</w:t>
      </w: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 the greater amount of after-tax benefits to the named executive officer. The Severance Agreement does not provide for any Section 280G-related tax gross-up payments from us.</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Severance Agreement, “cause” generally means Dr. Farokhzad’s: indictment or conviction of any felony or any crime involving dishonesty; participation in any fraud against us; any intentional damage to any 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ceases to serve as the Chief Executive Officer but continues to serve as Executive Chair of the Company with a base salary and target bonus opportunity each 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serving as the Chief Executive Officer of (or reporting directly to the board of directors of) the parent corporation in a group of controlled corporations including the Company or all or a substantial portion of the Company’s assets following a 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the initial existence of the good reason condition, and we must have failed to materially remedy such event within 30 days after receipt of such notice.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931" w:right="339" w:bottom="1440" w:gutter="0" w:footer="0" w:header="0"/>
        </w:sectPr>
      </w:pPr>
    </w:p>
    <w:bookmarkStart w:id="37" w:name="page38"/>
    <w:bookmarkEnd w:id="37"/>
    <w:p>
      <w:pPr>
        <w:ind w:right="80"/>
        <w:spacing w:after="0" w:line="262" w:lineRule="auto"/>
        <w:rPr>
          <w:sz w:val="20"/>
          <w:szCs w:val="20"/>
          <w:color w:val="auto"/>
        </w:rPr>
      </w:pPr>
      <w:r>
        <w:rPr>
          <w:rFonts w:ascii="Arial" w:cs="Arial" w:eastAsia="Arial" w:hAnsi="Arial"/>
          <w:sz w:val="18"/>
          <w:szCs w:val="18"/>
          <w:color w:val="auto"/>
        </w:rPr>
        <w:t>The following table describes the potential payments that would have been provided to Dr. Farokhzad pursuant to the Severance Agreement in the event that he was terminated outside the period beginning on the date that is three months prior to the date of a “change in control” as described above and ending on the one-year anniversary date, assuming such termination occurred on December 31, 2021 (except as otherwise noted).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Named Executive Officer</w:t>
            </w:r>
          </w:p>
        </w:tc>
        <w:tc>
          <w:tcPr>
            <w:tcW w:w="240" w:type="dxa"/>
            <w:vAlign w:val="bottom"/>
          </w:tcPr>
          <w:p>
            <w:pPr>
              <w:spacing w:after="0"/>
              <w:rPr>
                <w:sz w:val="16"/>
                <w:szCs w:val="16"/>
                <w:color w:val="auto"/>
              </w:rPr>
            </w:pPr>
          </w:p>
        </w:tc>
        <w:tc>
          <w:tcPr>
            <w:tcW w:w="1620" w:type="dxa"/>
            <w:vAlign w:val="bottom"/>
          </w:tcPr>
          <w:p>
            <w:pPr>
              <w:jc w:val="center"/>
              <w:ind w:right="119"/>
              <w:spacing w:after="0"/>
              <w:rPr>
                <w:sz w:val="20"/>
                <w:szCs w:val="20"/>
                <w:color w:val="auto"/>
              </w:rPr>
            </w:pPr>
            <w:r>
              <w:rPr>
                <w:rFonts w:ascii="Arial" w:cs="Arial" w:eastAsia="Arial" w:hAnsi="Arial"/>
                <w:sz w:val="16"/>
                <w:szCs w:val="16"/>
                <w:b w:val="1"/>
                <w:bCs w:val="1"/>
                <w:color w:val="auto"/>
              </w:rPr>
              <w:t>Salary Severance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Bonus Severance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COBRA Premium</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Equity Acceleration ($)</w:t>
            </w:r>
          </w:p>
        </w:tc>
        <w:tc>
          <w:tcPr>
            <w:tcW w:w="340" w:type="dxa"/>
            <w:vAlign w:val="bottom"/>
          </w:tcPr>
          <w:p>
            <w:pPr>
              <w:spacing w:after="0"/>
              <w:rPr>
                <w:sz w:val="16"/>
                <w:szCs w:val="16"/>
                <w:color w:val="auto"/>
              </w:rPr>
            </w:pPr>
          </w:p>
        </w:tc>
        <w:tc>
          <w:tcPr>
            <w:tcW w:w="12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Payments ($)</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Payments ($)</w:t>
            </w:r>
          </w:p>
        </w:tc>
        <w:tc>
          <w:tcPr>
            <w:tcW w:w="19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6"/>
                <w:szCs w:val="16"/>
                <w:b w:val="1"/>
                <w:bCs w:val="1"/>
                <w:color w:val="auto"/>
                <w:w w:val="98"/>
              </w:rPr>
              <w:t>Reimbursements ($)</w:t>
            </w:r>
            <w:r>
              <w:rPr>
                <w:rFonts w:ascii="Arial" w:cs="Arial" w:eastAsia="Arial" w:hAnsi="Arial"/>
                <w:sz w:val="21"/>
                <w:szCs w:val="21"/>
                <w:b w:val="1"/>
                <w:bCs w:val="1"/>
                <w:color w:val="auto"/>
                <w:w w:val="98"/>
                <w:vertAlign w:val="superscript"/>
              </w:rPr>
              <w:t>(1)</w:t>
            </w:r>
          </w:p>
        </w:tc>
        <w:tc>
          <w:tcPr>
            <w:tcW w:w="1940" w:type="dxa"/>
            <w:vAlign w:val="bottom"/>
            <w:tcBorders>
              <w:bottom w:val="single" w:sz="8" w:color="auto"/>
            </w:tcBorders>
          </w:tcPr>
          <w:p>
            <w:pPr>
              <w:jc w:val="right"/>
              <w:ind w:right="808"/>
              <w:spacing w:after="0"/>
              <w:rPr>
                <w:sz w:val="20"/>
                <w:szCs w:val="20"/>
                <w:color w:val="auto"/>
              </w:rPr>
            </w:pPr>
            <w:r>
              <w:rPr>
                <w:rFonts w:ascii="Arial" w:cs="Arial" w:eastAsia="Arial" w:hAnsi="Arial"/>
                <w:sz w:val="11"/>
                <w:szCs w:val="11"/>
                <w:b w:val="1"/>
                <w:bCs w:val="1"/>
                <w:color w:val="auto"/>
              </w:rPr>
              <w:t>(2)</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Omid Farokhzad, M.D.</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530,400</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344,760</w:t>
            </w:r>
          </w:p>
        </w:tc>
        <w:tc>
          <w:tcPr>
            <w:tcW w:w="1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34,350</w:t>
            </w:r>
          </w:p>
        </w:tc>
        <w:tc>
          <w:tcPr>
            <w:tcW w:w="194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19,118,291</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20,027,801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spacing w:after="0" w:line="18" w:lineRule="exact"/>
        <w:rPr>
          <w:sz w:val="20"/>
          <w:szCs w:val="20"/>
          <w:color w:val="auto"/>
        </w:rPr>
      </w:pPr>
    </w:p>
    <w:p>
      <w:pPr>
        <w:ind w:left="660" w:right="220" w:hanging="652"/>
        <w:spacing w:after="0" w:line="252"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amounts reported in this column represent estimates of the premiums to maintain group health insurance continuation benefits pursuant to COBRA for Dr. Farokhzad and the respective eligible dependents for 12 months. The amounts presented are based on estimates for maintaining group health insurance continuation benefits under our 2022 health insurance plans.</w:t>
      </w:r>
    </w:p>
    <w:p>
      <w:pPr>
        <w:ind w:left="660" w:hanging="652"/>
        <w:spacing w:after="0" w:line="264"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value of the accelerated RSUs in this table are calculated by multiplying the number of shares subject to acceleration by the closing price of our common stock on December 31, 2021, which was $22.81 per share. The value of the accelerated stock options is calculated by multiplying (x) the number of shares subject to acceleration for each stock option by (y) the closing price per share minus the applicable exercise price per share.</w:t>
      </w:r>
    </w:p>
    <w:p>
      <w:pPr>
        <w:spacing w:after="0" w:line="200" w:lineRule="exact"/>
        <w:rPr>
          <w:sz w:val="20"/>
          <w:szCs w:val="20"/>
          <w:color w:val="auto"/>
        </w:rPr>
      </w:pPr>
    </w:p>
    <w:p>
      <w:pPr>
        <w:spacing w:after="0" w:line="23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table describes the potential payments that would have been provided to Dr. Farokhzad pursuant to the Severance Agreement if, during the “change in control” as described above, he was terminated either (1) by the Company without cause and not by reason of death or disability or (2) by Dr. Farokhzad as a good reason termination, assuming such termination occurred on December 31, 2021 (except as otherwise noted).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Named Executive Officer</w:t>
            </w:r>
          </w:p>
        </w:tc>
        <w:tc>
          <w:tcPr>
            <w:tcW w:w="220" w:type="dxa"/>
            <w:vAlign w:val="bottom"/>
          </w:tcPr>
          <w:p>
            <w:pPr>
              <w:spacing w:after="0"/>
              <w:rPr>
                <w:sz w:val="16"/>
                <w:szCs w:val="16"/>
                <w:color w:val="auto"/>
              </w:rPr>
            </w:pP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rPr>
              <w:t>Salary Severance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Bonus Severance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COBRA Premium</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Equity Acceleration ($)</w:t>
            </w:r>
          </w:p>
        </w:tc>
        <w:tc>
          <w:tcPr>
            <w:tcW w:w="380" w:type="dxa"/>
            <w:vAlign w:val="bottom"/>
          </w:tcPr>
          <w:p>
            <w:pPr>
              <w:spacing w:after="0"/>
              <w:rPr>
                <w:sz w:val="16"/>
                <w:szCs w:val="16"/>
                <w:color w:val="auto"/>
              </w:rPr>
            </w:pPr>
          </w:p>
        </w:tc>
        <w:tc>
          <w:tcPr>
            <w:tcW w:w="136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203"/>
        </w:trPr>
        <w:tc>
          <w:tcPr>
            <w:tcW w:w="21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 ($)</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Payments ($)</w:t>
            </w:r>
          </w:p>
        </w:tc>
        <w:tc>
          <w:tcPr>
            <w:tcW w:w="18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9"/>
              </w:rPr>
              <w:t>Reimbursements ($)</w:t>
            </w:r>
            <w:r>
              <w:rPr>
                <w:rFonts w:ascii="Arial" w:cs="Arial" w:eastAsia="Arial" w:hAnsi="Arial"/>
                <w:sz w:val="21"/>
                <w:szCs w:val="21"/>
                <w:b w:val="1"/>
                <w:bCs w:val="1"/>
                <w:color w:val="auto"/>
                <w:w w:val="99"/>
                <w:vertAlign w:val="superscript"/>
              </w:rPr>
              <w:t>(1)</w:t>
            </w:r>
          </w:p>
        </w:tc>
        <w:tc>
          <w:tcPr>
            <w:tcW w:w="1900" w:type="dxa"/>
            <w:vAlign w:val="bottom"/>
            <w:tcBorders>
              <w:bottom w:val="single" w:sz="8" w:color="auto"/>
            </w:tcBorders>
          </w:tcPr>
          <w:p>
            <w:pPr>
              <w:jc w:val="right"/>
              <w:ind w:right="807"/>
              <w:spacing w:after="0"/>
              <w:rPr>
                <w:sz w:val="20"/>
                <w:szCs w:val="20"/>
                <w:color w:val="auto"/>
              </w:rPr>
            </w:pPr>
            <w:r>
              <w:rPr>
                <w:rFonts w:ascii="Arial" w:cs="Arial" w:eastAsia="Arial" w:hAnsi="Arial"/>
                <w:sz w:val="12"/>
                <w:szCs w:val="12"/>
                <w:b w:val="1"/>
                <w:bCs w:val="1"/>
                <w:color w:val="auto"/>
              </w:rPr>
              <w:t>(2)</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Omid Farokhzad, M.D.</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795,600</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517,140</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51,524</w:t>
            </w:r>
          </w:p>
        </w:tc>
        <w:tc>
          <w:tcPr>
            <w:tcW w:w="190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38,236,583</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39,600,847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spacing w:after="0" w:line="18" w:lineRule="exact"/>
        <w:rPr>
          <w:sz w:val="20"/>
          <w:szCs w:val="20"/>
          <w:color w:val="auto"/>
        </w:rPr>
      </w:pPr>
    </w:p>
    <w:p>
      <w:pPr>
        <w:ind w:left="660" w:right="220" w:hanging="652"/>
        <w:spacing w:after="0" w:line="252"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amounts reported in this column represent estimates of the premiums to maintain group health insurance continuation benefits pursuant to COBRA for Dr. Farokhzad and the respective eligible dependents for 18 months. The amounts presented are based on estimates for maintaining group health insurance continuation benefits under our 2022 health insurance plans.</w:t>
      </w:r>
    </w:p>
    <w:p>
      <w:pPr>
        <w:ind w:left="660" w:hanging="652"/>
        <w:spacing w:after="0" w:line="264"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value of the accelerated RSUs in this table are calculated by multiplying the number of shares subject to acceleration by the closing price of our common stock on December 31, 2021, which was $22.81 per share. The value of the accelerated stock options is calculated by multiplying (x) the number of shares subject to acceleration for each stock option by (y) the closing price per share minus the applicable exercise price per share.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Executive Change in Control and Severance Plan</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adopted a Key Executive Change in Control and Severance Plan (the Severance Plan) in December 2020, in order to provide specified severance and change in control pay and benefits, to key executives selected by us. We have entered into participation agreements with each of Mr. Ostadan, Mr. Horn, Ms. Kogan, and Mr. Thomas (each, a Participation Agreement) under our Severance Plan.</w:t>
      </w:r>
    </w:p>
    <w:p>
      <w:pPr>
        <w:spacing w:after="0" w:line="19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Severance Plan and related Participation Agreements provide that if Mr. Ostadan, Mr. Horn, Ms. Kogan, or Mr. Thomas’ employment is terminated outside the period beginning on the date of a change in control and ending on the one-year anniversary date of such change in control (the Key Executive Change in Control Period) either (1) by the Company without “cause” and not by reason of death or disability or</w:t>
      </w:r>
    </w:p>
    <w:p>
      <w:pPr>
        <w:spacing w:after="0" w:line="1" w:lineRule="exact"/>
        <w:rPr>
          <w:sz w:val="20"/>
          <w:szCs w:val="20"/>
          <w:color w:val="auto"/>
        </w:rPr>
      </w:pPr>
    </w:p>
    <w:p>
      <w:pPr>
        <w:ind w:right="480" w:firstLine="8"/>
        <w:spacing w:after="0" w:line="266" w:lineRule="auto"/>
        <w:tabs>
          <w:tab w:leader="none" w:pos="2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the named executive officer as a “good reason termination” (as such terms are defined in his or her Participation Agreement), the named executive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17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officer will receive the following benefits if he timely signs and does not revoke a separation agreement and release of claims in our favor:</w:t>
      </w:r>
    </w:p>
    <w:p>
      <w:pPr>
        <w:spacing w:after="0" w:line="252" w:lineRule="exact"/>
        <w:rPr>
          <w:sz w:val="20"/>
          <w:szCs w:val="20"/>
          <w:color w:val="auto"/>
        </w:rPr>
      </w:pPr>
    </w:p>
    <w:p>
      <w:pPr>
        <w:ind w:left="660" w:right="20" w:hanging="328"/>
        <w:spacing w:after="0" w:line="25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continuing payments of the named executive officer’s base salary for a period of nine months following the date of such termination (or if such termination is a good reason termination by the named executive officer based on a material reduction in base salary, then as in effect immediately prior to the reduction); and</w:t>
      </w:r>
    </w:p>
    <w:p>
      <w:pPr>
        <w:spacing w:after="0" w:line="1" w:lineRule="exact"/>
        <w:rPr>
          <w:rFonts w:ascii="Arial" w:cs="Arial" w:eastAsia="Arial" w:hAnsi="Arial"/>
          <w:sz w:val="18"/>
          <w:szCs w:val="18"/>
          <w:color w:val="auto"/>
        </w:rPr>
      </w:pPr>
    </w:p>
    <w:p>
      <w:pPr>
        <w:ind w:left="660" w:right="420" w:hanging="328"/>
        <w:spacing w:after="0" w:line="25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 named executive officer and his eligible dependents have qualifying health care at the time of such termination, then either reimbursements for or direct payments of premiums for coverage under COBRA, for the named executive officer and his eligible dependents, if any, for up to nine months.</w:t>
      </w:r>
    </w:p>
    <w:p>
      <w:pPr>
        <w:spacing w:after="0" w:line="20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If, during the Key Executive Change in Control Period, Mr. Ostadan, Mr. Horn, Ms. Kogan, or Mr. Thomas’ employment with the Company is terminated either (1) by the Company without cause and not by reason of death or disability or (2) by the named executive officer as a good reason termination, the named executive officer will receive the following benefits if he timely signs and does not revoke a separation agreement and release of claims in our favor:</w:t>
      </w:r>
    </w:p>
    <w:p>
      <w:pPr>
        <w:spacing w:after="0" w:line="203" w:lineRule="exact"/>
        <w:rPr>
          <w:sz w:val="20"/>
          <w:szCs w:val="20"/>
          <w:color w:val="auto"/>
        </w:rPr>
      </w:pPr>
    </w:p>
    <w:p>
      <w:pPr>
        <w:ind w:left="660" w:hanging="328"/>
        <w:spacing w:after="0" w:line="272"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continuing payments of the named executive officer’s base salary for a period of twelve months following the date of such termination (or if such termination is a good reason termination by the named executive officer based on a material reduction in base salary, then, if greater, as in effect immediately prior to the reduction) (or, if greater, as in effect immediately before the change in control);</w:t>
      </w:r>
    </w:p>
    <w:p>
      <w:pPr>
        <w:spacing w:after="0" w:line="1" w:lineRule="exact"/>
        <w:rPr>
          <w:rFonts w:ascii="Arial" w:cs="Arial" w:eastAsia="Arial" w:hAnsi="Arial"/>
          <w:sz w:val="17"/>
          <w:szCs w:val="17"/>
          <w:color w:val="auto"/>
        </w:rPr>
      </w:pPr>
    </w:p>
    <w:p>
      <w:pPr>
        <w:jc w:val="both"/>
        <w:ind w:left="660" w:right="200" w:hanging="328"/>
        <w:spacing w:after="0" w:line="265"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lump sum cash payment equal to 100% of the named executive officer’s annualized target bonus as in effect for the performance period in which such termination occurs, or, if greater, as in effect for the performance period in which the change in control occurs;</w:t>
      </w:r>
    </w:p>
    <w:p>
      <w:pPr>
        <w:ind w:left="660" w:right="240" w:hanging="328"/>
        <w:spacing w:after="0" w:line="250"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 named executive officer and his eligible dependents have qualifying health care at the time of such termination, then either reimbursements for or direct payments of payment of premiums for coverage under COBRA, for a named executive officer and his eligible dependents, if any, for up to twelve months;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vesting acceleration of 100% of the shares subject to a named executive officer’s outstanding time-based equity awards.</w:t>
      </w:r>
    </w:p>
    <w:p>
      <w:pPr>
        <w:spacing w:after="0" w:line="22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 addition to signing and not revoking a separation agreement and release of claims in our favor, Mr. Ostadan, Mr. Horn, Ms. Kogan or Mr. Thomas’ receipt and retention of any severance benefits under his Participation Agreement is subject to his compliance with the terms of any confidentiality, information and inventions agreement or other written agreement with us under which he has a material duty or obligation to us. Under confidentiality, information and inventions agreement that the named executive officer entered into with the Company, the named executive officer has nondisclosure obligations with respect to the Company’s confidential information for so long as such information otherwise is confidential, subject to certain exceptions under applicable law.</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Mr. Ostadan, Mr. Horn, Ms. Kogan, or Mr. Thomas begins employment or enters into a consultant relationship with a new employer during the period he is receiving severance benefits from us under the Severance Plan and a related Participation Agreement, then any cash compensation paid the named executive officer by the new employer will reduce our cash severance benefit obligations under the Severance Plan, and we will have no obligation to provide for (or provide any payments in lieu of) medical, vision and dental coverage if the new employer provides such benefits to such named executive officer.</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if, (a) during the time period beginning upon the consummation of a change in control and ending on the date immediately prior to the two year anniversary of the change in control (such two-year anniversary, the Retention Date), the employment of Mr. Ostadan, Mr. Horn, Ms. Kogan, or Mr. Thomas with the Company (or any parent or subsidiary of the Company) is terminated either (1) by the Company without cause and not by reason of death or disability, or (2) by the named executive officer as a good reason termination, or (b) such named executive officer remains employed by the Company (or any parent or subsidiary of the Company) through the Retention Date, and if he timely signs and does not revoke a release of claims in our favor, the named executive officer will receive 100% accelerated vesting of all of his then-unvested and outstanding Company equity awards that were granted prior to our initial public offering.</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any of the amounts provided for under the Severance Plan or otherwise payable to a named executive officer would constitute “parachute payments” within the meaning of Section 280G of the Internal Revenue Code and could be subject to the related excise tax, the amounts the named executive officer would be entitled to receive under the Plan or otherwise will be reduced to a lesser amount which would result in no portion of the benefits being subject to the excise tax. No Participation Agreement provides for any Section 280G-related tax gross-up payments from us.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931" w:right="339" w:bottom="1440" w:gutter="0" w:footer="0" w:header="0"/>
        </w:sectPr>
      </w:pPr>
    </w:p>
    <w:bookmarkStart w:id="39" w:name="page40"/>
    <w:bookmarkEnd w:id="39"/>
    <w:p>
      <w:pPr>
        <w:spacing w:after="0" w:line="255" w:lineRule="auto"/>
        <w:rPr>
          <w:sz w:val="20"/>
          <w:szCs w:val="20"/>
          <w:color w:val="auto"/>
        </w:rPr>
      </w:pPr>
      <w:r>
        <w:rPr>
          <w:rFonts w:ascii="Arial" w:cs="Arial" w:eastAsia="Arial" w:hAnsi="Arial"/>
          <w:sz w:val="18"/>
          <w:szCs w:val="18"/>
          <w:color w:val="auto"/>
        </w:rPr>
        <w:t>Under each of Mr. Ostadan, Mr. Horn, Ms. Kogan, or Mr. Thomas’ Participation Agreements, “cause” generally means a named executive officer’s: failure to significantly perform his assigned duties or responsibilities as an employee (other than a failure resulting from his disability) and failure to cure such failure within thirty days after receiving written notice from the Company; engaging in any act of dishonesty, fraud or misrepresentation with respect to the Company; violation of any federal or state law or regulation applicable to the business of the Company or its affiliates; breach of any confidentiality agreement or invention assignment agreement with the Company or its affiliates; material breach of any other agreement with the Company and failure to cure such breach within ten days after receiving written notice of such breach; conviction of, or entering a plea of guilty or nolo contendere to, any felony or crime of moral turpitude; or willful misconduct which significantly and adversely reflects upon the business, operations, or reputation of the Company, and failure to cure such misconduct within ten days after receiving written notice from the Company.</w:t>
      </w: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each of Mr. Ostadan, Mr. Horn, Ms. Kogan, or Mr. Thomas’ Participation Agreements, “good reason termination” generally means that such named executive officer resigns from the Company within 60 days following the end of our cure period discussed below as a result of any of the following that occurs without his written consent: a material reduction in his base salary as compared to his base salary in effect immediately prior to such reduction; a material change in the geographic location of his primary work facility or location, provided, that a relocation that increases his commute by 50 miles or less or to his home as the executive’s primary work location will not be considered a material change in geographic location; or a material reduction of his authority, duties or responsibilities, unless he is provided with a comparable position. For a resignation to qualify as a “good reason termination,” a named executive officer also must provide written notice within 60 days following the initial existence of the good reason condition, and such action must not have been reversed, remedied or cured within 30 days following our receipt of such written notice.</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describes the potential payments that would have been provided to each of our current Key Executive Officers pursuant to the Severance Plan in the event that they were terminated outside the period beginning on the date that is three months prior to the date of a change in control, as described above, and ending on the one-year anniversary date, assuming such termination occurred on December 31, 2021 (except as otherwise noted). Mr. Thomas was appointed Chief Commercial Officer on March 21, 2022, and accordingly is not included in this table.</w:t>
      </w:r>
    </w:p>
    <w:tbl>
      <w:tblPr>
        <w:tblLayout w:type="fixed"/>
        <w:tblInd w:w="0" w:type="dxa"/>
        <w:tblCellMar>
          <w:top w:w="0" w:type="dxa"/>
          <w:left w:w="0" w:type="dxa"/>
          <w:bottom w:w="0" w:type="dxa"/>
          <w:right w:w="0" w:type="dxa"/>
        </w:tblCellMar>
      </w:tblPr>
      <w:tr>
        <w:trPr>
          <w:trHeight w:val="171"/>
        </w:trPr>
        <w:tc>
          <w:tcPr>
            <w:tcW w:w="274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Named Executive Officer</w:t>
            </w:r>
          </w:p>
        </w:tc>
        <w:tc>
          <w:tcPr>
            <w:tcW w:w="420" w:type="dxa"/>
            <w:vAlign w:val="bottom"/>
          </w:tcPr>
          <w:p>
            <w:pPr>
              <w:spacing w:after="0"/>
              <w:rPr>
                <w:sz w:val="14"/>
                <w:szCs w:val="14"/>
                <w:color w:val="auto"/>
              </w:rPr>
            </w:pPr>
          </w:p>
        </w:tc>
        <w:tc>
          <w:tcPr>
            <w:tcW w:w="28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Salary Severance Payments ($)</w:t>
            </w:r>
          </w:p>
        </w:tc>
        <w:tc>
          <w:tcPr>
            <w:tcW w:w="2520" w:type="dxa"/>
            <w:vAlign w:val="bottom"/>
          </w:tcPr>
          <w:p>
            <w:pPr>
              <w:jc w:val="right"/>
              <w:ind w:right="599"/>
              <w:spacing w:after="0" w:line="171" w:lineRule="exact"/>
              <w:rPr>
                <w:sz w:val="20"/>
                <w:szCs w:val="20"/>
                <w:color w:val="auto"/>
              </w:rPr>
            </w:pPr>
            <w:r>
              <w:rPr>
                <w:rFonts w:ascii="Arial" w:cs="Arial" w:eastAsia="Arial" w:hAnsi="Arial"/>
                <w:sz w:val="16"/>
                <w:szCs w:val="16"/>
                <w:b w:val="1"/>
                <w:bCs w:val="1"/>
                <w:color w:val="auto"/>
              </w:rPr>
              <w:t>COBRA Premium</w:t>
            </w:r>
          </w:p>
        </w:tc>
        <w:tc>
          <w:tcPr>
            <w:tcW w:w="560" w:type="dxa"/>
            <w:vAlign w:val="bottom"/>
          </w:tcPr>
          <w:p>
            <w:pPr>
              <w:spacing w:after="0"/>
              <w:rPr>
                <w:sz w:val="14"/>
                <w:szCs w:val="14"/>
                <w:color w:val="auto"/>
              </w:rPr>
            </w:pPr>
          </w:p>
        </w:tc>
        <w:tc>
          <w:tcPr>
            <w:tcW w:w="182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vMerge w:val="continue"/>
          </w:tcPr>
          <w:p>
            <w:pPr>
              <w:spacing w:after="0"/>
              <w:rPr>
                <w:sz w:val="18"/>
                <w:szCs w:val="18"/>
                <w:color w:val="auto"/>
              </w:rPr>
            </w:pPr>
          </w:p>
        </w:tc>
        <w:tc>
          <w:tcPr>
            <w:tcW w:w="2520" w:type="dxa"/>
            <w:vAlign w:val="bottom"/>
            <w:tcBorders>
              <w:bottom w:val="single" w:sz="8" w:color="auto"/>
            </w:tcBorders>
          </w:tcPr>
          <w:p>
            <w:pPr>
              <w:jc w:val="right"/>
              <w:ind w:right="419"/>
              <w:spacing w:after="0" w:line="216" w:lineRule="exact"/>
              <w:rPr>
                <w:sz w:val="20"/>
                <w:szCs w:val="20"/>
                <w:color w:val="auto"/>
              </w:rPr>
            </w:pPr>
            <w:r>
              <w:rPr>
                <w:rFonts w:ascii="Arial" w:cs="Arial" w:eastAsia="Arial" w:hAnsi="Arial"/>
                <w:sz w:val="16"/>
                <w:szCs w:val="16"/>
                <w:b w:val="1"/>
                <w:bCs w:val="1"/>
                <w:color w:val="auto"/>
              </w:rPr>
              <w:t>Reimbursements ($)</w:t>
            </w:r>
            <w:r>
              <w:rPr>
                <w:rFonts w:ascii="Arial" w:cs="Arial" w:eastAsia="Arial" w:hAnsi="Arial"/>
                <w:sz w:val="21"/>
                <w:szCs w:val="21"/>
                <w:b w:val="1"/>
                <w:bCs w:val="1"/>
                <w:color w:val="auto"/>
                <w:vertAlign w:val="superscript"/>
              </w:rPr>
              <w:t>(1)</w:t>
            </w:r>
          </w:p>
        </w:tc>
        <w:tc>
          <w:tcPr>
            <w:tcW w:w="5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line="210" w:lineRule="exact"/>
              <w:rPr>
                <w:sz w:val="20"/>
                <w:szCs w:val="20"/>
                <w:color w:val="auto"/>
              </w:rPr>
            </w:pPr>
            <w:r>
              <w:rPr>
                <w:rFonts w:ascii="Arial" w:cs="Arial" w:eastAsia="Arial" w:hAnsi="Arial"/>
                <w:sz w:val="16"/>
                <w:szCs w:val="16"/>
                <w:color w:val="auto"/>
              </w:rPr>
              <w:t>Omead Ostadan</w:t>
            </w:r>
            <w:r>
              <w:rPr>
                <w:rFonts w:ascii="Arial" w:cs="Arial" w:eastAsia="Arial" w:hAnsi="Arial"/>
                <w:sz w:val="21"/>
                <w:szCs w:val="21"/>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800" w:type="dxa"/>
            <w:vAlign w:val="bottom"/>
          </w:tcPr>
          <w:p>
            <w:pPr>
              <w:jc w:val="right"/>
              <w:ind w:right="239"/>
              <w:spacing w:after="0"/>
              <w:rPr>
                <w:sz w:val="20"/>
                <w:szCs w:val="20"/>
                <w:color w:val="auto"/>
              </w:rPr>
            </w:pPr>
            <w:r>
              <w:rPr>
                <w:rFonts w:ascii="Arial" w:cs="Arial" w:eastAsia="Arial" w:hAnsi="Arial"/>
                <w:sz w:val="16"/>
                <w:szCs w:val="16"/>
                <w:color w:val="auto"/>
              </w:rPr>
              <w:t>335,010</w:t>
            </w:r>
          </w:p>
        </w:tc>
        <w:tc>
          <w:tcPr>
            <w:tcW w:w="2520" w:type="dxa"/>
            <w:vAlign w:val="bottom"/>
          </w:tcPr>
          <w:p>
            <w:pPr>
              <w:jc w:val="right"/>
              <w:ind w:right="19"/>
              <w:spacing w:after="0"/>
              <w:rPr>
                <w:sz w:val="20"/>
                <w:szCs w:val="20"/>
                <w:color w:val="auto"/>
              </w:rPr>
            </w:pPr>
            <w:r>
              <w:rPr>
                <w:rFonts w:ascii="Arial" w:cs="Arial" w:eastAsia="Arial" w:hAnsi="Arial"/>
                <w:sz w:val="16"/>
                <w:szCs w:val="16"/>
                <w:color w:val="auto"/>
              </w:rPr>
              <w:t>18,314</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353,324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David Horn</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305,698</w:t>
            </w:r>
          </w:p>
        </w:tc>
        <w:tc>
          <w:tcPr>
            <w:tcW w:w="2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25,762</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331,460</w:t>
            </w:r>
          </w:p>
        </w:tc>
        <w:tc>
          <w:tcPr>
            <w:tcW w:w="0" w:type="dxa"/>
            <w:vAlign w:val="bottom"/>
          </w:tcPr>
          <w:p>
            <w:pPr>
              <w:spacing w:after="0"/>
              <w:rPr>
                <w:sz w:val="1"/>
                <w:szCs w:val="1"/>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6"/>
                <w:szCs w:val="16"/>
                <w:color w:val="auto"/>
              </w:rPr>
              <w:t>Elona Kogan</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800" w:type="dxa"/>
            <w:vAlign w:val="bottom"/>
          </w:tcPr>
          <w:p>
            <w:pPr>
              <w:jc w:val="right"/>
              <w:ind w:right="239"/>
              <w:spacing w:after="0"/>
              <w:rPr>
                <w:sz w:val="20"/>
                <w:szCs w:val="20"/>
                <w:color w:val="auto"/>
              </w:rPr>
            </w:pPr>
            <w:r>
              <w:rPr>
                <w:rFonts w:ascii="Arial" w:cs="Arial" w:eastAsia="Arial" w:hAnsi="Arial"/>
                <w:sz w:val="16"/>
                <w:szCs w:val="16"/>
                <w:color w:val="auto"/>
              </w:rPr>
              <w:t>281,250</w:t>
            </w:r>
          </w:p>
        </w:tc>
        <w:tc>
          <w:tcPr>
            <w:tcW w:w="2520" w:type="dxa"/>
            <w:vAlign w:val="bottom"/>
          </w:tcPr>
          <w:p>
            <w:pPr>
              <w:jc w:val="right"/>
              <w:ind w:right="19"/>
              <w:spacing w:after="0"/>
              <w:rPr>
                <w:sz w:val="20"/>
                <w:szCs w:val="20"/>
                <w:color w:val="auto"/>
              </w:rPr>
            </w:pPr>
            <w:r>
              <w:rPr>
                <w:rFonts w:ascii="Arial" w:cs="Arial" w:eastAsia="Arial" w:hAnsi="Arial"/>
                <w:sz w:val="16"/>
                <w:szCs w:val="16"/>
                <w:color w:val="auto"/>
              </w:rPr>
              <w:t>25,762</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307,012</w:t>
            </w: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18" w:lineRule="exact"/>
        <w:rPr>
          <w:sz w:val="20"/>
          <w:szCs w:val="20"/>
          <w:color w:val="auto"/>
        </w:rPr>
      </w:pPr>
    </w:p>
    <w:p>
      <w:pPr>
        <w:ind w:left="660" w:right="200" w:hanging="652"/>
        <w:spacing w:after="0" w:line="252"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reported in this column represent estimates of the premiums to maintain group health insurance continuation benefits pursuant to COBRA for the executive and the executive’s respective eligible dependents for nine months. The amounts presented are based on estimates for maintaining group health insurance continuation benefits under our 2022 health insurance plans.</w:t>
      </w: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amounts assume the full year of compensation without regard to Mr. Ostadan’s leave of absence.</w:t>
      </w:r>
    </w:p>
    <w:p>
      <w:pPr>
        <w:spacing w:after="0" w:line="200" w:lineRule="exact"/>
        <w:rPr>
          <w:sz w:val="20"/>
          <w:szCs w:val="20"/>
          <w:color w:val="auto"/>
        </w:rPr>
      </w:pPr>
    </w:p>
    <w:p>
      <w:pPr>
        <w:spacing w:after="0" w:line="2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describes the potential payments that would have been provided to each of our current Key Executive Officers pursuant to the Severance Plan, in the event that they were terminated within the period beginning on the date that is three months prior to the date of a change in control, as described above, and ending on the one-year anniversary date, assuming such termination occurred on December 31, 2021 (except as otherwise noted). Mr. Thomas was appointed Chief Commercial Officer on March 21, 2022, and accordingly is not included in this table.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174"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0"/>
        </w:trPr>
        <w:tc>
          <w:tcPr>
            <w:tcW w:w="21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Named Executive Officer</w:t>
            </w:r>
          </w:p>
        </w:tc>
        <w:tc>
          <w:tcPr>
            <w:tcW w:w="240" w:type="dxa"/>
            <w:vAlign w:val="bottom"/>
          </w:tcPr>
          <w:p>
            <w:pPr>
              <w:spacing w:after="0"/>
              <w:rPr>
                <w:sz w:val="16"/>
                <w:szCs w:val="16"/>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Salary Severance</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Bonus Severance</w:t>
            </w:r>
          </w:p>
        </w:tc>
        <w:tc>
          <w:tcPr>
            <w:tcW w:w="1860" w:type="dxa"/>
            <w:vAlign w:val="bottom"/>
          </w:tcPr>
          <w:p>
            <w:pPr>
              <w:jc w:val="right"/>
              <w:ind w:right="179"/>
              <w:spacing w:after="0"/>
              <w:rPr>
                <w:sz w:val="20"/>
                <w:szCs w:val="20"/>
                <w:color w:val="auto"/>
              </w:rPr>
            </w:pPr>
            <w:r>
              <w:rPr>
                <w:rFonts w:ascii="Arial" w:cs="Arial" w:eastAsia="Arial" w:hAnsi="Arial"/>
                <w:sz w:val="16"/>
                <w:szCs w:val="16"/>
                <w:b w:val="1"/>
                <w:bCs w:val="1"/>
                <w:color w:val="auto"/>
              </w:rPr>
              <w:t>COBRA Premium</w:t>
            </w:r>
          </w:p>
        </w:tc>
        <w:tc>
          <w:tcPr>
            <w:tcW w:w="1920" w:type="dxa"/>
            <w:vAlign w:val="bottom"/>
          </w:tcPr>
          <w:p>
            <w:pPr>
              <w:jc w:val="right"/>
              <w:ind w:right="5"/>
              <w:spacing w:after="0"/>
              <w:rPr>
                <w:sz w:val="20"/>
                <w:szCs w:val="20"/>
                <w:color w:val="auto"/>
              </w:rPr>
            </w:pPr>
            <w:r>
              <w:rPr>
                <w:rFonts w:ascii="Arial" w:cs="Arial" w:eastAsia="Arial" w:hAnsi="Arial"/>
                <w:sz w:val="16"/>
                <w:szCs w:val="16"/>
                <w:b w:val="1"/>
                <w:bCs w:val="1"/>
                <w:color w:val="auto"/>
              </w:rPr>
              <w:t>Equity Acceleration ($)</w:t>
            </w:r>
          </w:p>
        </w:tc>
        <w:tc>
          <w:tcPr>
            <w:tcW w:w="420" w:type="dxa"/>
            <w:vAlign w:val="bottom"/>
          </w:tcPr>
          <w:p>
            <w:pPr>
              <w:spacing w:after="0"/>
              <w:rPr>
                <w:sz w:val="16"/>
                <w:szCs w:val="16"/>
                <w:color w:val="auto"/>
              </w:rPr>
            </w:pPr>
          </w:p>
        </w:tc>
        <w:tc>
          <w:tcPr>
            <w:tcW w:w="150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189"/>
        </w:trPr>
        <w:tc>
          <w:tcPr>
            <w:tcW w:w="21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Payments ($)</w:t>
            </w: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Payments ($)</w:t>
            </w:r>
          </w:p>
        </w:tc>
        <w:tc>
          <w:tcPr>
            <w:tcW w:w="1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6"/>
                <w:szCs w:val="16"/>
                <w:b w:val="1"/>
                <w:bCs w:val="1"/>
                <w:color w:val="auto"/>
              </w:rPr>
              <w:t>Reimbursements ($)</w:t>
            </w:r>
            <w:r>
              <w:rPr>
                <w:rFonts w:ascii="Arial" w:cs="Arial" w:eastAsia="Arial" w:hAnsi="Arial"/>
                <w:sz w:val="21"/>
                <w:szCs w:val="21"/>
                <w:b w:val="1"/>
                <w:bCs w:val="1"/>
                <w:color w:val="auto"/>
                <w:vertAlign w:val="superscript"/>
              </w:rPr>
              <w:t>(1)</w:t>
            </w:r>
          </w:p>
        </w:tc>
        <w:tc>
          <w:tcPr>
            <w:tcW w:w="1920" w:type="dxa"/>
            <w:vAlign w:val="bottom"/>
            <w:tcBorders>
              <w:bottom w:val="single" w:sz="8" w:color="auto"/>
            </w:tcBorders>
          </w:tcPr>
          <w:p>
            <w:pPr>
              <w:jc w:val="right"/>
              <w:ind w:right="805"/>
              <w:spacing w:after="0"/>
              <w:rPr>
                <w:sz w:val="20"/>
                <w:szCs w:val="20"/>
                <w:color w:val="auto"/>
              </w:rPr>
            </w:pPr>
            <w:r>
              <w:rPr>
                <w:rFonts w:ascii="Arial" w:cs="Arial" w:eastAsia="Arial" w:hAnsi="Arial"/>
                <w:sz w:val="11"/>
                <w:szCs w:val="11"/>
                <w:b w:val="1"/>
                <w:bCs w:val="1"/>
                <w:color w:val="auto"/>
              </w:rPr>
              <w:t>(2)</w:t>
            </w: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line="210" w:lineRule="exact"/>
              <w:rPr>
                <w:sz w:val="20"/>
                <w:szCs w:val="20"/>
                <w:color w:val="auto"/>
              </w:rPr>
            </w:pPr>
            <w:r>
              <w:rPr>
                <w:rFonts w:ascii="Arial" w:cs="Arial" w:eastAsia="Arial" w:hAnsi="Arial"/>
                <w:sz w:val="16"/>
                <w:szCs w:val="16"/>
                <w:color w:val="auto"/>
              </w:rPr>
              <w:t>Omead Ostadan</w:t>
            </w:r>
            <w:r>
              <w:rPr>
                <w:rFonts w:ascii="Arial" w:cs="Arial" w:eastAsia="Arial" w:hAnsi="Arial"/>
                <w:sz w:val="21"/>
                <w:szCs w:val="21"/>
                <w:color w:val="auto"/>
                <w:vertAlign w:val="superscript"/>
              </w:rPr>
              <w:t>(3)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446,679</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201,006</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24,420</w:t>
            </w:r>
          </w:p>
        </w:tc>
        <w:tc>
          <w:tcPr>
            <w:tcW w:w="1920" w:type="dxa"/>
            <w:vAlign w:val="bottom"/>
          </w:tcPr>
          <w:p>
            <w:pPr>
              <w:jc w:val="right"/>
              <w:ind w:right="45"/>
              <w:spacing w:after="0"/>
              <w:rPr>
                <w:sz w:val="20"/>
                <w:szCs w:val="20"/>
                <w:color w:val="auto"/>
              </w:rPr>
            </w:pPr>
            <w:r>
              <w:rPr>
                <w:rFonts w:ascii="Arial" w:cs="Arial" w:eastAsia="Arial" w:hAnsi="Arial"/>
                <w:sz w:val="16"/>
                <w:szCs w:val="16"/>
                <w:color w:val="auto"/>
              </w:rPr>
              <w:t>35,889,211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36,561,316</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David Horn</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407,597</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163,039</w:t>
            </w: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34,350</w:t>
            </w:r>
          </w:p>
        </w:tc>
        <w:tc>
          <w:tcPr>
            <w:tcW w:w="19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16,820,662</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17,425,648</w:t>
            </w:r>
          </w:p>
        </w:tc>
        <w:tc>
          <w:tcPr>
            <w:tcW w:w="0" w:type="dxa"/>
            <w:vAlign w:val="bottom"/>
          </w:tcPr>
          <w:p>
            <w:pPr>
              <w:spacing w:after="0"/>
              <w:rPr>
                <w:sz w:val="1"/>
                <w:szCs w:val="1"/>
                <w:color w:val="auto"/>
              </w:rPr>
            </w:pPr>
          </w:p>
        </w:tc>
      </w:tr>
      <w:tr>
        <w:trPr>
          <w:trHeight w:val="215"/>
        </w:trPr>
        <w:tc>
          <w:tcPr>
            <w:tcW w:w="2120" w:type="dxa"/>
            <w:vAlign w:val="bottom"/>
          </w:tcPr>
          <w:p>
            <w:pPr>
              <w:ind w:left="20"/>
              <w:spacing w:after="0"/>
              <w:rPr>
                <w:sz w:val="20"/>
                <w:szCs w:val="20"/>
                <w:color w:val="auto"/>
              </w:rPr>
            </w:pPr>
            <w:r>
              <w:rPr>
                <w:rFonts w:ascii="Arial" w:cs="Arial" w:eastAsia="Arial" w:hAnsi="Arial"/>
                <w:sz w:val="16"/>
                <w:szCs w:val="16"/>
                <w:color w:val="auto"/>
              </w:rPr>
              <w:t>Elona Kogan</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375,000</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150,000</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34,350</w:t>
            </w:r>
          </w:p>
        </w:tc>
        <w:tc>
          <w:tcPr>
            <w:tcW w:w="1920" w:type="dxa"/>
            <w:vAlign w:val="bottom"/>
          </w:tcPr>
          <w:p>
            <w:pPr>
              <w:jc w:val="right"/>
              <w:ind w:right="45"/>
              <w:spacing w:after="0"/>
              <w:rPr>
                <w:sz w:val="20"/>
                <w:szCs w:val="20"/>
                <w:color w:val="auto"/>
              </w:rPr>
            </w:pPr>
            <w:r>
              <w:rPr>
                <w:rFonts w:ascii="Arial" w:cs="Arial" w:eastAsia="Arial" w:hAnsi="Arial"/>
                <w:sz w:val="16"/>
                <w:szCs w:val="16"/>
                <w:color w:val="auto"/>
              </w:rPr>
              <w:t>6,617,256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7,176,606</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18" w:lineRule="exact"/>
        <w:rPr>
          <w:sz w:val="20"/>
          <w:szCs w:val="20"/>
          <w:color w:val="auto"/>
        </w:rPr>
      </w:pPr>
    </w:p>
    <w:p>
      <w:pPr>
        <w:jc w:val="both"/>
        <w:ind w:left="660" w:right="320" w:hanging="652"/>
        <w:spacing w:after="0" w:line="252"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amounts reported in this column represent estimates of the premiums to maintain group health insurance continuation benefits pursuant to COBRA for the executive and the executive’s respective eligible dependents for 12 months. The amounts presented are based on estimates for maintaining group health insurance continuation benefits under our 2022 health insurance plans.</w:t>
      </w:r>
    </w:p>
    <w:p>
      <w:pPr>
        <w:ind w:left="660" w:hanging="652"/>
        <w:spacing w:after="0" w:line="252"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value of the accelerated RSUs in this table are calculated by multiplying the number of shares subject to acceleration by the closing price of our common stock on December 31, 2021, which was $22.81 per share. The value of the accelerated stock options is calculated by multiplying (x) the number of shares subject to acceleration for each stock option by (y) the closing price per share minus the applicable exercise price per share.</w:t>
      </w: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These amounts assume the full year of compensation without regard to Mr. Ostadan’s leave of absence.</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provides information as of December 31, 2021 with respect to shares of our common stock that may be issued under our existing equity compensation plans.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3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4"/>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Available for Future</w:t>
            </w:r>
          </w:p>
        </w:tc>
        <w:tc>
          <w:tcPr>
            <w:tcW w:w="0" w:type="dxa"/>
            <w:vAlign w:val="bottom"/>
          </w:tcPr>
          <w:p>
            <w:pPr>
              <w:spacing w:after="0"/>
              <w:rPr>
                <w:sz w:val="1"/>
                <w:szCs w:val="1"/>
                <w:color w:val="auto"/>
              </w:rPr>
            </w:pPr>
          </w:p>
        </w:tc>
      </w:tr>
      <w:tr>
        <w:trPr>
          <w:trHeight w:val="13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rPr>
              <w:t>Securities to be</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Issuance Under</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Issued upon</w:t>
            </w:r>
          </w:p>
        </w:tc>
        <w:tc>
          <w:tcPr>
            <w:tcW w:w="15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4"/>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Exercise of</w:t>
            </w:r>
          </w:p>
        </w:tc>
        <w:tc>
          <w:tcPr>
            <w:tcW w:w="1540" w:type="dxa"/>
            <w:vAlign w:val="bottom"/>
            <w:gridSpan w:val="3"/>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3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2"/>
                <w:szCs w:val="12"/>
                <w:color w:val="auto"/>
              </w:rPr>
            </w:pPr>
          </w:p>
        </w:tc>
        <w:tc>
          <w:tcPr>
            <w:tcW w:w="140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Exercise Price of</w:t>
            </w:r>
          </w:p>
        </w:tc>
        <w:tc>
          <w:tcPr>
            <w:tcW w:w="14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44"/>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Options, Restricted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Outstanding</w:t>
            </w: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Stock Units and</w:t>
            </w:r>
          </w:p>
        </w:tc>
        <w:tc>
          <w:tcPr>
            <w:tcW w:w="15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Options and Rights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Reflected in the first</w:t>
            </w:r>
          </w:p>
        </w:tc>
        <w:tc>
          <w:tcPr>
            <w:tcW w:w="0" w:type="dxa"/>
            <w:vAlign w:val="bottom"/>
          </w:tcPr>
          <w:p>
            <w:pPr>
              <w:spacing w:after="0"/>
              <w:rPr>
                <w:sz w:val="1"/>
                <w:szCs w:val="1"/>
                <w:color w:val="auto"/>
              </w:rPr>
            </w:pPr>
          </w:p>
        </w:tc>
      </w:tr>
      <w:tr>
        <w:trPr>
          <w:trHeight w:val="189"/>
        </w:trPr>
        <w:tc>
          <w:tcPr>
            <w:tcW w:w="6740" w:type="dxa"/>
            <w:vAlign w:val="bottom"/>
            <w:gridSpan w:val="2"/>
            <w:vMerge w:val="continue"/>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Rights (#)</w:t>
            </w:r>
          </w:p>
        </w:tc>
        <w:tc>
          <w:tcPr>
            <w:tcW w:w="140" w:type="dxa"/>
            <w:vAlign w:val="bottom"/>
          </w:tcPr>
          <w:p>
            <w:pPr>
              <w:spacing w:after="0"/>
              <w:rPr>
                <w:sz w:val="16"/>
                <w:szCs w:val="16"/>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Column) (#)</w:t>
            </w:r>
          </w:p>
        </w:tc>
        <w:tc>
          <w:tcPr>
            <w:tcW w:w="0" w:type="dxa"/>
            <w:vAlign w:val="bottom"/>
          </w:tcPr>
          <w:p>
            <w:pPr>
              <w:spacing w:after="0"/>
              <w:rPr>
                <w:sz w:val="1"/>
                <w:szCs w:val="1"/>
                <w:color w:val="auto"/>
              </w:rPr>
            </w:pPr>
          </w:p>
        </w:tc>
      </w:tr>
      <w:tr>
        <w:trPr>
          <w:trHeight w:val="209"/>
        </w:trPr>
        <w:tc>
          <w:tcPr>
            <w:tcW w:w="66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0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360"/>
              <w:spacing w:after="0" w:line="216" w:lineRule="exact"/>
              <w:rPr>
                <w:sz w:val="20"/>
                <w:szCs w:val="20"/>
                <w:color w:val="auto"/>
              </w:rPr>
            </w:pPr>
            <w:r>
              <w:rPr>
                <w:rFonts w:ascii="Arial" w:cs="Arial" w:eastAsia="Arial" w:hAnsi="Arial"/>
                <w:sz w:val="16"/>
                <w:szCs w:val="16"/>
                <w:i w:val="1"/>
                <w:iCs w:val="1"/>
                <w:color w:val="auto"/>
              </w:rPr>
              <w:t xml:space="preserve">2017 Stock Incentive Plan </w:t>
            </w:r>
            <w:r>
              <w:rPr>
                <w:rFonts w:ascii="Arial" w:cs="Arial" w:eastAsia="Arial" w:hAnsi="Arial"/>
                <w:sz w:val="21"/>
                <w:szCs w:val="21"/>
                <w:i w:val="1"/>
                <w:iCs w:val="1"/>
                <w:color w:val="auto"/>
                <w:vertAlign w:val="superscript"/>
              </w:rPr>
              <w:t>(1)</w:t>
            </w: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6,948,865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FF0FC"/>
          </w:tcPr>
          <w:p>
            <w:pPr>
              <w:ind w:left="360"/>
              <w:spacing w:after="0" w:line="216" w:lineRule="exact"/>
              <w:rPr>
                <w:sz w:val="20"/>
                <w:szCs w:val="20"/>
                <w:color w:val="auto"/>
              </w:rPr>
            </w:pPr>
            <w:r>
              <w:rPr>
                <w:rFonts w:ascii="Arial" w:cs="Arial" w:eastAsia="Arial" w:hAnsi="Arial"/>
                <w:sz w:val="16"/>
                <w:szCs w:val="16"/>
                <w:i w:val="1"/>
                <w:iCs w:val="1"/>
                <w:color w:val="auto"/>
              </w:rPr>
              <w:t xml:space="preserve">2020 Equity Incentive Plan </w:t>
            </w:r>
            <w:r>
              <w:rPr>
                <w:rFonts w:ascii="Arial" w:cs="Arial" w:eastAsia="Arial" w:hAnsi="Arial"/>
                <w:sz w:val="21"/>
                <w:szCs w:val="21"/>
                <w:i w:val="1"/>
                <w:iCs w:val="1"/>
                <w:color w:val="auto"/>
                <w:vertAlign w:val="superscript"/>
              </w:rPr>
              <w:t>(2)</w:t>
            </w:r>
          </w:p>
        </w:tc>
        <w:tc>
          <w:tcPr>
            <w:tcW w:w="144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3,290,195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14.17</w:t>
            </w: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3,290,195</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line="216" w:lineRule="exact"/>
              <w:rPr>
                <w:sz w:val="20"/>
                <w:szCs w:val="20"/>
                <w:color w:val="auto"/>
              </w:rPr>
            </w:pPr>
            <w:r>
              <w:rPr>
                <w:rFonts w:ascii="Arial" w:cs="Arial" w:eastAsia="Arial" w:hAnsi="Arial"/>
                <w:sz w:val="16"/>
                <w:szCs w:val="16"/>
                <w:i w:val="1"/>
                <w:iCs w:val="1"/>
                <w:color w:val="auto"/>
              </w:rPr>
              <w:t xml:space="preserve">2020 Employee Stock Purchase Plan </w:t>
            </w:r>
            <w:r>
              <w:rPr>
                <w:rFonts w:ascii="Arial" w:cs="Arial" w:eastAsia="Arial" w:hAnsi="Arial"/>
                <w:sz w:val="21"/>
                <w:szCs w:val="21"/>
                <w:i w:val="1"/>
                <w:iCs w:val="1"/>
                <w:color w:val="auto"/>
                <w:vertAlign w:val="superscript"/>
              </w:rPr>
              <w:t>(3)</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1,177,398</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FF0FC"/>
          </w:tcPr>
          <w:p>
            <w:pPr>
              <w:ind w:left="360"/>
              <w:spacing w:after="0" w:line="216" w:lineRule="exact"/>
              <w:rPr>
                <w:sz w:val="20"/>
                <w:szCs w:val="20"/>
                <w:color w:val="auto"/>
              </w:rPr>
            </w:pPr>
            <w:r>
              <w:rPr>
                <w:rFonts w:ascii="Arial" w:cs="Arial" w:eastAsia="Arial" w:hAnsi="Arial"/>
                <w:sz w:val="16"/>
                <w:szCs w:val="16"/>
                <w:i w:val="1"/>
                <w:iCs w:val="1"/>
                <w:color w:val="auto"/>
              </w:rPr>
              <w:t xml:space="preserve">2020 RSU Equity Incentive Plan </w:t>
            </w:r>
            <w:r>
              <w:rPr>
                <w:rFonts w:ascii="Arial" w:cs="Arial" w:eastAsia="Arial" w:hAnsi="Arial"/>
                <w:sz w:val="21"/>
                <w:szCs w:val="21"/>
                <w:i w:val="1"/>
                <w:iCs w:val="1"/>
                <w:color w:val="auto"/>
                <w:vertAlign w:val="superscript"/>
              </w:rPr>
              <w:t>(4)</w:t>
            </w:r>
          </w:p>
        </w:tc>
        <w:tc>
          <w:tcPr>
            <w:tcW w:w="144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331,161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7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10,570,221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4,467,593</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18" w:lineRule="exact"/>
        <w:rPr>
          <w:sz w:val="20"/>
          <w:szCs w:val="20"/>
          <w:color w:val="auto"/>
        </w:rPr>
      </w:pPr>
    </w:p>
    <w:p>
      <w:pPr>
        <w:ind w:left="660" w:hanging="652"/>
        <w:spacing w:after="0" w:line="253"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board of directors adopted, and our stockholders approved, the 2017 Stock Incentive Plan, as amended and restated (the 2017 Plan). In connection with our initial public offering and the adoption of the 2020 Equity Incentive Plan (the 2020 Plan), we no longer grant awards under the 2017 Plan; however, all outstanding options issued pursuant to the 2017 Plan continue to be governed by their existing terms. To the extent that any such awards are forfeited or lapse unexercised or are repurchased, the shares of common stock subject to such awards will become available for issuance under the 2020 Plan. Includes options to purchase 6,948,865 shares of our common stock outstanding under the 2017 Plan.</w:t>
      </w:r>
    </w:p>
    <w:p>
      <w:pPr>
        <w:spacing w:after="0" w:line="2" w:lineRule="exact"/>
        <w:rPr>
          <w:rFonts w:ascii="Arial" w:cs="Arial" w:eastAsia="Arial" w:hAnsi="Arial"/>
          <w:sz w:val="16"/>
          <w:szCs w:val="16"/>
          <w:color w:val="auto"/>
        </w:rPr>
      </w:pPr>
    </w:p>
    <w:p>
      <w:pPr>
        <w:ind w:left="660" w:right="140" w:hanging="652"/>
        <w:spacing w:after="0" w:line="253"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board of directors adopted, and our stockholders approved, the 2020 Plan. The 2020 Plan provides that the number of shares available for issuance under the 2020 Plan will be increased on the first day of each fiscal year beginning with the 2021 fiscal year, in an amount equal to the least of (i) 9,037,149 shares, (ii) five percent (5%) of the outstanding shares of common stock on the last day of the immediately preceding fiscal year or (iii) such other amount as our board of directors may determine. Includes 3,290,195 shares of our common stock issuable under options to purchase common stock and restricted stock units outstanding under our 2020 Plan.</w:t>
      </w:r>
    </w:p>
    <w:p>
      <w:pPr>
        <w:spacing w:after="0" w:line="2" w:lineRule="exact"/>
        <w:rPr>
          <w:rFonts w:ascii="Arial" w:cs="Arial" w:eastAsia="Arial" w:hAnsi="Arial"/>
          <w:sz w:val="16"/>
          <w:szCs w:val="16"/>
          <w:color w:val="auto"/>
        </w:rPr>
      </w:pPr>
    </w:p>
    <w:p>
      <w:pPr>
        <w:jc w:val="both"/>
        <w:ind w:left="660" w:right="60" w:hanging="652"/>
        <w:spacing w:after="0" w:line="264"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board of directors adopted, and our shareholders approved, the 2020 Employee Stock Purchase Plan (the ESPP). The ESPP provides that the number of shares available for issuance under the ESPP will be increased on the first day of each fiscal year beginning with the 2021 fiscal year, in an amount equal to the least of (i) 1,807,476 shares, (ii) one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976" w:right="339" w:bottom="1440" w:gutter="0" w:footer="0" w:header="0"/>
        </w:sectPr>
      </w:pPr>
    </w:p>
    <w:bookmarkStart w:id="41" w:name="page42"/>
    <w:bookmarkEnd w:id="41"/>
    <w:p>
      <w:pPr>
        <w:ind w:left="652" w:right="20"/>
        <w:spacing w:after="0" w:line="263" w:lineRule="auto"/>
        <w:rPr>
          <w:sz w:val="20"/>
          <w:szCs w:val="20"/>
          <w:color w:val="auto"/>
        </w:rPr>
      </w:pPr>
      <w:r>
        <w:rPr>
          <w:rFonts w:ascii="Arial" w:cs="Arial" w:eastAsia="Arial" w:hAnsi="Arial"/>
          <w:sz w:val="16"/>
          <w:szCs w:val="16"/>
          <w:color w:val="auto"/>
        </w:rPr>
        <w:t>percent (1%) of the outstanding shares of common stock on the last day of the immediately preceding fiscal year or (iii) such other amount as may be determined by our board of directors.</w:t>
      </w:r>
    </w:p>
    <w:p>
      <w:pPr>
        <w:ind w:left="652" w:hanging="652"/>
        <w:spacing w:after="0" w:line="267" w:lineRule="auto"/>
        <w:tabs>
          <w:tab w:leader="none" w:pos="647"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board of directors adopted, and our stockholders approved, the 2020 RSU Equity Incentive Plan, as amended and restated (the RSU Plan). In connection with our initial public offering, we no longer grant awards under the RSU Plan; however, all outstanding restricted stock units (RSUs) issued pursuant to the RSU Plan continue to be governed by their existing terms. Includes 331,161 RSUs outstanding under the RSU Plan.</w:t>
      </w:r>
    </w:p>
    <w:p>
      <w:pPr>
        <w:spacing w:after="0" w:line="200" w:lineRule="exact"/>
        <w:rPr>
          <w:sz w:val="20"/>
          <w:szCs w:val="20"/>
          <w:color w:val="auto"/>
        </w:rPr>
      </w:pPr>
    </w:p>
    <w:p>
      <w:pPr>
        <w:spacing w:after="0" w:line="344"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12"/>
          </w:cols>
          <w:pgMar w:left="328" w:top="935" w:right="45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Our mission is to imagine and pioneer new ways to decode the secrets of the proteome to improve human health. Our initial product, the Proteograph Product Suite, leverages our proprietary engineered nanoparticle technology to provide unbiased, deep, rapid and large-scale access to the proteome. The Proteograph Product Suite is an integrated solution that is comprised of consumables, an automation instrument and software.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and its dynamic nature requires large-scale, unbiased and deep interrogation of thousands of samples across time, which we believe is unavailable with the proteomic approaches available today. We believe that the Proteograph Product Suite has the potential to enable researchers to perform these proteomics studies at scale.</w:t>
      </w:r>
    </w:p>
    <w:p>
      <w:pPr>
        <w:spacing w:after="0" w:line="207"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We became a public company in December 2020, and in 2021 we filed our proxy statement for our 2020 fiscal year under the scaled-down reporting rules applicable to emerging growth companies. As of the close of our fiscal year 2021, we ceased to qualify as a smaller reporting company and, therefore, this year’s Proxy Statement includes additional required detail regarding our executive compensation program.</w:t>
      </w:r>
    </w:p>
    <w:p>
      <w:pPr>
        <w:spacing w:after="0" w:line="16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following Compensation Discussion and Analysis (“CD&amp;A”) describes the philosophy, objectives, and structure of our 2021 executive compensation program and includes discussion and background information regarding the compensation of the current executive officers identified below. We refer to these executives collectively as our “named executive officers”. This CD&amp;A is intended to be read in conjunction with the tables immediately following this section, which provide further historical compensation information. This CD&amp;A includes disclosures on a voluntary basis given our status as a smaller reporting company.</w:t>
      </w:r>
    </w:p>
    <w:p>
      <w:pPr>
        <w:spacing w:after="0" w:line="230" w:lineRule="exact"/>
        <w:rPr>
          <w:sz w:val="20"/>
          <w:szCs w:val="20"/>
          <w:color w:val="auto"/>
        </w:rPr>
      </w:pPr>
    </w:p>
    <w:p>
      <w:pPr>
        <w:ind w:right="40"/>
        <w:spacing w:after="0" w:line="335" w:lineRule="auto"/>
        <w:rPr>
          <w:sz w:val="20"/>
          <w:szCs w:val="20"/>
          <w:color w:val="auto"/>
        </w:rPr>
      </w:pPr>
      <w:r>
        <w:rPr>
          <w:rFonts w:ascii="Arial" w:cs="Arial" w:eastAsia="Arial" w:hAnsi="Arial"/>
          <w:sz w:val="17"/>
          <w:szCs w:val="17"/>
          <w:color w:val="auto"/>
        </w:rPr>
        <w:t>Our named executive officers for the fiscal year ended December 31, 2021, which consist of our principal executive officer, principal financial officer and the next two most highly compensated executive officers who were serving as executive officers as of December 31, 2021 are:</w:t>
      </w:r>
    </w:p>
    <w:p>
      <w:pPr>
        <w:spacing w:after="0" w:line="17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Omid Farokhzad, M.D., our Chief Executive Officer and Chair of the Board of Directors;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Omead Ostadan, our President, Chief Operating Officer and Director;</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David Horn, our Chief Financial Officer; and</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Elona Kogan, our General Counsel &amp; Corporate Secretary.</w:t>
      </w:r>
    </w:p>
    <w:p>
      <w:pPr>
        <w:spacing w:after="0" w:line="252"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Typically, our named executive officers would consist of our principal executive officer, principal financial officer and the three most highly compensated officers serving as executive officers as of the end of the year. However, we had only four executive officers during the year ended December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260" w:type="dxa"/>
            <w:vAlign w:val="bottom"/>
          </w:tcPr>
          <w:p>
            <w:pPr>
              <w:spacing w:after="0"/>
              <w:rPr>
                <w:sz w:val="21"/>
                <w:szCs w:val="21"/>
                <w:color w:val="auto"/>
              </w:rPr>
            </w:pPr>
          </w:p>
        </w:tc>
        <w:tc>
          <w:tcPr>
            <w:tcW w:w="5500" w:type="dxa"/>
            <w:vAlign w:val="bottom"/>
          </w:tcPr>
          <w:p>
            <w:pPr>
              <w:ind w:left="360"/>
              <w:spacing w:after="0"/>
              <w:rPr>
                <w:sz w:val="20"/>
                <w:szCs w:val="20"/>
                <w:color w:val="auto"/>
              </w:rPr>
            </w:pPr>
            <w:r>
              <w:rPr>
                <w:rFonts w:ascii="Arial" w:cs="Arial" w:eastAsia="Arial" w:hAnsi="Arial"/>
                <w:sz w:val="18"/>
                <w:szCs w:val="18"/>
                <w:b w:val="1"/>
                <w:bCs w:val="1"/>
                <w:color w:val="auto"/>
              </w:rPr>
              <w:t>CD&amp;A Reference Guide</w:t>
            </w:r>
          </w:p>
        </w:tc>
      </w:tr>
      <w:tr>
        <w:trPr>
          <w:trHeight w:val="258"/>
        </w:trPr>
        <w:tc>
          <w:tcPr>
            <w:tcW w:w="426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7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Summary</w:t>
            </w:r>
          </w:p>
        </w:tc>
        <w:tc>
          <w:tcPr>
            <w:tcW w:w="5500" w:type="dxa"/>
            <w:vAlign w:val="bottom"/>
            <w:shd w:val="clear" w:color="auto" w:fill="CCEEFF"/>
          </w:tcPr>
          <w:p>
            <w:pPr>
              <w:ind w:left="2580"/>
              <w:spacing w:after="0"/>
              <w:rPr>
                <w:sz w:val="20"/>
                <w:szCs w:val="20"/>
                <w:color w:val="auto"/>
              </w:rPr>
            </w:pPr>
            <w:r>
              <w:rPr>
                <w:rFonts w:ascii="Arial" w:cs="Arial" w:eastAsia="Arial" w:hAnsi="Arial"/>
                <w:sz w:val="18"/>
                <w:szCs w:val="18"/>
                <w:b w:val="1"/>
                <w:bCs w:val="1"/>
                <w:color w:val="auto"/>
              </w:rPr>
              <w:t>Section I</w:t>
            </w:r>
          </w:p>
        </w:tc>
      </w:tr>
      <w:tr>
        <w:trPr>
          <w:trHeight w:val="263"/>
        </w:trPr>
        <w:tc>
          <w:tcPr>
            <w:tcW w:w="4260" w:type="dxa"/>
            <w:vAlign w:val="bottom"/>
          </w:tcPr>
          <w:p>
            <w:pPr>
              <w:ind w:left="20"/>
              <w:spacing w:after="0"/>
              <w:rPr>
                <w:sz w:val="20"/>
                <w:szCs w:val="20"/>
                <w:color w:val="auto"/>
              </w:rPr>
            </w:pPr>
            <w:r>
              <w:rPr>
                <w:rFonts w:ascii="Arial" w:cs="Arial" w:eastAsia="Arial" w:hAnsi="Arial"/>
                <w:sz w:val="18"/>
                <w:szCs w:val="18"/>
                <w:color w:val="auto"/>
              </w:rPr>
              <w:t>Compensation Philosophy and Objectives</w:t>
            </w:r>
          </w:p>
        </w:tc>
        <w:tc>
          <w:tcPr>
            <w:tcW w:w="5500" w:type="dxa"/>
            <w:vAlign w:val="bottom"/>
          </w:tcPr>
          <w:p>
            <w:pPr>
              <w:ind w:left="2580"/>
              <w:spacing w:after="0"/>
              <w:rPr>
                <w:sz w:val="20"/>
                <w:szCs w:val="20"/>
                <w:color w:val="auto"/>
              </w:rPr>
            </w:pPr>
            <w:r>
              <w:rPr>
                <w:rFonts w:ascii="Arial" w:cs="Arial" w:eastAsia="Arial" w:hAnsi="Arial"/>
                <w:sz w:val="18"/>
                <w:szCs w:val="18"/>
                <w:b w:val="1"/>
                <w:bCs w:val="1"/>
                <w:color w:val="auto"/>
              </w:rPr>
              <w:t>Section II</w:t>
            </w:r>
          </w:p>
        </w:tc>
      </w:tr>
      <w:tr>
        <w:trPr>
          <w:trHeight w:val="271"/>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Determination Process</w:t>
            </w:r>
          </w:p>
        </w:tc>
        <w:tc>
          <w:tcPr>
            <w:tcW w:w="550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b w:val="1"/>
                <w:bCs w:val="1"/>
                <w:color w:val="auto"/>
              </w:rPr>
              <w:t>Section III</w:t>
            </w:r>
          </w:p>
        </w:tc>
      </w:tr>
      <w:tr>
        <w:trPr>
          <w:trHeight w:val="255"/>
        </w:trPr>
        <w:tc>
          <w:tcPr>
            <w:tcW w:w="4260" w:type="dxa"/>
            <w:vAlign w:val="bottom"/>
          </w:tcPr>
          <w:p>
            <w:pPr>
              <w:ind w:left="20"/>
              <w:spacing w:after="0"/>
              <w:rPr>
                <w:sz w:val="20"/>
                <w:szCs w:val="20"/>
                <w:color w:val="auto"/>
              </w:rPr>
            </w:pPr>
            <w:r>
              <w:rPr>
                <w:rFonts w:ascii="Arial" w:cs="Arial" w:eastAsia="Arial" w:hAnsi="Arial"/>
                <w:sz w:val="18"/>
                <w:szCs w:val="18"/>
                <w:color w:val="auto"/>
              </w:rPr>
              <w:t>Key Components of Our Compensation Program</w:t>
            </w:r>
          </w:p>
        </w:tc>
        <w:tc>
          <w:tcPr>
            <w:tcW w:w="5500" w:type="dxa"/>
            <w:vAlign w:val="bottom"/>
          </w:tcPr>
          <w:p>
            <w:pPr>
              <w:ind w:left="2580"/>
              <w:spacing w:after="0"/>
              <w:rPr>
                <w:sz w:val="20"/>
                <w:szCs w:val="20"/>
                <w:color w:val="auto"/>
              </w:rPr>
            </w:pPr>
            <w:r>
              <w:rPr>
                <w:rFonts w:ascii="Arial" w:cs="Arial" w:eastAsia="Arial" w:hAnsi="Arial"/>
                <w:sz w:val="18"/>
                <w:szCs w:val="18"/>
                <w:b w:val="1"/>
                <w:bCs w:val="1"/>
                <w:color w:val="auto"/>
              </w:rPr>
              <w:t>Section IV</w:t>
            </w:r>
          </w:p>
        </w:tc>
      </w:tr>
      <w:tr>
        <w:trPr>
          <w:trHeight w:val="29"/>
        </w:trPr>
        <w:tc>
          <w:tcPr>
            <w:tcW w:w="426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255"/>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Compensation Policies and Practices</w:t>
            </w:r>
          </w:p>
        </w:tc>
        <w:tc>
          <w:tcPr>
            <w:tcW w:w="5500" w:type="dxa"/>
            <w:vAlign w:val="bottom"/>
            <w:shd w:val="clear" w:color="auto" w:fill="CCEEFF"/>
          </w:tcPr>
          <w:p>
            <w:pPr>
              <w:ind w:left="2580"/>
              <w:spacing w:after="0"/>
              <w:rPr>
                <w:sz w:val="20"/>
                <w:szCs w:val="20"/>
                <w:color w:val="auto"/>
              </w:rPr>
            </w:pPr>
            <w:r>
              <w:rPr>
                <w:rFonts w:ascii="Arial" w:cs="Arial" w:eastAsia="Arial" w:hAnsi="Arial"/>
                <w:sz w:val="18"/>
                <w:szCs w:val="18"/>
                <w:b w:val="1"/>
                <w:bCs w:val="1"/>
                <w:color w:val="auto"/>
              </w:rPr>
              <w:t>Section V</w:t>
            </w:r>
          </w:p>
        </w:tc>
      </w:tr>
      <w:tr>
        <w:trPr>
          <w:trHeight w:val="29"/>
        </w:trPr>
        <w:tc>
          <w:tcPr>
            <w:tcW w:w="426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1403" w:right="379" w:bottom="1440" w:gutter="0" w:footer="0" w:header="0"/>
        </w:sectPr>
      </w:pPr>
    </w:p>
    <w:bookmarkStart w:id="43" w:name="page44"/>
    <w:bookmarkEnd w:id="43"/>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Executive Summary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Business and Financial Highlights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2021 was a year of significant progress for us. Performance highlights for 2021 include:</w:t>
      </w:r>
    </w:p>
    <w:p>
      <w:pPr>
        <w:spacing w:after="0" w:line="1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212132"/>
        </w:rPr>
      </w:pPr>
      <w:r>
        <w:rPr>
          <w:rFonts w:ascii="Arial" w:cs="Arial" w:eastAsia="Arial" w:hAnsi="Arial"/>
          <w:sz w:val="18"/>
          <w:szCs w:val="18"/>
          <w:color w:val="212132"/>
        </w:rPr>
        <w:t>revenue of $6.6 million for the full year 2021, inclusive of $3.1 million for the fourth quarter;</w:t>
      </w:r>
    </w:p>
    <w:p>
      <w:pPr>
        <w:spacing w:after="0" w:line="58" w:lineRule="exact"/>
        <w:rPr>
          <w:rFonts w:ascii="Arial" w:cs="Arial" w:eastAsia="Arial" w:hAnsi="Arial"/>
          <w:sz w:val="18"/>
          <w:szCs w:val="18"/>
          <w:color w:val="212132"/>
        </w:rPr>
      </w:pPr>
    </w:p>
    <w:p>
      <w:pPr>
        <w:ind w:left="660" w:hanging="328"/>
        <w:spacing w:after="0"/>
        <w:tabs>
          <w:tab w:leader="none" w:pos="660" w:val="left"/>
        </w:tabs>
        <w:numPr>
          <w:ilvl w:val="0"/>
          <w:numId w:val="42"/>
        </w:numPr>
        <w:rPr>
          <w:rFonts w:ascii="Arial" w:cs="Arial" w:eastAsia="Arial" w:hAnsi="Arial"/>
          <w:sz w:val="18"/>
          <w:szCs w:val="18"/>
          <w:color w:val="212132"/>
        </w:rPr>
      </w:pPr>
      <w:r>
        <w:rPr>
          <w:rFonts w:ascii="Arial" w:cs="Arial" w:eastAsia="Arial" w:hAnsi="Arial"/>
          <w:sz w:val="18"/>
          <w:szCs w:val="18"/>
          <w:color w:val="212132"/>
        </w:rPr>
        <w:t>shipped 17 Proteograph SP100 instruments through year end 2021;</w:t>
      </w:r>
    </w:p>
    <w:p>
      <w:pPr>
        <w:spacing w:after="0" w:line="90" w:lineRule="exact"/>
        <w:rPr>
          <w:rFonts w:ascii="Arial" w:cs="Arial" w:eastAsia="Arial" w:hAnsi="Arial"/>
          <w:sz w:val="18"/>
          <w:szCs w:val="18"/>
          <w:color w:val="212132"/>
        </w:rPr>
      </w:pPr>
    </w:p>
    <w:p>
      <w:pPr>
        <w:ind w:left="660" w:hanging="328"/>
        <w:spacing w:after="0"/>
        <w:tabs>
          <w:tab w:leader="none" w:pos="655" w:val="left"/>
        </w:tabs>
        <w:numPr>
          <w:ilvl w:val="0"/>
          <w:numId w:val="42"/>
        </w:numPr>
        <w:rPr>
          <w:rFonts w:ascii="Arial" w:cs="Arial" w:eastAsia="Arial" w:hAnsi="Arial"/>
          <w:sz w:val="18"/>
          <w:szCs w:val="18"/>
          <w:color w:val="212132"/>
        </w:rPr>
      </w:pPr>
      <w:r>
        <w:rPr>
          <w:rFonts w:ascii="Arial" w:cs="Arial" w:eastAsia="Arial" w:hAnsi="Arial"/>
          <w:sz w:val="18"/>
          <w:szCs w:val="18"/>
          <w:color w:val="212132"/>
        </w:rPr>
        <w:t>completed the Collaboration and Limited Release phases of our commercialization plan and commenced broad commercial release of the Proteograph Product Suite, with multiple orders pre-booked;</w:t>
      </w:r>
    </w:p>
    <w:p>
      <w:pPr>
        <w:spacing w:after="0" w:line="45" w:lineRule="exact"/>
        <w:rPr>
          <w:rFonts w:ascii="Arial" w:cs="Arial" w:eastAsia="Arial" w:hAnsi="Arial"/>
          <w:sz w:val="18"/>
          <w:szCs w:val="18"/>
          <w:color w:val="212132"/>
        </w:rPr>
      </w:pPr>
    </w:p>
    <w:p>
      <w:pPr>
        <w:ind w:left="660" w:hanging="328"/>
        <w:spacing w:after="0"/>
        <w:tabs>
          <w:tab w:leader="none" w:pos="660" w:val="left"/>
        </w:tabs>
        <w:numPr>
          <w:ilvl w:val="0"/>
          <w:numId w:val="42"/>
        </w:numPr>
        <w:rPr>
          <w:rFonts w:ascii="Arial" w:cs="Arial" w:eastAsia="Arial" w:hAnsi="Arial"/>
          <w:sz w:val="18"/>
          <w:szCs w:val="18"/>
          <w:color w:val="212132"/>
        </w:rPr>
      </w:pPr>
      <w:r>
        <w:rPr>
          <w:rFonts w:ascii="Arial" w:cs="Arial" w:eastAsia="Arial" w:hAnsi="Arial"/>
          <w:sz w:val="18"/>
          <w:szCs w:val="18"/>
          <w:color w:val="212132"/>
        </w:rPr>
        <w:t>signed commercial agreements with Bruker, Thermo Fisher Scientific and Sciex;</w:t>
      </w:r>
    </w:p>
    <w:p>
      <w:pPr>
        <w:spacing w:after="0" w:line="90" w:lineRule="exact"/>
        <w:rPr>
          <w:rFonts w:ascii="Arial" w:cs="Arial" w:eastAsia="Arial" w:hAnsi="Arial"/>
          <w:sz w:val="18"/>
          <w:szCs w:val="18"/>
          <w:color w:val="212132"/>
        </w:rPr>
      </w:pPr>
    </w:p>
    <w:p>
      <w:pPr>
        <w:ind w:left="660" w:hanging="328"/>
        <w:spacing w:after="0"/>
        <w:tabs>
          <w:tab w:leader="none" w:pos="660" w:val="left"/>
        </w:tabs>
        <w:numPr>
          <w:ilvl w:val="0"/>
          <w:numId w:val="42"/>
        </w:numPr>
        <w:rPr>
          <w:rFonts w:ascii="Arial" w:cs="Arial" w:eastAsia="Arial" w:hAnsi="Arial"/>
          <w:sz w:val="18"/>
          <w:szCs w:val="18"/>
          <w:color w:val="212132"/>
        </w:rPr>
      </w:pPr>
      <w:r>
        <w:rPr>
          <w:rFonts w:ascii="Arial" w:cs="Arial" w:eastAsia="Arial" w:hAnsi="Arial"/>
          <w:sz w:val="18"/>
          <w:szCs w:val="18"/>
          <w:color w:val="212132"/>
        </w:rPr>
        <w:t>partnered with Enlight Medical to commercialize the Proteograph Product Suite in China;</w:t>
      </w:r>
    </w:p>
    <w:p>
      <w:pPr>
        <w:spacing w:after="0" w:line="76" w:lineRule="exact"/>
        <w:rPr>
          <w:rFonts w:ascii="Arial" w:cs="Arial" w:eastAsia="Arial" w:hAnsi="Arial"/>
          <w:sz w:val="18"/>
          <w:szCs w:val="18"/>
          <w:color w:val="212132"/>
        </w:rPr>
      </w:pPr>
    </w:p>
    <w:p>
      <w:pPr>
        <w:ind w:left="660" w:hanging="328"/>
        <w:spacing w:after="0"/>
        <w:tabs>
          <w:tab w:leader="none" w:pos="660" w:val="left"/>
        </w:tabs>
        <w:numPr>
          <w:ilvl w:val="0"/>
          <w:numId w:val="42"/>
        </w:numPr>
        <w:rPr>
          <w:rFonts w:ascii="Arial" w:cs="Arial" w:eastAsia="Arial" w:hAnsi="Arial"/>
          <w:sz w:val="18"/>
          <w:szCs w:val="18"/>
          <w:color w:val="212132"/>
        </w:rPr>
      </w:pPr>
      <w:r>
        <w:rPr>
          <w:rFonts w:ascii="Arial" w:cs="Arial" w:eastAsia="Arial" w:hAnsi="Arial"/>
          <w:sz w:val="18"/>
          <w:szCs w:val="18"/>
          <w:color w:val="212132"/>
        </w:rPr>
        <w:t>launched the Centers of Excellence program with providers in North America, Europe, and Asia Pacific;</w:t>
      </w:r>
    </w:p>
    <w:p>
      <w:pPr>
        <w:spacing w:after="0" w:line="76" w:lineRule="exact"/>
        <w:rPr>
          <w:rFonts w:ascii="Arial" w:cs="Arial" w:eastAsia="Arial" w:hAnsi="Arial"/>
          <w:sz w:val="18"/>
          <w:szCs w:val="18"/>
          <w:color w:val="212132"/>
        </w:rPr>
      </w:pPr>
    </w:p>
    <w:p>
      <w:pPr>
        <w:ind w:left="660" w:hanging="328"/>
        <w:spacing w:after="0"/>
        <w:tabs>
          <w:tab w:leader="none" w:pos="660" w:val="left"/>
        </w:tabs>
        <w:numPr>
          <w:ilvl w:val="0"/>
          <w:numId w:val="42"/>
        </w:numPr>
        <w:rPr>
          <w:rFonts w:ascii="Arial" w:cs="Arial" w:eastAsia="Arial" w:hAnsi="Arial"/>
          <w:sz w:val="18"/>
          <w:szCs w:val="18"/>
          <w:color w:val="212132"/>
        </w:rPr>
      </w:pPr>
      <w:r>
        <w:rPr>
          <w:rFonts w:ascii="Arial" w:cs="Arial" w:eastAsia="Arial" w:hAnsi="Arial"/>
          <w:sz w:val="18"/>
          <w:szCs w:val="18"/>
          <w:color w:val="212132"/>
        </w:rPr>
        <w:t>completed a follow-on offering of our Class A common stock; and</w:t>
      </w:r>
    </w:p>
    <w:p>
      <w:pPr>
        <w:spacing w:after="0" w:line="90" w:lineRule="exact"/>
        <w:rPr>
          <w:rFonts w:ascii="Arial" w:cs="Arial" w:eastAsia="Arial" w:hAnsi="Arial"/>
          <w:sz w:val="18"/>
          <w:szCs w:val="18"/>
          <w:color w:val="212132"/>
        </w:rPr>
      </w:pPr>
    </w:p>
    <w:p>
      <w:pPr>
        <w:ind w:left="660" w:right="20" w:hanging="328"/>
        <w:spacing w:after="0"/>
        <w:tabs>
          <w:tab w:leader="none" w:pos="655" w:val="left"/>
        </w:tabs>
        <w:numPr>
          <w:ilvl w:val="0"/>
          <w:numId w:val="42"/>
        </w:numPr>
        <w:rPr>
          <w:rFonts w:ascii="Arial" w:cs="Arial" w:eastAsia="Arial" w:hAnsi="Arial"/>
          <w:sz w:val="18"/>
          <w:szCs w:val="18"/>
          <w:color w:val="212132"/>
        </w:rPr>
      </w:pPr>
      <w:r>
        <w:rPr>
          <w:rFonts w:ascii="Arial" w:cs="Arial" w:eastAsia="Arial" w:hAnsi="Arial"/>
          <w:sz w:val="18"/>
          <w:szCs w:val="18"/>
          <w:color w:val="212132"/>
        </w:rPr>
        <w:t>added Meeta Gulyani, Head of Strategy, Business Development and Transformation for the Life Science business of Merck KGaA, Darmstadt, Germany and Rachel Haurwitz, Ph.D, CEO of Caribou Biosciences, to the Board of Directors.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2020 Pay Decisions and Outcomes</w:t>
      </w:r>
    </w:p>
    <w:p>
      <w:pPr>
        <w:spacing w:after="0" w:line="264" w:lineRule="exact"/>
        <w:rPr>
          <w:sz w:val="20"/>
          <w:szCs w:val="20"/>
          <w:color w:val="auto"/>
        </w:rPr>
      </w:pPr>
    </w:p>
    <w:p>
      <w:pPr>
        <w:ind w:right="480"/>
        <w:spacing w:after="0" w:line="279" w:lineRule="auto"/>
        <w:rPr>
          <w:sz w:val="20"/>
          <w:szCs w:val="20"/>
          <w:color w:val="auto"/>
        </w:rPr>
      </w:pPr>
      <w:r>
        <w:rPr>
          <w:rFonts w:ascii="Arial" w:cs="Arial" w:eastAsia="Arial" w:hAnsi="Arial"/>
          <w:sz w:val="18"/>
          <w:szCs w:val="18"/>
          <w:color w:val="auto"/>
        </w:rPr>
        <w:t>We seek to reward our named executive officers with competitive compensation packages that directly align pay with performance. The caliber of our performance in the areas of key milestones drives our compensation structure, specifically the degree to which named executive officers are granted equity and earn bonuses. Our talent and compensation committee regularly examines our compensation program both from a design and pay outcome perspective. In line with our growth in 2021, the talent and compensation committee considered how our incentives provided appropriate levels of compensation considering our performance and growth stage.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Key decisions include:</w:t>
      </w:r>
    </w:p>
    <w:p>
      <w:pPr>
        <w:spacing w:after="0" w:line="252"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b w:val="1"/>
          <w:bCs w:val="1"/>
          <w:color w:val="auto"/>
        </w:rPr>
        <w:t xml:space="preserve">Annual Performance-based Bonuses </w:t>
      </w:r>
      <w:r>
        <w:rPr>
          <w:rFonts w:ascii="Arial" w:cs="Arial" w:eastAsia="Arial" w:hAnsi="Arial"/>
          <w:sz w:val="18"/>
          <w:szCs w:val="18"/>
          <w:color w:val="auto"/>
        </w:rPr>
        <w:t>– An annual bonus was paid to our named executive officers ranging from 113% to 115% of target</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strong achievement of corporate goals that contained important pre-established financial, commercial, product and other individual milestones goals that were successfully met and other considerations that our talent and compensation committee determined to be relevant to the achievement of our goals.</w:t>
      </w:r>
    </w:p>
    <w:p>
      <w:pPr>
        <w:spacing w:after="0" w:line="17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b w:val="1"/>
          <w:bCs w:val="1"/>
          <w:color w:val="auto"/>
        </w:rPr>
        <w:t xml:space="preserve">Long-term Equity Incentives </w:t>
      </w:r>
      <w:r>
        <w:rPr>
          <w:rFonts w:ascii="Arial" w:cs="Arial" w:eastAsia="Arial" w:hAnsi="Arial"/>
          <w:sz w:val="18"/>
          <w:szCs w:val="18"/>
          <w:color w:val="auto"/>
        </w:rPr>
        <w:t>– An annual equity award of stock options and restricted stock units (“RSUs”) to our named executive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strong achievements of corporate goals, retention profiles, current and anticipated levels of the Company equity holdings by</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these officers resulting in equity awards designed to align the interests of our named executive officers with those of our stockholders, reward and drive the creation of stockholder value, as well as providing for the retention of our key talent. In addition to annual grants to named executive officers, newly hired executives received equity grants at the commencement of their employment with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Pay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4" w:name="page45"/>
    <w:bookmarkEnd w:id="44"/>
    <w:p>
      <w:pPr>
        <w:ind w:right="80"/>
        <w:spacing w:after="0" w:line="279" w:lineRule="auto"/>
        <w:rPr>
          <w:sz w:val="20"/>
          <w:szCs w:val="20"/>
          <w:color w:val="auto"/>
        </w:rPr>
      </w:pPr>
      <w:r>
        <w:rPr>
          <w:rFonts w:ascii="Arial" w:cs="Arial" w:eastAsia="Arial" w:hAnsi="Arial"/>
          <w:sz w:val="18"/>
          <w:szCs w:val="18"/>
          <w:color w:val="auto"/>
        </w:rPr>
        <w:t>We use compensation elements that meaningfully align our named executive officers’ interests with those of our stockholders to incentivize long-term value creation. The talent and compensation committee uses its discretion in determining the appropriate mix of fixed and variable compensation for each named executive officer. As such, a significant portion of our executive’s compensation is at-risk, performance-based compensation, in the form of long-term equity awards, and annual cash incentives that are only earned if we achieve multiple corporate goals. The balance between these components may change based on company performance, market forces and company objectives, among other considerations. In 2021, our Chief Executive Officer and named executive officers had the following target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349240" cy="1602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Compensation Philosophy and Objectives</w:t>
      </w:r>
    </w:p>
    <w:p>
      <w:pPr>
        <w:spacing w:after="0" w:line="212" w:lineRule="exact"/>
        <w:rPr>
          <w:sz w:val="20"/>
          <w:szCs w:val="20"/>
          <w:color w:val="auto"/>
        </w:rPr>
      </w:pPr>
    </w:p>
    <w:p>
      <w:pPr>
        <w:ind w:right="220"/>
        <w:spacing w:after="0" w:line="234" w:lineRule="auto"/>
        <w:rPr>
          <w:sz w:val="20"/>
          <w:szCs w:val="20"/>
          <w:color w:val="auto"/>
        </w:rPr>
      </w:pPr>
      <w:r>
        <w:rPr>
          <w:rFonts w:ascii="Arial" w:cs="Arial" w:eastAsia="Arial" w:hAnsi="Arial"/>
          <w:sz w:val="17"/>
          <w:szCs w:val="17"/>
          <w:color w:val="auto"/>
        </w:rPr>
        <w:t>Our talent and compensation committee believes that executive compensation should be linked to our overall performance and strategic success and stockholder returns. To create value for our stockholders, it is critical to attract, motivate and retain key executive officer talent</w:t>
      </w:r>
    </w:p>
    <w:p>
      <w:pPr>
        <w:spacing w:after="0" w:line="1"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by providing competitive compensation packages. The market for talented individuals in the life sciences industry is highly competitive and challenging for employers. The objectives of our executive compensation policies are to:</w:t>
      </w:r>
    </w:p>
    <w:p>
      <w:pPr>
        <w:spacing w:after="0" w:line="15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attract and retain highly qualified executives;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motivate and reward performance that supports achievement of our corporate goals; and</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align executive incentives with stockholder interests through the grant of long-term incentives.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executive compensation program as developed and implemented achieves these objectives and is appropriate for a company in our industry and at our stage of growth.</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Compensation Determination Process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talent and compensation committee</w:t>
      </w:r>
    </w:p>
    <w:p>
      <w:pPr>
        <w:spacing w:after="0" w:line="21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Our talent and compensation committee is responsible for the executive compensation programs for our executive officers and reports to our board of directors on its discussions, decisions and other actions. Our talent and compensation committee also has direct responsibility for reviewing and approving the compensation of each of our executive officers, including any performance objectives on which such compensation may be based, evaluating the performance of our executive officers, and evaluating the competitiveness of our executive compensation program, which may include reviewing and approving any peer group for comparison purposes.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talent and compensation committee typically reviews and considers the recommendations of our Chief Executive Officer regarding the</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compensation of our named executive officers other than himself, any recommendations provided by other members of management or the talent and compensation committee’s independent compensation consultant, and any other data or factors that the talent and compensation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committee deems relevant to its assessment and determinations.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30" w:right="339" w:bottom="1440" w:gutter="0" w:footer="0" w:header="0"/>
        </w:sectPr>
      </w:pPr>
    </w:p>
    <w:bookmarkStart w:id="45" w:name="page46"/>
    <w:bookmarkEnd w:id="45"/>
    <w:p>
      <w:pPr>
        <w:ind w:right="280"/>
        <w:spacing w:after="0" w:line="268" w:lineRule="auto"/>
        <w:rPr>
          <w:sz w:val="20"/>
          <w:szCs w:val="20"/>
          <w:color w:val="auto"/>
        </w:rPr>
      </w:pPr>
      <w:r>
        <w:rPr>
          <w:rFonts w:ascii="Arial" w:cs="Arial" w:eastAsia="Arial" w:hAnsi="Arial"/>
          <w:sz w:val="18"/>
          <w:szCs w:val="18"/>
          <w:color w:val="auto"/>
        </w:rPr>
        <w:t>During fiscal year ending December 31, 2021, Terrance McGuire served as the chair of the talent and compensation committee and Mr. Hallal served as a member of the talent and compensation committee through December 31, 2021. Mr. Singer served as a member of our talent and compensation committee through November 7,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Chief Executive Officer &amp; Management</w:t>
      </w:r>
    </w:p>
    <w:p>
      <w:pPr>
        <w:spacing w:after="0" w:line="23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Chief Executive Officer provides the talent and compensation committee with input and recommendations related to the compensation of our other named executive officers. Our Chief Executive Officer often attends committee meetings and is involved in the determination of compensation for the respective named executive officers who report to him, except that the Chief Executive Officer does not make recommendations as to his own compensation. Our Chief Executive Officer makes recommendations to our talent and compensation committee regarding short- and long-term compensation for all executive officers (other than himself) based on our results, an individual executive officer’s contribution toward these results and performance toward individual goal achievement. The Chief Executive Officer does not participate in, and is not present during, any deliberations or determinations of the talent and compensation committee or the board of directors regarding his compensation or individual performance objectives. From time to time, various other members of management and other employees as well as outside advisors or consultants may be invited by the talent and compensation committee to make presentations, to provide financial or other background information or advice or to otherwise participate in talent and compensation committee meetings.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Compensation Consultant</w:t>
      </w:r>
    </w:p>
    <w:p>
      <w:pPr>
        <w:spacing w:after="0" w:line="26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Our talent and compensation committee is authorized to retain the services of one or more executive compensation advisors, as it sees fit, in connection with the establishment of our compensation programs and related policies. In 2021, our talent and compensation committee retained Radford, which is part of the Rewards Solutions practice at Aon plc, to provide it with information, recommendations and other advice relating to executive compensation on an ongoing basis. Radford serves at the discretion of our talent and compensation committee. As part of its engagement, Radford assists our talent and compensation committee in developing an appropriate group of peer companies to help the talent and compensation committee determine the appropriate level of overall compensation for our executive officers, as well as assess each separate element of compensation, with a goal of ensuring that the compensation we offer to our executive officers is competitive, fair, and consistent with our compensation philosophy and objectives.</w:t>
      </w:r>
    </w:p>
    <w:p>
      <w:pPr>
        <w:spacing w:after="0" w:line="20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talent and compensation committee periodically considers and assesses Radford’s independence, including whether Radford has any potential conflicts of interest with our company or members of our talent and compensation committee. In connection with Radford’s engagement, our talent and compensation committee conducted such a review and concluded that it was not aware of any conflict of interest that had been raised by work performed by Radford or the individual consultants employed by Radford that perform services for our talent and compensation committee.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Peer Group</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We use a peer group to provide a broad perspective on competitive pay levels and practices.</w:t>
      </w:r>
    </w:p>
    <w:p>
      <w:pPr>
        <w:spacing w:after="0" w:line="266" w:lineRule="exact"/>
        <w:rPr>
          <w:sz w:val="20"/>
          <w:szCs w:val="20"/>
          <w:color w:val="auto"/>
        </w:rPr>
      </w:pPr>
    </w:p>
    <w:p>
      <w:pPr>
        <w:jc w:val="both"/>
        <w:ind w:right="280"/>
        <w:spacing w:after="0" w:line="276" w:lineRule="auto"/>
        <w:rPr>
          <w:sz w:val="20"/>
          <w:szCs w:val="20"/>
          <w:color w:val="auto"/>
        </w:rPr>
      </w:pPr>
      <w:r>
        <w:rPr>
          <w:rFonts w:ascii="Arial" w:cs="Arial" w:eastAsia="Arial" w:hAnsi="Arial"/>
          <w:sz w:val="18"/>
          <w:szCs w:val="18"/>
          <w:color w:val="auto"/>
        </w:rPr>
        <w:t>For our 2021 peer group, the talent and compensation committee, with assistance from Radford, reviewed similar companies with respect to sector, stage of development and market capitalization. In guiding the talent and compensation committee in identifying the companies that will comprise the 2021 peer group, the talent and compensation committee considered the following key factors and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417" w:right="359" w:bottom="1440" w:gutter="0" w:footer="0" w:header="0"/>
        </w:sectPr>
      </w:pPr>
    </w:p>
    <w:bookmarkStart w:id="46" w:name="page47"/>
    <w:bookmarkEnd w:id="46"/>
    <w:p>
      <w:pPr>
        <w:ind w:left="660" w:right="260" w:hanging="328"/>
        <w:spacing w:after="0" w:line="270" w:lineRule="auto"/>
        <w:tabs>
          <w:tab w:leader="none" w:pos="649" w:val="left"/>
        </w:tabs>
        <w:numPr>
          <w:ilvl w:val="0"/>
          <w:numId w:val="44"/>
        </w:numPr>
        <w:rPr>
          <w:rFonts w:ascii="Arial" w:cs="Arial" w:eastAsia="Arial" w:hAnsi="Arial"/>
          <w:sz w:val="15"/>
          <w:szCs w:val="15"/>
          <w:color w:val="auto"/>
        </w:rPr>
      </w:pPr>
      <w:r>
        <w:rPr>
          <w:rFonts w:ascii="Arial" w:cs="Arial" w:eastAsia="Arial" w:hAnsi="Arial"/>
          <w:sz w:val="17"/>
          <w:szCs w:val="17"/>
          <w:color w:val="auto"/>
        </w:rPr>
        <w:t>Sector – pharmaceutical, biotechnology and life science companies, as well as healthcare equipment and services companies, generally with a primary focus on medical device/technology and a secondary focus on pre-commercial biotechnology companies.</w:t>
      </w:r>
    </w:p>
    <w:p>
      <w:pPr>
        <w:spacing w:after="0" w:line="1" w:lineRule="exact"/>
        <w:rPr>
          <w:rFonts w:ascii="Arial" w:cs="Arial" w:eastAsia="Arial" w:hAnsi="Arial"/>
          <w:sz w:val="15"/>
          <w:szCs w:val="15"/>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Revenues – generally less than $100 million in revenues.</w:t>
      </w:r>
    </w:p>
    <w:p>
      <w:pPr>
        <w:spacing w:after="0" w:line="22" w:lineRule="exact"/>
        <w:rPr>
          <w:rFonts w:ascii="Arial" w:cs="Arial" w:eastAsia="Arial" w:hAnsi="Arial"/>
          <w:sz w:val="18"/>
          <w:szCs w:val="18"/>
          <w:color w:val="auto"/>
        </w:rPr>
      </w:pPr>
    </w:p>
    <w:p>
      <w:pPr>
        <w:ind w:left="660" w:right="120" w:hanging="328"/>
        <w:spacing w:after="0" w:line="273"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Capitalization – $400 million to $2.2 billion market capitalization range and companies that have completed their initial public offering in the last three years.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Size – generally, companies with under 300 employees.</w:t>
      </w:r>
    </w:p>
    <w:p>
      <w:pPr>
        <w:spacing w:after="0" w:line="243" w:lineRule="exact"/>
        <w:rPr>
          <w:sz w:val="20"/>
          <w:szCs w:val="20"/>
          <w:color w:val="auto"/>
        </w:rPr>
      </w:pPr>
    </w:p>
    <w:p>
      <w:pPr>
        <w:ind w:right="340"/>
        <w:spacing w:after="0" w:line="303" w:lineRule="auto"/>
        <w:rPr>
          <w:sz w:val="20"/>
          <w:szCs w:val="20"/>
          <w:color w:val="auto"/>
        </w:rPr>
      </w:pPr>
      <w:r>
        <w:rPr>
          <w:rFonts w:ascii="Arial" w:cs="Arial" w:eastAsia="Arial" w:hAnsi="Arial"/>
          <w:sz w:val="18"/>
          <w:szCs w:val="18"/>
          <w:color w:val="auto"/>
        </w:rPr>
        <w:t>Based on the above market data, the talent and compensation committee in 2020 selected the following peer group of 21 companies that informed pay decisions for 2021:</w:t>
      </w:r>
    </w:p>
    <w:p>
      <w:pPr>
        <w:spacing w:after="0" w:line="260" w:lineRule="exact"/>
        <w:rPr>
          <w:sz w:val="20"/>
          <w:szCs w:val="20"/>
          <w:color w:val="auto"/>
        </w:rPr>
      </w:pPr>
    </w:p>
    <w:p>
      <w:pPr>
        <w:ind w:left="1500"/>
        <w:spacing w:after="0"/>
        <w:tabs>
          <w:tab w:leader="none" w:pos="4840" w:val="left"/>
        </w:tabs>
        <w:rPr>
          <w:sz w:val="20"/>
          <w:szCs w:val="20"/>
          <w:color w:val="auto"/>
        </w:rPr>
      </w:pPr>
      <w:r>
        <w:rPr>
          <w:rFonts w:ascii="Arial" w:cs="Arial" w:eastAsia="Arial" w:hAnsi="Arial"/>
          <w:sz w:val="18"/>
          <w:szCs w:val="18"/>
          <w:color w:val="auto"/>
        </w:rPr>
        <w:t>89bio</w:t>
      </w:r>
      <w:r>
        <w:rPr>
          <w:sz w:val="20"/>
          <w:szCs w:val="20"/>
          <w:color w:val="auto"/>
        </w:rPr>
        <w:tab/>
      </w:r>
      <w:r>
        <w:rPr>
          <w:rFonts w:ascii="Arial" w:cs="Arial" w:eastAsia="Arial" w:hAnsi="Arial"/>
          <w:sz w:val="18"/>
          <w:szCs w:val="18"/>
          <w:color w:val="auto"/>
        </w:rPr>
        <w:t>Personalis</w:t>
      </w:r>
    </w:p>
    <w:p>
      <w:pPr>
        <w:spacing w:after="0" w:line="77" w:lineRule="exact"/>
        <w:rPr>
          <w:sz w:val="20"/>
          <w:szCs w:val="20"/>
          <w:color w:val="auto"/>
        </w:rPr>
      </w:pPr>
    </w:p>
    <w:p>
      <w:pPr>
        <w:ind w:left="1500"/>
        <w:spacing w:after="0"/>
        <w:tabs>
          <w:tab w:leader="none" w:pos="4840" w:val="left"/>
        </w:tabs>
        <w:rPr>
          <w:sz w:val="20"/>
          <w:szCs w:val="20"/>
          <w:color w:val="auto"/>
        </w:rPr>
      </w:pPr>
      <w:r>
        <w:rPr>
          <w:rFonts w:ascii="Arial" w:cs="Arial" w:eastAsia="Arial" w:hAnsi="Arial"/>
          <w:sz w:val="18"/>
          <w:szCs w:val="18"/>
          <w:color w:val="auto"/>
        </w:rPr>
        <w:t>Akero Therapeutics</w:t>
      </w:r>
      <w:r>
        <w:rPr>
          <w:sz w:val="20"/>
          <w:szCs w:val="20"/>
          <w:color w:val="auto"/>
        </w:rPr>
        <w:tab/>
      </w:r>
      <w:r>
        <w:rPr>
          <w:rFonts w:ascii="Arial" w:cs="Arial" w:eastAsia="Arial" w:hAnsi="Arial"/>
          <w:sz w:val="17"/>
          <w:szCs w:val="17"/>
          <w:color w:val="auto"/>
        </w:rPr>
        <w:t>Quanterix</w:t>
      </w:r>
    </w:p>
    <w:p>
      <w:pPr>
        <w:spacing w:after="0" w:line="77" w:lineRule="exact"/>
        <w:rPr>
          <w:sz w:val="20"/>
          <w:szCs w:val="20"/>
          <w:color w:val="auto"/>
        </w:rPr>
      </w:pPr>
    </w:p>
    <w:p>
      <w:pPr>
        <w:ind w:left="1500"/>
        <w:spacing w:after="0"/>
        <w:tabs>
          <w:tab w:leader="none" w:pos="4840" w:val="left"/>
        </w:tabs>
        <w:rPr>
          <w:sz w:val="20"/>
          <w:szCs w:val="20"/>
          <w:color w:val="auto"/>
        </w:rPr>
      </w:pPr>
      <w:r>
        <w:rPr>
          <w:rFonts w:ascii="Arial" w:cs="Arial" w:eastAsia="Arial" w:hAnsi="Arial"/>
          <w:sz w:val="18"/>
          <w:szCs w:val="18"/>
          <w:color w:val="auto"/>
        </w:rPr>
        <w:t>Alector</w:t>
      </w:r>
      <w:r>
        <w:rPr>
          <w:sz w:val="20"/>
          <w:szCs w:val="20"/>
          <w:color w:val="auto"/>
        </w:rPr>
        <w:tab/>
      </w:r>
      <w:r>
        <w:rPr>
          <w:rFonts w:ascii="Arial" w:cs="Arial" w:eastAsia="Arial" w:hAnsi="Arial"/>
          <w:sz w:val="18"/>
          <w:szCs w:val="18"/>
          <w:color w:val="auto"/>
        </w:rPr>
        <w:t>RAPT Therapeutics</w:t>
      </w:r>
    </w:p>
    <w:p>
      <w:pPr>
        <w:spacing w:after="0" w:line="77" w:lineRule="exact"/>
        <w:rPr>
          <w:sz w:val="20"/>
          <w:szCs w:val="20"/>
          <w:color w:val="auto"/>
        </w:rPr>
      </w:pPr>
    </w:p>
    <w:p>
      <w:pPr>
        <w:ind w:left="1500"/>
        <w:spacing w:after="0"/>
        <w:tabs>
          <w:tab w:leader="none" w:pos="4840" w:val="left"/>
        </w:tabs>
        <w:rPr>
          <w:sz w:val="20"/>
          <w:szCs w:val="20"/>
          <w:color w:val="auto"/>
        </w:rPr>
      </w:pPr>
      <w:r>
        <w:rPr>
          <w:rFonts w:ascii="Arial" w:cs="Arial" w:eastAsia="Arial" w:hAnsi="Arial"/>
          <w:sz w:val="18"/>
          <w:szCs w:val="18"/>
          <w:color w:val="auto"/>
        </w:rPr>
        <w:t>Aprea Therapeutics</w:t>
      </w:r>
      <w:r>
        <w:rPr>
          <w:sz w:val="20"/>
          <w:szCs w:val="20"/>
          <w:color w:val="auto"/>
        </w:rPr>
        <w:tab/>
      </w:r>
      <w:r>
        <w:rPr>
          <w:rFonts w:ascii="Arial" w:cs="Arial" w:eastAsia="Arial" w:hAnsi="Arial"/>
          <w:sz w:val="17"/>
          <w:szCs w:val="17"/>
          <w:color w:val="auto"/>
        </w:rPr>
        <w:t>Rhythm Pharmaceuticals</w:t>
      </w:r>
    </w:p>
    <w:p>
      <w:pPr>
        <w:spacing w:after="0" w:line="77" w:lineRule="exact"/>
        <w:rPr>
          <w:sz w:val="20"/>
          <w:szCs w:val="20"/>
          <w:color w:val="auto"/>
        </w:rPr>
      </w:pPr>
    </w:p>
    <w:p>
      <w:pPr>
        <w:ind w:left="1500"/>
        <w:spacing w:after="0"/>
        <w:tabs>
          <w:tab w:leader="none" w:pos="4840" w:val="left"/>
        </w:tabs>
        <w:rPr>
          <w:sz w:val="20"/>
          <w:szCs w:val="20"/>
          <w:color w:val="auto"/>
        </w:rPr>
      </w:pPr>
      <w:r>
        <w:rPr>
          <w:rFonts w:ascii="Arial" w:cs="Arial" w:eastAsia="Arial" w:hAnsi="Arial"/>
          <w:sz w:val="18"/>
          <w:szCs w:val="18"/>
          <w:color w:val="auto"/>
        </w:rPr>
        <w:t>Axonics Modulation Technologies</w:t>
      </w:r>
      <w:r>
        <w:rPr>
          <w:sz w:val="20"/>
          <w:szCs w:val="20"/>
          <w:color w:val="auto"/>
        </w:rPr>
        <w:tab/>
      </w:r>
      <w:r>
        <w:rPr>
          <w:rFonts w:ascii="Arial" w:cs="Arial" w:eastAsia="Arial" w:hAnsi="Arial"/>
          <w:sz w:val="17"/>
          <w:szCs w:val="17"/>
          <w:color w:val="auto"/>
        </w:rPr>
        <w:t>Shock Wave Medical</w:t>
      </w:r>
    </w:p>
    <w:p>
      <w:pPr>
        <w:spacing w:after="0" w:line="77" w:lineRule="exact"/>
        <w:rPr>
          <w:sz w:val="20"/>
          <w:szCs w:val="20"/>
          <w:color w:val="auto"/>
        </w:rPr>
      </w:pPr>
    </w:p>
    <w:p>
      <w:pPr>
        <w:ind w:left="1500"/>
        <w:spacing w:after="0"/>
        <w:tabs>
          <w:tab w:leader="none" w:pos="4840" w:val="left"/>
        </w:tabs>
        <w:rPr>
          <w:sz w:val="20"/>
          <w:szCs w:val="20"/>
          <w:color w:val="auto"/>
        </w:rPr>
      </w:pPr>
      <w:r>
        <w:rPr>
          <w:rFonts w:ascii="Arial" w:cs="Arial" w:eastAsia="Arial" w:hAnsi="Arial"/>
          <w:sz w:val="18"/>
          <w:szCs w:val="18"/>
          <w:color w:val="auto"/>
        </w:rPr>
        <w:t>Berkeley Lights</w:t>
      </w:r>
      <w:r>
        <w:rPr>
          <w:sz w:val="20"/>
          <w:szCs w:val="20"/>
          <w:color w:val="auto"/>
        </w:rPr>
        <w:tab/>
      </w:r>
      <w:r>
        <w:rPr>
          <w:rFonts w:ascii="Arial" w:cs="Arial" w:eastAsia="Arial" w:hAnsi="Arial"/>
          <w:sz w:val="17"/>
          <w:szCs w:val="17"/>
          <w:color w:val="auto"/>
        </w:rPr>
        <w:t>SI-BONE</w:t>
      </w:r>
    </w:p>
    <w:p>
      <w:pPr>
        <w:spacing w:after="0" w:line="77" w:lineRule="exact"/>
        <w:rPr>
          <w:sz w:val="20"/>
          <w:szCs w:val="20"/>
          <w:color w:val="auto"/>
        </w:rPr>
      </w:pPr>
    </w:p>
    <w:p>
      <w:pPr>
        <w:ind w:left="1500"/>
        <w:spacing w:after="0"/>
        <w:tabs>
          <w:tab w:leader="none" w:pos="4840" w:val="left"/>
        </w:tabs>
        <w:rPr>
          <w:sz w:val="20"/>
          <w:szCs w:val="20"/>
          <w:color w:val="auto"/>
        </w:rPr>
      </w:pPr>
      <w:r>
        <w:rPr>
          <w:rFonts w:ascii="Arial" w:cs="Arial" w:eastAsia="Arial" w:hAnsi="Arial"/>
          <w:sz w:val="18"/>
          <w:szCs w:val="18"/>
          <w:color w:val="auto"/>
        </w:rPr>
        <w:t>Castle Biosciences</w:t>
      </w:r>
      <w:r>
        <w:rPr>
          <w:sz w:val="20"/>
          <w:szCs w:val="20"/>
          <w:color w:val="auto"/>
        </w:rPr>
        <w:tab/>
      </w:r>
      <w:r>
        <w:rPr>
          <w:rFonts w:ascii="Arial" w:cs="Arial" w:eastAsia="Arial" w:hAnsi="Arial"/>
          <w:sz w:val="17"/>
          <w:szCs w:val="17"/>
          <w:color w:val="auto"/>
        </w:rPr>
        <w:t>Silk Road Medical</w:t>
      </w:r>
    </w:p>
    <w:p>
      <w:pPr>
        <w:spacing w:after="0" w:line="77" w:lineRule="exact"/>
        <w:rPr>
          <w:sz w:val="20"/>
          <w:szCs w:val="20"/>
          <w:color w:val="auto"/>
        </w:rPr>
      </w:pPr>
    </w:p>
    <w:p>
      <w:pPr>
        <w:ind w:left="1500"/>
        <w:spacing w:after="0"/>
        <w:tabs>
          <w:tab w:leader="none" w:pos="4840" w:val="left"/>
        </w:tabs>
        <w:rPr>
          <w:sz w:val="20"/>
          <w:szCs w:val="20"/>
          <w:color w:val="auto"/>
        </w:rPr>
      </w:pPr>
      <w:r>
        <w:rPr>
          <w:rFonts w:ascii="Arial" w:cs="Arial" w:eastAsia="Arial" w:hAnsi="Arial"/>
          <w:sz w:val="18"/>
          <w:szCs w:val="18"/>
          <w:color w:val="auto"/>
        </w:rPr>
        <w:t>Cortexyme</w:t>
      </w:r>
      <w:r>
        <w:rPr>
          <w:sz w:val="20"/>
          <w:szCs w:val="20"/>
          <w:color w:val="auto"/>
        </w:rPr>
        <w:tab/>
      </w:r>
      <w:r>
        <w:rPr>
          <w:rFonts w:ascii="Arial" w:cs="Arial" w:eastAsia="Arial" w:hAnsi="Arial"/>
          <w:sz w:val="18"/>
          <w:szCs w:val="18"/>
          <w:color w:val="auto"/>
        </w:rPr>
        <w:t>Twist Bioscience</w:t>
      </w:r>
    </w:p>
    <w:p>
      <w:pPr>
        <w:spacing w:after="0" w:line="77" w:lineRule="exact"/>
        <w:rPr>
          <w:sz w:val="20"/>
          <w:szCs w:val="20"/>
          <w:color w:val="auto"/>
        </w:rPr>
      </w:pPr>
    </w:p>
    <w:p>
      <w:pPr>
        <w:ind w:left="1500"/>
        <w:spacing w:after="0"/>
        <w:tabs>
          <w:tab w:leader="none" w:pos="4840" w:val="left"/>
        </w:tabs>
        <w:rPr>
          <w:sz w:val="20"/>
          <w:szCs w:val="20"/>
          <w:color w:val="auto"/>
        </w:rPr>
      </w:pPr>
      <w:r>
        <w:rPr>
          <w:rFonts w:ascii="Arial" w:cs="Arial" w:eastAsia="Arial" w:hAnsi="Arial"/>
          <w:sz w:val="18"/>
          <w:szCs w:val="18"/>
          <w:color w:val="auto"/>
        </w:rPr>
        <w:t>Eidos Therapeutics</w:t>
      </w:r>
      <w:r>
        <w:rPr>
          <w:sz w:val="20"/>
          <w:szCs w:val="20"/>
          <w:color w:val="auto"/>
        </w:rPr>
        <w:tab/>
      </w:r>
      <w:r>
        <w:rPr>
          <w:rFonts w:ascii="Arial" w:cs="Arial" w:eastAsia="Arial" w:hAnsi="Arial"/>
          <w:sz w:val="17"/>
          <w:szCs w:val="17"/>
          <w:color w:val="auto"/>
        </w:rPr>
        <w:t>Veracyte</w:t>
      </w:r>
    </w:p>
    <w:p>
      <w:pPr>
        <w:spacing w:after="0" w:line="77" w:lineRule="exact"/>
        <w:rPr>
          <w:sz w:val="20"/>
          <w:szCs w:val="20"/>
          <w:color w:val="auto"/>
        </w:rPr>
      </w:pPr>
    </w:p>
    <w:p>
      <w:pPr>
        <w:ind w:left="1500"/>
        <w:spacing w:after="0"/>
        <w:tabs>
          <w:tab w:leader="none" w:pos="4840" w:val="left"/>
        </w:tabs>
        <w:rPr>
          <w:sz w:val="20"/>
          <w:szCs w:val="20"/>
          <w:color w:val="auto"/>
        </w:rPr>
      </w:pPr>
      <w:r>
        <w:rPr>
          <w:rFonts w:ascii="Arial" w:cs="Arial" w:eastAsia="Arial" w:hAnsi="Arial"/>
          <w:sz w:val="18"/>
          <w:szCs w:val="18"/>
          <w:color w:val="auto"/>
        </w:rPr>
        <w:t>Kodiak Sciences</w:t>
      </w:r>
      <w:r>
        <w:rPr>
          <w:sz w:val="20"/>
          <w:szCs w:val="20"/>
          <w:color w:val="auto"/>
        </w:rPr>
        <w:tab/>
      </w:r>
      <w:r>
        <w:rPr>
          <w:rFonts w:ascii="Arial" w:cs="Arial" w:eastAsia="Arial" w:hAnsi="Arial"/>
          <w:sz w:val="17"/>
          <w:szCs w:val="17"/>
          <w:color w:val="auto"/>
        </w:rPr>
        <w:t>Viela Bio</w:t>
      </w:r>
    </w:p>
    <w:p>
      <w:pPr>
        <w:spacing w:after="0" w:line="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Nanostring Technologies</w:t>
      </w:r>
    </w:p>
    <w:p>
      <w:pPr>
        <w:spacing w:after="0" w:line="36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Each of the companies comprising the peer group satisfied certain of the parameters considered. Where a company did not fit within all of the parameters, the talent and compensation committee nonetheless considered other factors that it deemed relevant, including for example the overall composition of the peer group or companies against which we compete for talent.</w:t>
      </w:r>
    </w:p>
    <w:p>
      <w:pPr>
        <w:spacing w:after="0" w:line="20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light of the Company’s rapid growth, the talent and compensation committee conducts a regular review of the peer group to ensure that the underlying criteria for peer selection remains appropriate, ensuring that we consider companies that have profiles similar to us, identifying new companies that may be appropriate for inclusion and removing companies that have been acquired in the interim.</w:t>
      </w:r>
    </w:p>
    <w:p>
      <w:pPr>
        <w:spacing w:after="0" w:line="18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guidelines for our executives, the talent and compensation committee set target cash compensation, when considering salary and bonus potential, after reviewing varying percentiles of compensation paid to executives within our compensation peer group, with generally greater focus on the median. While the talent and compensation committee generally focuses equity compensation for our executives at or above the 75th percentile of equity compensation paid to executives in our compensation peer group, our own performance and other factors deemed relevant by our talent and compensation committee informs its decisions on equity compensation. The talent and compensation committee believes that our emphasis on equity compensation serves to retain our executives and more closely align their interests with those of our stockholders. The talent and compensation committee also believes that generally referencing the median peer group data in setting salary and bonus compensation and higher percentile peer group data in setting equity compensation for our executives, appropriately structures</w:t>
      </w:r>
    </w:p>
    <w:p>
      <w:pPr>
        <w:spacing w:after="0" w:line="3"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our executive compensation program to emphasize achievement of our long-term success and long-term value creation for our stockholders. We may deviate from setting actual compensation levels at these levels comparative to our peer group companies given that our talent and</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compensation committee considers other factors that it deems appropriate, including for example our executives’ experience, performance levels, responsibilities, tenure, and existing vested and unvested equity holdings.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Governance Best Practices</w:t>
      </w:r>
    </w:p>
    <w:p>
      <w:pPr>
        <w:spacing w:after="0" w:line="277" w:lineRule="exact"/>
        <w:rPr>
          <w:sz w:val="20"/>
          <w:szCs w:val="20"/>
          <w:color w:val="auto"/>
        </w:rPr>
      </w:pPr>
    </w:p>
    <w:p>
      <w:pPr>
        <w:ind w:right="420"/>
        <w:spacing w:after="0" w:line="303" w:lineRule="auto"/>
        <w:rPr>
          <w:sz w:val="20"/>
          <w:szCs w:val="20"/>
          <w:color w:val="auto"/>
        </w:rPr>
      </w:pPr>
      <w:r>
        <w:rPr>
          <w:rFonts w:ascii="Arial" w:cs="Arial" w:eastAsia="Arial" w:hAnsi="Arial"/>
          <w:sz w:val="18"/>
          <w:szCs w:val="18"/>
          <w:color w:val="auto"/>
        </w:rPr>
        <w:t>The talent and compensation committee regularly reviews best practices in executive compensation and uses the following guidelines to design our compensation programs:</w:t>
      </w:r>
    </w:p>
    <w:p>
      <w:pPr>
        <w:sectPr>
          <w:pgSz w:w="11900" w:h="16838" w:orient="portrait"/>
          <w:cols w:equalWidth="0" w:num="1">
            <w:col w:w="11240"/>
          </w:cols>
          <w:pgMar w:left="320" w:top="14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1403" w:right="339" w:bottom="1440" w:gutter="0" w:footer="0" w:header="0"/>
          <w:type w:val="continuous"/>
        </w:sectPr>
      </w:pPr>
    </w:p>
    <w:bookmarkStart w:id="47" w:name="page48"/>
    <w:bookmarkEnd w:id="47"/>
    <w:p>
      <w:pPr>
        <w:spacing w:after="0" w:line="234" w:lineRule="exact"/>
        <w:rPr>
          <w:sz w:val="20"/>
          <w:szCs w:val="20"/>
          <w:color w:val="auto"/>
        </w:rPr>
      </w:pPr>
    </w:p>
    <w:p>
      <w:pPr>
        <w:ind w:left="660" w:right="240" w:hanging="328"/>
        <w:spacing w:after="0" w:line="26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No guaranteed compensation: </w:t>
      </w:r>
      <w:r>
        <w:rPr>
          <w:rFonts w:ascii="Arial" w:cs="Arial" w:eastAsia="Arial" w:hAnsi="Arial"/>
          <w:sz w:val="18"/>
          <w:szCs w:val="18"/>
          <w:color w:val="auto"/>
        </w:rPr>
        <w:t>Although we have signed employment agreements with each of our named executive officers, all</w:t>
      </w:r>
      <w:r>
        <w:rPr>
          <w:rFonts w:ascii="Arial" w:cs="Arial" w:eastAsia="Arial" w:hAnsi="Arial"/>
          <w:sz w:val="18"/>
          <w:szCs w:val="18"/>
          <w:b w:val="1"/>
          <w:bCs w:val="1"/>
          <w:color w:val="auto"/>
        </w:rPr>
        <w:t xml:space="preserve"> </w:t>
      </w:r>
      <w:r>
        <w:rPr>
          <w:rFonts w:ascii="Arial" w:cs="Arial" w:eastAsia="Arial" w:hAnsi="Arial"/>
          <w:sz w:val="18"/>
          <w:szCs w:val="18"/>
          <w:color w:val="auto"/>
        </w:rPr>
        <w:t>these agreements provide for “at will” employment, and none of these agreements provides any guarantees relating to salary increases or the amounts of incentive pay or equity awards.</w:t>
      </w:r>
    </w:p>
    <w:p>
      <w:pPr>
        <w:spacing w:after="0" w:line="2" w:lineRule="exact"/>
        <w:rPr>
          <w:rFonts w:ascii="Arial" w:cs="Arial" w:eastAsia="Arial" w:hAnsi="Arial"/>
          <w:sz w:val="18"/>
          <w:szCs w:val="18"/>
          <w:color w:val="auto"/>
        </w:rPr>
      </w:pPr>
    </w:p>
    <w:p>
      <w:pPr>
        <w:ind w:left="660" w:hanging="328"/>
        <w:spacing w:after="0" w:line="235" w:lineRule="auto"/>
        <w:tabs>
          <w:tab w:leader="none" w:pos="649" w:val="left"/>
        </w:tabs>
        <w:numPr>
          <w:ilvl w:val="0"/>
          <w:numId w:val="45"/>
        </w:numPr>
        <w:rPr>
          <w:rFonts w:ascii="Arial" w:cs="Arial" w:eastAsia="Arial" w:hAnsi="Arial"/>
          <w:sz w:val="16"/>
          <w:szCs w:val="16"/>
          <w:color w:val="auto"/>
        </w:rPr>
      </w:pPr>
      <w:r>
        <w:rPr>
          <w:rFonts w:ascii="Arial" w:cs="Arial" w:eastAsia="Arial" w:hAnsi="Arial"/>
          <w:sz w:val="18"/>
          <w:szCs w:val="18"/>
          <w:b w:val="1"/>
          <w:bCs w:val="1"/>
          <w:color w:val="auto"/>
        </w:rPr>
        <w:t>Reasonable severance and change in control benefits</w:t>
      </w:r>
      <w:r>
        <w:rPr>
          <w:rFonts w:ascii="Arial" w:cs="Arial" w:eastAsia="Arial" w:hAnsi="Arial"/>
          <w:sz w:val="18"/>
          <w:szCs w:val="18"/>
          <w:color w:val="auto"/>
        </w:rPr>
        <w:t>: The change in control and severance agreement with Dr. Farokhzad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key executive change in control and severance plan in which our other named executive officers participate do not provide for “single trigger” benefits upon a change in control absent a termination of employment. Instead, this plan requires that the named executive officer’s employment be terminated by us without “cause”, or the named executive officer resign for “good reason” in order for the named executive officer to receive severance benefits, whether in connection with a change in control or otherwise. These arrangements generally provide for “double trigger” provisions under the change in control and severance plan in order for the vesting of time-based equity awards held by these named executive officers to accelerate in connection with a change in control, while Dr. Farokhzad’s agreement also provides for partial acceleration of time-based equity awards in connection with certain without “cause” or “good reason” terminations outside of the change in control context. These arrangements also provide that the vesting of equity awards granted prior to our initial public offering will accelerate if the named executive officer remains employed with us (or our successor) through the two-year anniversary of the change in control.</w:t>
      </w:r>
    </w:p>
    <w:p>
      <w:pPr>
        <w:spacing w:after="0" w:line="2" w:lineRule="exact"/>
        <w:rPr>
          <w:rFonts w:ascii="Arial" w:cs="Arial" w:eastAsia="Arial" w:hAnsi="Arial"/>
          <w:sz w:val="16"/>
          <w:szCs w:val="16"/>
          <w:color w:val="auto"/>
        </w:rPr>
      </w:pPr>
    </w:p>
    <w:p>
      <w:pPr>
        <w:ind w:left="660" w:right="140" w:hanging="328"/>
        <w:spacing w:after="0" w:line="27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Independent compensation consultant</w:t>
      </w:r>
      <w:r>
        <w:rPr>
          <w:rFonts w:ascii="Arial" w:cs="Arial" w:eastAsia="Arial" w:hAnsi="Arial"/>
          <w:sz w:val="18"/>
          <w:szCs w:val="18"/>
          <w:color w:val="auto"/>
        </w:rPr>
        <w:t>: Our talent and compensation committee engages its own independent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which provides the compensation committee with valuable data regarding market compensation trends and guidance to the compensation committee about executive compensation programs in general.</w:t>
      </w:r>
    </w:p>
    <w:p>
      <w:pPr>
        <w:ind w:left="660" w:right="120" w:hanging="328"/>
        <w:spacing w:after="0" w:line="268"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Policy against hedging and pledging</w:t>
      </w:r>
      <w:r>
        <w:rPr>
          <w:rFonts w:ascii="Arial" w:cs="Arial" w:eastAsia="Arial" w:hAnsi="Arial"/>
          <w:sz w:val="18"/>
          <w:szCs w:val="18"/>
          <w:color w:val="auto"/>
        </w:rPr>
        <w:t>: Our insider trading policy prohibits our executives from engaging in “hedging” or “pledging”</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with respect to our common stock.</w:t>
      </w:r>
    </w:p>
    <w:p>
      <w:pPr>
        <w:ind w:left="660" w:right="240" w:hanging="328"/>
        <w:spacing w:after="0" w:line="30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Risk assessment</w:t>
      </w:r>
      <w:r>
        <w:rPr>
          <w:rFonts w:ascii="Arial" w:cs="Arial" w:eastAsia="Arial" w:hAnsi="Arial"/>
          <w:sz w:val="18"/>
          <w:szCs w:val="18"/>
          <w:color w:val="auto"/>
        </w:rPr>
        <w:t>: We believe the structure of our executive compensation program motivates our executives to make thoughtful,</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decisions with measured risks balanced by appropriate rewards for the 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Key Components of our Compensation Program</w:t>
      </w:r>
    </w:p>
    <w:p>
      <w:pPr>
        <w:spacing w:after="0" w:line="252"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The talent and compensation committee has developed an executive compensation program that consists of three main components. The relative mix of these components is weighted more on incentives, particularly long-term incentives, rather than fixed compensation. The focus on incentive compensation ensures that the interests of our executives are aligned with those of our stockholders. Our compensation program is made up of the following three key compensation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1440" w:right="379" w:bottom="1440" w:gutter="0" w:footer="0" w:header="0"/>
        </w:sectPr>
      </w:pPr>
    </w:p>
    <w:bookmarkStart w:id="48" w:name="page49"/>
    <w:bookmarkEnd w:id="48"/>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3"/>
          </w:tcPr>
          <w:p>
            <w:pPr>
              <w:ind w:left="160"/>
              <w:spacing w:after="0"/>
              <w:rPr>
                <w:sz w:val="20"/>
                <w:szCs w:val="20"/>
                <w:color w:val="auto"/>
              </w:rPr>
            </w:pPr>
            <w:r>
              <w:rPr>
                <w:rFonts w:ascii="Arial" w:cs="Arial" w:eastAsia="Arial" w:hAnsi="Arial"/>
                <w:sz w:val="18"/>
                <w:szCs w:val="18"/>
                <w:b w:val="1"/>
                <w:bCs w:val="1"/>
                <w:color w:val="auto"/>
              </w:rPr>
              <w:t>Element</w:t>
            </w:r>
          </w:p>
        </w:tc>
        <w:tc>
          <w:tcPr>
            <w:tcW w:w="580" w:type="dxa"/>
            <w:vAlign w:val="bottom"/>
          </w:tcPr>
          <w:p>
            <w:pPr>
              <w:spacing w:after="0"/>
              <w:rPr>
                <w:sz w:val="17"/>
                <w:szCs w:val="17"/>
                <w:color w:val="auto"/>
              </w:rPr>
            </w:pP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Performance Period</w:t>
            </w:r>
          </w:p>
        </w:tc>
        <w:tc>
          <w:tcPr>
            <w:tcW w:w="5900" w:type="dxa"/>
            <w:vAlign w:val="bottom"/>
            <w:gridSpan w:val="3"/>
          </w:tcPr>
          <w:p>
            <w:pPr>
              <w:ind w:left="2640"/>
              <w:spacing w:after="0"/>
              <w:rPr>
                <w:sz w:val="20"/>
                <w:szCs w:val="20"/>
                <w:color w:val="auto"/>
              </w:rPr>
            </w:pPr>
            <w:r>
              <w:rPr>
                <w:rFonts w:ascii="Arial" w:cs="Arial" w:eastAsia="Arial" w:hAnsi="Arial"/>
                <w:sz w:val="18"/>
                <w:szCs w:val="18"/>
                <w:b w:val="1"/>
                <w:bCs w:val="1"/>
                <w:color w:val="auto"/>
              </w:rPr>
              <w:t>Objective</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7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shd w:val="clear" w:color="auto" w:fill="CCEEFF"/>
              </w:rPr>
              <w:t>Base Salary</w:t>
            </w:r>
          </w:p>
        </w:tc>
        <w:tc>
          <w:tcPr>
            <w:tcW w:w="1820" w:type="dxa"/>
            <w:vAlign w:val="bottom"/>
            <w:gridSpan w:val="3"/>
            <w:shd w:val="clear" w:color="auto" w:fill="CCEEFF"/>
          </w:tcPr>
          <w:p>
            <w:pPr>
              <w:spacing w:after="0"/>
              <w:rPr>
                <w:sz w:val="19"/>
                <w:szCs w:val="19"/>
                <w:color w:val="auto"/>
              </w:rPr>
            </w:pP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shd w:val="clear" w:color="auto" w:fill="CCEEFF"/>
              </w:rPr>
              <w:t>Annual</w:t>
            </w:r>
          </w:p>
        </w:tc>
        <w:tc>
          <w:tcPr>
            <w:tcW w:w="200" w:type="dxa"/>
            <w:vAlign w:val="bottom"/>
            <w:shd w:val="clear" w:color="auto" w:fill="CCEEFF"/>
          </w:tcPr>
          <w:p>
            <w:pPr>
              <w:spacing w:after="0"/>
              <w:rPr>
                <w:sz w:val="19"/>
                <w:szCs w:val="19"/>
                <w:color w:val="auto"/>
              </w:rPr>
            </w:pPr>
          </w:p>
        </w:tc>
        <w:tc>
          <w:tcPr>
            <w:tcW w:w="5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Attract, retain, and reward top talent; reflects a named executive</w:t>
            </w: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9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officer’s responsibilities, performance, and relevant market data</w:t>
            </w:r>
          </w:p>
        </w:tc>
        <w:tc>
          <w:tcPr>
            <w:tcW w:w="0" w:type="dxa"/>
            <w:vAlign w:val="bottom"/>
          </w:tcPr>
          <w:p>
            <w:pPr>
              <w:spacing w:after="0"/>
              <w:rPr>
                <w:sz w:val="1"/>
                <w:szCs w:val="1"/>
                <w:color w:val="auto"/>
              </w:rPr>
            </w:pPr>
          </w:p>
        </w:tc>
      </w:tr>
      <w:tr>
        <w:trPr>
          <w:trHeight w:val="238"/>
        </w:trPr>
        <w:tc>
          <w:tcPr>
            <w:tcW w:w="2820" w:type="dxa"/>
            <w:vAlign w:val="bottom"/>
            <w:gridSpan w:val="6"/>
          </w:tcPr>
          <w:p>
            <w:pPr>
              <w:ind w:left="20"/>
              <w:spacing w:after="0"/>
              <w:rPr>
                <w:sz w:val="20"/>
                <w:szCs w:val="20"/>
                <w:color w:val="auto"/>
              </w:rPr>
            </w:pPr>
            <w:r>
              <w:rPr>
                <w:rFonts w:ascii="Arial" w:cs="Arial" w:eastAsia="Arial" w:hAnsi="Arial"/>
                <w:sz w:val="18"/>
                <w:szCs w:val="18"/>
                <w:color w:val="auto"/>
              </w:rPr>
              <w:t>Annual Cash</w:t>
            </w:r>
          </w:p>
        </w:tc>
        <w:tc>
          <w:tcPr>
            <w:tcW w:w="2500" w:type="dxa"/>
            <w:vAlign w:val="bottom"/>
            <w:gridSpan w:val="3"/>
          </w:tcPr>
          <w:p>
            <w:pPr>
              <w:ind w:left="220"/>
              <w:spacing w:after="0"/>
              <w:rPr>
                <w:sz w:val="20"/>
                <w:szCs w:val="20"/>
                <w:color w:val="auto"/>
              </w:rPr>
            </w:pPr>
            <w:r>
              <w:rPr>
                <w:rFonts w:ascii="Arial" w:cs="Arial" w:eastAsia="Arial" w:hAnsi="Arial"/>
                <w:sz w:val="18"/>
                <w:szCs w:val="18"/>
                <w:color w:val="auto"/>
              </w:rPr>
              <w:t>Annual</w:t>
            </w: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Reward achievement of annual Company goals and individual</w:t>
            </w:r>
          </w:p>
        </w:tc>
        <w:tc>
          <w:tcPr>
            <w:tcW w:w="0" w:type="dxa"/>
            <w:vAlign w:val="bottom"/>
          </w:tcPr>
          <w:p>
            <w:pPr>
              <w:spacing w:after="0"/>
              <w:rPr>
                <w:sz w:val="1"/>
                <w:szCs w:val="1"/>
                <w:color w:val="auto"/>
              </w:rPr>
            </w:pPr>
          </w:p>
        </w:tc>
      </w:tr>
      <w:tr>
        <w:trPr>
          <w:trHeight w:val="239"/>
        </w:trPr>
        <w:tc>
          <w:tcPr>
            <w:tcW w:w="2820" w:type="dxa"/>
            <w:vAlign w:val="bottom"/>
            <w:gridSpan w:val="6"/>
          </w:tcPr>
          <w:p>
            <w:pPr>
              <w:ind w:left="20"/>
              <w:spacing w:after="0"/>
              <w:rPr>
                <w:sz w:val="20"/>
                <w:szCs w:val="20"/>
                <w:color w:val="auto"/>
              </w:rPr>
            </w:pPr>
            <w:r>
              <w:rPr>
                <w:rFonts w:ascii="Arial" w:cs="Arial" w:eastAsia="Arial" w:hAnsi="Arial"/>
                <w:sz w:val="18"/>
                <w:szCs w:val="18"/>
                <w:color w:val="auto"/>
              </w:rPr>
              <w:t>Incentives</w:t>
            </w:r>
          </w:p>
        </w:tc>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objectives, subject to meeting certain performance expectations</w:t>
            </w: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278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auto"/>
                <w:shd w:val="clear" w:color="auto" w:fill="CCEEFF"/>
              </w:rPr>
              <w:t>Long-Term Equity Awards</w:t>
            </w:r>
          </w:p>
        </w:tc>
        <w:tc>
          <w:tcPr>
            <w:tcW w:w="2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shd w:val="clear" w:color="auto" w:fill="CCEEFF"/>
              </w:rPr>
              <w:t>Long-Term</w:t>
            </w:r>
          </w:p>
        </w:tc>
        <w:tc>
          <w:tcPr>
            <w:tcW w:w="200" w:type="dxa"/>
            <w:vAlign w:val="bottom"/>
            <w:shd w:val="clear" w:color="auto" w:fill="CCEEFF"/>
          </w:tcPr>
          <w:p>
            <w:pPr>
              <w:spacing w:after="0"/>
              <w:rPr>
                <w:sz w:val="16"/>
                <w:szCs w:val="16"/>
                <w:color w:val="auto"/>
              </w:rPr>
            </w:pPr>
          </w:p>
        </w:tc>
        <w:tc>
          <w:tcPr>
            <w:tcW w:w="5900" w:type="dxa"/>
            <w:vAlign w:val="bottom"/>
            <w:gridSpan w:val="3"/>
            <w:shd w:val="clear" w:color="auto" w:fill="CCEEFF"/>
          </w:tcPr>
          <w:p>
            <w:pPr>
              <w:ind w:left="200"/>
              <w:spacing w:after="0" w:line="189" w:lineRule="exact"/>
              <w:rPr>
                <w:sz w:val="20"/>
                <w:szCs w:val="20"/>
                <w:color w:val="auto"/>
              </w:rPr>
            </w:pPr>
            <w:r>
              <w:rPr>
                <w:rFonts w:ascii="Arial" w:cs="Arial" w:eastAsia="Arial" w:hAnsi="Arial"/>
                <w:sz w:val="18"/>
                <w:szCs w:val="18"/>
                <w:color w:val="auto"/>
              </w:rPr>
              <w:t>Options support the achievement of strong share price growth and</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7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shd w:val="clear" w:color="auto" w:fill="CCEEFF"/>
              </w:rPr>
              <w:t>(Consisting of a Mix of Options and</w:t>
            </w:r>
          </w:p>
        </w:tc>
        <w:tc>
          <w:tcPr>
            <w:tcW w:w="5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serve as an important retention vehicle</w:t>
            </w:r>
          </w:p>
        </w:tc>
        <w:tc>
          <w:tcPr>
            <w:tcW w:w="0" w:type="dxa"/>
            <w:vAlign w:val="bottom"/>
          </w:tcPr>
          <w:p>
            <w:pPr>
              <w:spacing w:after="0"/>
              <w:rPr>
                <w:sz w:val="1"/>
                <w:szCs w:val="1"/>
                <w:color w:val="auto"/>
              </w:rPr>
            </w:pPr>
          </w:p>
        </w:tc>
      </w:tr>
      <w:tr>
        <w:trPr>
          <w:trHeight w:val="170"/>
        </w:trPr>
        <w:tc>
          <w:tcPr>
            <w:tcW w:w="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RSUs)</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900" w:type="dxa"/>
            <w:vAlign w:val="bottom"/>
            <w:gridSpan w:val="3"/>
            <w:shd w:val="clear" w:color="auto" w:fill="CCEEFF"/>
          </w:tcPr>
          <w:p>
            <w:pPr>
              <w:ind w:left="200"/>
              <w:spacing w:after="0" w:line="170" w:lineRule="exact"/>
              <w:rPr>
                <w:sz w:val="20"/>
                <w:szCs w:val="20"/>
                <w:color w:val="auto"/>
              </w:rPr>
            </w:pPr>
            <w:r>
              <w:rPr>
                <w:rFonts w:ascii="Arial" w:cs="Arial" w:eastAsia="Arial" w:hAnsi="Arial"/>
                <w:sz w:val="18"/>
                <w:szCs w:val="18"/>
                <w:color w:val="auto"/>
              </w:rPr>
              <w:t>RSUs closely align the interests of management and stockholders and</w:t>
            </w:r>
          </w:p>
        </w:tc>
        <w:tc>
          <w:tcPr>
            <w:tcW w:w="0" w:type="dxa"/>
            <w:vAlign w:val="bottom"/>
          </w:tcPr>
          <w:p>
            <w:pPr>
              <w:spacing w:after="0"/>
              <w:rPr>
                <w:sz w:val="1"/>
                <w:szCs w:val="1"/>
                <w:color w:val="auto"/>
              </w:rPr>
            </w:pPr>
          </w:p>
        </w:tc>
      </w:tr>
      <w:tr>
        <w:trPr>
          <w:trHeight w:val="100"/>
        </w:trPr>
        <w:tc>
          <w:tcPr>
            <w:tcW w:w="4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2260" w:type="dxa"/>
            <w:vAlign w:val="bottom"/>
            <w:gridSpan w:val="4"/>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90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serves as an important retention vehicle</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90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design and implement an executive compensation program that combines both base cash and short- and long-term incentive elements based on annual performance objectives and long-term equity interests. The annual cash incentives and long-term equity awards elements of our executive compensation program are in order to align the interest of our executives and our shareholders. The talent and compensation committee has not, however, adopted any formal or informal policies or guidelines for allocating compensation between current and long-term compensation, between cash and non-cash compensation, or among different forms of non-cash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23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Base salary represents the fixed portion of our executives’ compensation, which we view as an important element to attract, retain and motivate highly talented executives. Each named executive officer’s base salary is typically reviewed by our talent and compensation committee based on competitive market considerations and level, responsibilities, experience, and skill set and, toward the end of 2020, in light of our public offering. These considerations are supplemented by market data provided by the committee’s independent compensation consultant. In March 2021, our talent and compensation committee reviewed these base salary amounts and provided merit increases to our named executive officers, other than Ms. Kogan, whose 2021 base salary had been negotiated in connection with her hire in November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on these considerations, our named executive officer’s base salaries for 2021 were as follows:</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32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Name</w:t>
            </w:r>
          </w:p>
        </w:tc>
        <w:tc>
          <w:tcPr>
            <w:tcW w:w="2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2021 Merit Increase</w:t>
            </w:r>
          </w:p>
        </w:tc>
        <w:tc>
          <w:tcPr>
            <w:tcW w:w="4220" w:type="dxa"/>
            <w:vAlign w:val="bottom"/>
            <w:tcBorders>
              <w:top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 Annual Base Salary (following March</w:t>
            </w:r>
          </w:p>
        </w:tc>
        <w:tc>
          <w:tcPr>
            <w:tcW w:w="0" w:type="dxa"/>
            <w:vAlign w:val="bottom"/>
          </w:tcPr>
          <w:p>
            <w:pPr>
              <w:spacing w:after="0"/>
              <w:rPr>
                <w:sz w:val="1"/>
                <w:szCs w:val="1"/>
                <w:color w:val="auto"/>
              </w:rPr>
            </w:pPr>
          </w:p>
        </w:tc>
      </w:tr>
      <w:tr>
        <w:trPr>
          <w:trHeight w:val="139"/>
        </w:trPr>
        <w:tc>
          <w:tcPr>
            <w:tcW w:w="3280" w:type="dxa"/>
            <w:vAlign w:val="bottom"/>
            <w:tcBorders>
              <w:left w:val="single" w:sz="8" w:color="auto"/>
              <w:right w:val="single" w:sz="8" w:color="auto"/>
            </w:tcBorders>
            <w:vMerge w:val="continue"/>
          </w:tcPr>
          <w:p>
            <w:pPr>
              <w:spacing w:after="0"/>
              <w:rPr>
                <w:sz w:val="12"/>
                <w:szCs w:val="12"/>
                <w:color w:val="auto"/>
              </w:rPr>
            </w:pPr>
          </w:p>
        </w:tc>
        <w:tc>
          <w:tcPr>
            <w:tcW w:w="2700" w:type="dxa"/>
            <w:vAlign w:val="bottom"/>
            <w:tcBorders>
              <w:right w:val="single" w:sz="8" w:color="auto"/>
            </w:tcBorders>
            <w:vMerge w:val="continue"/>
          </w:tcPr>
          <w:p>
            <w:pPr>
              <w:spacing w:after="0"/>
              <w:rPr>
                <w:sz w:val="12"/>
                <w:szCs w:val="12"/>
                <w:color w:val="auto"/>
              </w:rPr>
            </w:pPr>
          </w:p>
        </w:tc>
        <w:tc>
          <w:tcPr>
            <w:tcW w:w="4220" w:type="dxa"/>
            <w:vAlign w:val="bottom"/>
            <w:tcBorders>
              <w:right w:val="single" w:sz="8" w:color="auto"/>
            </w:tcBorders>
            <w:vMerge w:val="restart"/>
          </w:tcPr>
          <w:p>
            <w:pPr>
              <w:jc w:val="right"/>
              <w:ind w:right="1090"/>
              <w:spacing w:after="0"/>
              <w:rPr>
                <w:sz w:val="20"/>
                <w:szCs w:val="20"/>
                <w:color w:val="auto"/>
              </w:rPr>
            </w:pPr>
            <w:r>
              <w:rPr>
                <w:rFonts w:ascii="Arial" w:cs="Arial" w:eastAsia="Arial" w:hAnsi="Arial"/>
                <w:sz w:val="18"/>
                <w:szCs w:val="18"/>
                <w:b w:val="1"/>
                <w:bCs w:val="1"/>
                <w:color w:val="auto"/>
              </w:rPr>
              <w:t>2021 Merit Increases)*</w:t>
            </w:r>
          </w:p>
        </w:tc>
        <w:tc>
          <w:tcPr>
            <w:tcW w:w="0" w:type="dxa"/>
            <w:vAlign w:val="bottom"/>
          </w:tcPr>
          <w:p>
            <w:pPr>
              <w:spacing w:after="0"/>
              <w:rPr>
                <w:sz w:val="1"/>
                <w:szCs w:val="1"/>
                <w:color w:val="auto"/>
              </w:rPr>
            </w:pPr>
          </w:p>
        </w:tc>
      </w:tr>
      <w:tr>
        <w:trPr>
          <w:trHeight w:val="108"/>
        </w:trPr>
        <w:tc>
          <w:tcPr>
            <w:tcW w:w="328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4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Omid Farokhzad, M.D.</w:t>
            </w:r>
          </w:p>
        </w:tc>
        <w:tc>
          <w:tcPr>
            <w:tcW w:w="2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4220" w:type="dxa"/>
            <w:vAlign w:val="bottom"/>
            <w:tcBorders>
              <w:bottom w:val="single" w:sz="8" w:color="CCEEFF"/>
              <w:right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rPr>
              <w:t>$530,400</w:t>
            </w:r>
          </w:p>
        </w:tc>
        <w:tc>
          <w:tcPr>
            <w:tcW w:w="0" w:type="dxa"/>
            <w:vAlign w:val="bottom"/>
          </w:tcPr>
          <w:p>
            <w:pPr>
              <w:spacing w:after="0"/>
              <w:rPr>
                <w:sz w:val="1"/>
                <w:szCs w:val="1"/>
                <w:color w:val="auto"/>
              </w:rPr>
            </w:pPr>
          </w:p>
        </w:tc>
      </w:tr>
      <w:tr>
        <w:trPr>
          <w:trHeight w:val="254"/>
        </w:trPr>
        <w:tc>
          <w:tcPr>
            <w:tcW w:w="3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Omead Ostadan</w:t>
            </w:r>
          </w:p>
        </w:tc>
        <w:tc>
          <w:tcPr>
            <w:tcW w:w="2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2.7%</w:t>
            </w:r>
          </w:p>
        </w:tc>
        <w:tc>
          <w:tcPr>
            <w:tcW w:w="4220" w:type="dxa"/>
            <w:vAlign w:val="bottom"/>
            <w:tcBorders>
              <w:top w:val="single" w:sz="8" w:color="auto"/>
              <w:right w:val="single" w:sz="8" w:color="auto"/>
            </w:tcBorders>
          </w:tcPr>
          <w:p>
            <w:pPr>
              <w:jc w:val="right"/>
              <w:ind w:right="1350"/>
              <w:spacing w:after="0"/>
              <w:rPr>
                <w:sz w:val="20"/>
                <w:szCs w:val="20"/>
                <w:color w:val="auto"/>
              </w:rPr>
            </w:pPr>
            <w:r>
              <w:rPr>
                <w:rFonts w:ascii="Arial" w:cs="Arial" w:eastAsia="Arial" w:hAnsi="Arial"/>
                <w:sz w:val="18"/>
                <w:szCs w:val="18"/>
                <w:color w:val="auto"/>
              </w:rPr>
              <w:t>$446,679</w:t>
            </w:r>
          </w:p>
        </w:tc>
        <w:tc>
          <w:tcPr>
            <w:tcW w:w="0" w:type="dxa"/>
            <w:vAlign w:val="bottom"/>
          </w:tcPr>
          <w:p>
            <w:pPr>
              <w:spacing w:after="0"/>
              <w:rPr>
                <w:sz w:val="1"/>
                <w:szCs w:val="1"/>
                <w:color w:val="auto"/>
              </w:rPr>
            </w:pP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David Horn</w:t>
            </w:r>
          </w:p>
        </w:tc>
        <w:tc>
          <w:tcPr>
            <w:tcW w:w="2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3.2%</w:t>
            </w:r>
          </w:p>
        </w:tc>
        <w:tc>
          <w:tcPr>
            <w:tcW w:w="4220" w:type="dxa"/>
            <w:vAlign w:val="bottom"/>
            <w:tcBorders>
              <w:bottom w:val="single" w:sz="8" w:color="CCEEFF"/>
              <w:right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rPr>
              <w:t>$407,597</w:t>
            </w:r>
          </w:p>
        </w:tc>
        <w:tc>
          <w:tcPr>
            <w:tcW w:w="0" w:type="dxa"/>
            <w:vAlign w:val="bottom"/>
          </w:tcPr>
          <w:p>
            <w:pPr>
              <w:spacing w:after="0"/>
              <w:rPr>
                <w:sz w:val="1"/>
                <w:szCs w:val="1"/>
                <w:color w:val="auto"/>
              </w:rPr>
            </w:pPr>
          </w:p>
        </w:tc>
      </w:tr>
      <w:tr>
        <w:trPr>
          <w:trHeight w:val="254"/>
        </w:trPr>
        <w:tc>
          <w:tcPr>
            <w:tcW w:w="3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Elona Kogan</w:t>
            </w:r>
          </w:p>
        </w:tc>
        <w:tc>
          <w:tcPr>
            <w:tcW w:w="2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 Eligible</w:t>
            </w:r>
          </w:p>
        </w:tc>
        <w:tc>
          <w:tcPr>
            <w:tcW w:w="4220" w:type="dxa"/>
            <w:vAlign w:val="bottom"/>
            <w:tcBorders>
              <w:top w:val="single" w:sz="8" w:color="auto"/>
              <w:right w:val="single" w:sz="8" w:color="auto"/>
            </w:tcBorders>
          </w:tcPr>
          <w:p>
            <w:pPr>
              <w:jc w:val="right"/>
              <w:ind w:right="135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*Prior to the March 2021 merit increases, the annual base salaries for Dr. Farokhzad and Messrs. Ostadan and Horn were $510,000, $435,000 and $395,000,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Incentives</w:t>
      </w:r>
    </w:p>
    <w:p>
      <w:pPr>
        <w:spacing w:after="0" w:line="250" w:lineRule="exact"/>
        <w:rPr>
          <w:sz w:val="20"/>
          <w:szCs w:val="20"/>
          <w:color w:val="auto"/>
        </w:rPr>
      </w:pPr>
    </w:p>
    <w:p>
      <w:pPr>
        <w:ind w:right="740"/>
        <w:spacing w:after="0" w:line="303" w:lineRule="auto"/>
        <w:rPr>
          <w:sz w:val="20"/>
          <w:szCs w:val="20"/>
          <w:color w:val="auto"/>
        </w:rPr>
      </w:pPr>
      <w:r>
        <w:rPr>
          <w:rFonts w:ascii="Arial" w:cs="Arial" w:eastAsia="Arial" w:hAnsi="Arial"/>
          <w:sz w:val="18"/>
          <w:szCs w:val="18"/>
          <w:color w:val="auto"/>
        </w:rPr>
        <w:t>In addition to base salaries, our named executive officers are eligible to receive annual performance-based cash bonuses under our Executive Incentive Compensation Plan, which bonuses are designed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440" w:right="359" w:bottom="1440" w:gutter="0" w:footer="0" w:header="0"/>
        </w:sectPr>
      </w:pPr>
    </w:p>
    <w:bookmarkStart w:id="49" w:name="page50"/>
    <w:bookmarkEnd w:id="49"/>
    <w:p>
      <w:pPr>
        <w:ind w:right="80"/>
        <w:spacing w:after="0" w:line="303" w:lineRule="auto"/>
        <w:rPr>
          <w:sz w:val="20"/>
          <w:szCs w:val="20"/>
          <w:color w:val="auto"/>
        </w:rPr>
      </w:pPr>
      <w:r>
        <w:rPr>
          <w:rFonts w:ascii="Arial" w:cs="Arial" w:eastAsia="Arial" w:hAnsi="Arial"/>
          <w:sz w:val="18"/>
          <w:szCs w:val="18"/>
          <w:color w:val="auto"/>
        </w:rPr>
        <w:t>provide appropriate incentives to our executives to achieve defined annual corporate goals and to reward our executives and all employees who significantly impact our corporate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Annual corporate goals are developed and recommended by management to the Board of Directors. The Board of Directors approves the</w:t>
      </w:r>
    </w:p>
    <w:p>
      <w:pPr>
        <w:spacing w:after="0" w:line="1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annual corporate goals. Annual corporate goals are reviewed by the talent and compensation committee on a quarterly basis to track the Company’s progress toward achievement of the annual corporate goals and the continued appropriateness of such goals throughout the</w:t>
      </w:r>
    </w:p>
    <w:p>
      <w:pPr>
        <w:spacing w:after="0" w:line="2"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year. Each named executive officer has a target bonus represented as a percentage of base salary, or a target bonus percentage, each of which is set forth below:</w:t>
      </w:r>
    </w:p>
    <w:p>
      <w:pPr>
        <w:spacing w:after="0" w:line="238" w:lineRule="exact"/>
        <w:rPr>
          <w:sz w:val="20"/>
          <w:szCs w:val="20"/>
          <w:color w:val="auto"/>
        </w:rPr>
      </w:pPr>
    </w:p>
    <w:tbl>
      <w:tblPr>
        <w:tblLayout w:type="fixed"/>
        <w:tblInd w:w="2590" w:type="dxa"/>
        <w:tblCellMar>
          <w:top w:w="0" w:type="dxa"/>
          <w:left w:w="0" w:type="dxa"/>
          <w:bottom w:w="0" w:type="dxa"/>
          <w:right w:w="0" w:type="dxa"/>
        </w:tblCellMar>
      </w:tblPr>
      <w:tr>
        <w:trPr>
          <w:trHeight w:val="251"/>
        </w:trPr>
        <w:tc>
          <w:tcPr>
            <w:tcW w:w="328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22"/>
                <w:szCs w:val="22"/>
                <w:color w:val="auto"/>
              </w:rPr>
              <w:t>Name</w:t>
            </w:r>
          </w:p>
        </w:tc>
        <w:tc>
          <w:tcPr>
            <w:tcW w:w="2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2021 Target Bonus (As a</w:t>
            </w:r>
          </w:p>
        </w:tc>
        <w:tc>
          <w:tcPr>
            <w:tcW w:w="0" w:type="dxa"/>
            <w:vAlign w:val="bottom"/>
          </w:tcPr>
          <w:p>
            <w:pPr>
              <w:spacing w:after="0"/>
              <w:rPr>
                <w:sz w:val="1"/>
                <w:szCs w:val="1"/>
                <w:color w:val="auto"/>
              </w:rPr>
            </w:pPr>
          </w:p>
        </w:tc>
      </w:tr>
      <w:tr>
        <w:trPr>
          <w:trHeight w:val="154"/>
        </w:trPr>
        <w:tc>
          <w:tcPr>
            <w:tcW w:w="3280" w:type="dxa"/>
            <w:vAlign w:val="bottom"/>
            <w:tcBorders>
              <w:left w:val="single" w:sz="8" w:color="auto"/>
              <w:right w:val="single" w:sz="8" w:color="auto"/>
            </w:tcBorders>
            <w:vMerge w:val="continue"/>
          </w:tcPr>
          <w:p>
            <w:pPr>
              <w:spacing w:after="0"/>
              <w:rPr>
                <w:sz w:val="13"/>
                <w:szCs w:val="13"/>
                <w:color w:val="auto"/>
              </w:rPr>
            </w:pPr>
          </w:p>
        </w:tc>
        <w:tc>
          <w:tcPr>
            <w:tcW w:w="2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Percentage of Base Salary)</w:t>
            </w:r>
          </w:p>
        </w:tc>
        <w:tc>
          <w:tcPr>
            <w:tcW w:w="0" w:type="dxa"/>
            <w:vAlign w:val="bottom"/>
          </w:tcPr>
          <w:p>
            <w:pPr>
              <w:spacing w:after="0"/>
              <w:rPr>
                <w:sz w:val="1"/>
                <w:szCs w:val="1"/>
                <w:color w:val="auto"/>
              </w:rPr>
            </w:pPr>
          </w:p>
        </w:tc>
      </w:tr>
      <w:tr>
        <w:trPr>
          <w:trHeight w:val="92"/>
        </w:trPr>
        <w:tc>
          <w:tcPr>
            <w:tcW w:w="3280" w:type="dxa"/>
            <w:vAlign w:val="bottom"/>
            <w:tcBorders>
              <w:left w:val="single" w:sz="8" w:color="auto"/>
              <w:right w:val="single" w:sz="8" w:color="auto"/>
            </w:tcBorders>
          </w:tcPr>
          <w:p>
            <w:pPr>
              <w:spacing w:after="0"/>
              <w:rPr>
                <w:sz w:val="8"/>
                <w:szCs w:val="8"/>
                <w:color w:val="auto"/>
              </w:rPr>
            </w:pPr>
          </w:p>
        </w:tc>
        <w:tc>
          <w:tcPr>
            <w:tcW w:w="2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28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Omid Farokhzad, M.D.</w:t>
            </w:r>
          </w:p>
        </w:tc>
        <w:tc>
          <w:tcPr>
            <w:tcW w:w="2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shd w:val="clear" w:color="auto" w:fill="CCEEFF"/>
              </w:rPr>
              <w:t>65%</w:t>
            </w:r>
          </w:p>
        </w:tc>
        <w:tc>
          <w:tcPr>
            <w:tcW w:w="0" w:type="dxa"/>
            <w:vAlign w:val="bottom"/>
          </w:tcPr>
          <w:p>
            <w:pPr>
              <w:spacing w:after="0"/>
              <w:rPr>
                <w:sz w:val="1"/>
                <w:szCs w:val="1"/>
                <w:color w:val="auto"/>
              </w:rPr>
            </w:pPr>
          </w:p>
        </w:tc>
      </w:tr>
      <w:tr>
        <w:trPr>
          <w:trHeight w:val="241"/>
        </w:trPr>
        <w:tc>
          <w:tcPr>
            <w:tcW w:w="32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Omead Ostadan</w:t>
            </w:r>
          </w:p>
        </w:tc>
        <w:tc>
          <w:tcPr>
            <w:tcW w:w="2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36"/>
        </w:trPr>
        <w:tc>
          <w:tcPr>
            <w:tcW w:w="3280" w:type="dxa"/>
            <w:vAlign w:val="bottom"/>
            <w:tcBorders>
              <w:left w:val="single" w:sz="8" w:color="auto"/>
              <w:bottom w:val="single" w:sz="8" w:color="auto"/>
              <w:right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328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David Horn</w:t>
            </w:r>
          </w:p>
        </w:tc>
        <w:tc>
          <w:tcPr>
            <w:tcW w:w="2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shd w:val="clear" w:color="auto" w:fill="CCEEFF"/>
              </w:rPr>
              <w:t>40%</w:t>
            </w:r>
          </w:p>
        </w:tc>
        <w:tc>
          <w:tcPr>
            <w:tcW w:w="0" w:type="dxa"/>
            <w:vAlign w:val="bottom"/>
          </w:tcPr>
          <w:p>
            <w:pPr>
              <w:spacing w:after="0"/>
              <w:rPr>
                <w:sz w:val="1"/>
                <w:szCs w:val="1"/>
                <w:color w:val="auto"/>
              </w:rPr>
            </w:pPr>
          </w:p>
        </w:tc>
      </w:tr>
      <w:tr>
        <w:trPr>
          <w:trHeight w:val="241"/>
        </w:trPr>
        <w:tc>
          <w:tcPr>
            <w:tcW w:w="32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Elona Kogan</w:t>
            </w:r>
          </w:p>
        </w:tc>
        <w:tc>
          <w:tcPr>
            <w:tcW w:w="2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37"/>
        </w:trPr>
        <w:tc>
          <w:tcPr>
            <w:tcW w:w="3280" w:type="dxa"/>
            <w:vAlign w:val="bottom"/>
            <w:tcBorders>
              <w:left w:val="single" w:sz="8" w:color="auto"/>
              <w:bottom w:val="single" w:sz="8" w:color="auto"/>
              <w:right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40"/>
        <w:spacing w:after="0" w:line="335" w:lineRule="auto"/>
        <w:rPr>
          <w:sz w:val="20"/>
          <w:szCs w:val="20"/>
          <w:color w:val="auto"/>
        </w:rPr>
      </w:pPr>
      <w:r>
        <w:rPr>
          <w:rFonts w:ascii="Arial" w:cs="Arial" w:eastAsia="Arial" w:hAnsi="Arial"/>
          <w:sz w:val="17"/>
          <w:szCs w:val="17"/>
          <w:color w:val="auto"/>
        </w:rPr>
        <w:t>The actual performance-based bonus paid, if any, is calculated by multiplying the executive’s annual base salary, target bonus percentage, percentage achievement of the corporate goals times the weighting of that category of corporate goals (as detailed in the table below).</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5640" w:type="dxa"/>
            <w:vAlign w:val="bottom"/>
            <w:tcBorders>
              <w:top w:val="single" w:sz="8" w:color="auto"/>
              <w:left w:val="single" w:sz="8" w:color="auto"/>
              <w:right w:val="single" w:sz="8" w:color="auto"/>
            </w:tcBorders>
          </w:tcPr>
          <w:p>
            <w:pPr>
              <w:spacing w:after="0"/>
              <w:rPr>
                <w:sz w:val="22"/>
                <w:szCs w:val="22"/>
                <w:color w:val="auto"/>
              </w:rPr>
            </w:pPr>
          </w:p>
        </w:tc>
        <w:tc>
          <w:tcPr>
            <w:tcW w:w="4520" w:type="dxa"/>
            <w:vAlign w:val="bottom"/>
            <w:tcBorders>
              <w:top w:val="single" w:sz="8" w:color="auto"/>
              <w:right w:val="single" w:sz="8" w:color="auto"/>
            </w:tcBorders>
          </w:tcPr>
          <w:p>
            <w:pPr>
              <w:jc w:val="right"/>
              <w:ind w:right="3830"/>
              <w:spacing w:after="0"/>
              <w:rPr>
                <w:sz w:val="20"/>
                <w:szCs w:val="20"/>
                <w:color w:val="auto"/>
              </w:rPr>
            </w:pPr>
            <w:r>
              <w:rPr>
                <w:rFonts w:ascii="Arial" w:cs="Arial" w:eastAsia="Arial" w:hAnsi="Arial"/>
                <w:sz w:val="18"/>
                <w:szCs w:val="18"/>
                <w:color w:val="auto"/>
              </w:rPr>
              <w:t>Weight</w:t>
            </w:r>
          </w:p>
        </w:tc>
      </w:tr>
      <w:tr>
        <w:trPr>
          <w:trHeight w:val="77"/>
        </w:trPr>
        <w:tc>
          <w:tcPr>
            <w:tcW w:w="5640" w:type="dxa"/>
            <w:vAlign w:val="bottom"/>
            <w:tcBorders>
              <w:left w:val="single" w:sz="8" w:color="auto"/>
              <w:bottom w:val="single" w:sz="8" w:color="auto"/>
              <w:right w:val="single" w:sz="8" w:color="auto"/>
            </w:tcBorders>
          </w:tcPr>
          <w:p>
            <w:pPr>
              <w:spacing w:after="0"/>
              <w:rPr>
                <w:sz w:val="6"/>
                <w:szCs w:val="6"/>
                <w:color w:val="auto"/>
              </w:rPr>
            </w:pPr>
          </w:p>
        </w:tc>
        <w:tc>
          <w:tcPr>
            <w:tcW w:w="4520" w:type="dxa"/>
            <w:vAlign w:val="bottom"/>
            <w:tcBorders>
              <w:bottom w:val="single" w:sz="8" w:color="auto"/>
              <w:right w:val="single" w:sz="8" w:color="auto"/>
            </w:tcBorders>
          </w:tcPr>
          <w:p>
            <w:pPr>
              <w:spacing w:after="0"/>
              <w:rPr>
                <w:sz w:val="6"/>
                <w:szCs w:val="6"/>
                <w:color w:val="auto"/>
              </w:rPr>
            </w:pPr>
          </w:p>
        </w:tc>
      </w:tr>
      <w:tr>
        <w:trPr>
          <w:trHeight w:val="282"/>
        </w:trPr>
        <w:tc>
          <w:tcPr>
            <w:tcW w:w="56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shd w:val="clear" w:color="auto" w:fill="CCEEFF"/>
              </w:rPr>
              <w:t>Corporate Objectives</w:t>
            </w:r>
          </w:p>
        </w:tc>
        <w:tc>
          <w:tcPr>
            <w:tcW w:w="4520" w:type="dxa"/>
            <w:vAlign w:val="bottom"/>
            <w:tcBorders>
              <w:bottom w:val="single" w:sz="8" w:color="CCEEFF"/>
              <w:right w:val="single" w:sz="8" w:color="auto"/>
            </w:tcBorders>
            <w:shd w:val="clear" w:color="auto" w:fill="CCEEFF"/>
          </w:tcPr>
          <w:p>
            <w:pPr>
              <w:jc w:val="right"/>
              <w:ind w:right="4010"/>
              <w:spacing w:after="0"/>
              <w:rPr>
                <w:sz w:val="20"/>
                <w:szCs w:val="20"/>
                <w:color w:val="auto"/>
              </w:rPr>
            </w:pPr>
            <w:r>
              <w:rPr>
                <w:rFonts w:ascii="Arial" w:cs="Arial" w:eastAsia="Arial" w:hAnsi="Arial"/>
                <w:sz w:val="18"/>
                <w:szCs w:val="18"/>
                <w:color w:val="auto"/>
                <w:shd w:val="clear" w:color="auto" w:fill="CCEEFF"/>
              </w:rPr>
              <w:t>75%</w:t>
            </w:r>
          </w:p>
        </w:tc>
      </w:tr>
      <w:tr>
        <w:trPr>
          <w:trHeight w:val="240"/>
        </w:trPr>
        <w:tc>
          <w:tcPr>
            <w:tcW w:w="56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Individual Objectives &amp; Behaviors</w:t>
            </w:r>
          </w:p>
        </w:tc>
        <w:tc>
          <w:tcPr>
            <w:tcW w:w="4520" w:type="dxa"/>
            <w:vAlign w:val="bottom"/>
            <w:tcBorders>
              <w:top w:val="single" w:sz="8" w:color="auto"/>
              <w:right w:val="single" w:sz="8" w:color="auto"/>
            </w:tcBorders>
          </w:tcPr>
          <w:p>
            <w:pPr>
              <w:jc w:val="right"/>
              <w:ind w:right="4010"/>
              <w:spacing w:after="0"/>
              <w:rPr>
                <w:sz w:val="20"/>
                <w:szCs w:val="20"/>
                <w:color w:val="auto"/>
              </w:rPr>
            </w:pPr>
            <w:r>
              <w:rPr>
                <w:rFonts w:ascii="Arial" w:cs="Arial" w:eastAsia="Arial" w:hAnsi="Arial"/>
                <w:sz w:val="18"/>
                <w:szCs w:val="18"/>
                <w:color w:val="auto"/>
              </w:rPr>
              <w:t>25%</w:t>
            </w:r>
          </w:p>
        </w:tc>
      </w:tr>
      <w:tr>
        <w:trPr>
          <w:trHeight w:val="36"/>
        </w:trPr>
        <w:tc>
          <w:tcPr>
            <w:tcW w:w="5640" w:type="dxa"/>
            <w:vAlign w:val="bottom"/>
            <w:tcBorders>
              <w:left w:val="single" w:sz="8" w:color="auto"/>
              <w:bottom w:val="single" w:sz="8" w:color="auto"/>
              <w:right w:val="single" w:sz="8" w:color="auto"/>
            </w:tcBorders>
          </w:tcPr>
          <w:p>
            <w:pPr>
              <w:spacing w:after="0"/>
              <w:rPr>
                <w:sz w:val="3"/>
                <w:szCs w:val="3"/>
                <w:color w:val="auto"/>
              </w:rPr>
            </w:pPr>
          </w:p>
        </w:tc>
        <w:tc>
          <w:tcPr>
            <w:tcW w:w="452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36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For 2021, bonuses were determined by the talent and compensation committee linked to key corporate objectives in five broad categories weighted as follows:</w:t>
      </w:r>
    </w:p>
    <w:p>
      <w:pPr>
        <w:spacing w:after="0" w:line="206" w:lineRule="exact"/>
        <w:rPr>
          <w:sz w:val="20"/>
          <w:szCs w:val="20"/>
          <w:color w:val="auto"/>
        </w:rPr>
      </w:pPr>
    </w:p>
    <w:tbl>
      <w:tblPr>
        <w:tblLayout w:type="fixed"/>
        <w:tblInd w:w="610" w:type="dxa"/>
        <w:tblCellMar>
          <w:top w:w="0" w:type="dxa"/>
          <w:left w:w="0" w:type="dxa"/>
          <w:bottom w:w="0" w:type="dxa"/>
          <w:right w:w="0" w:type="dxa"/>
        </w:tblCellMar>
      </w:tblPr>
      <w:tr>
        <w:trPr>
          <w:trHeight w:val="243"/>
        </w:trPr>
        <w:tc>
          <w:tcPr>
            <w:tcW w:w="65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Category</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Weighting</w:t>
            </w:r>
          </w:p>
        </w:tc>
      </w:tr>
      <w:tr>
        <w:trPr>
          <w:trHeight w:val="169"/>
        </w:trPr>
        <w:tc>
          <w:tcPr>
            <w:tcW w:w="6500" w:type="dxa"/>
            <w:vAlign w:val="bottom"/>
            <w:tcBorders>
              <w:left w:val="single" w:sz="8" w:color="auto"/>
              <w:right w:val="single" w:sz="8" w:color="auto"/>
            </w:tcBorders>
            <w:shd w:val="clear" w:color="auto" w:fill="CCEEFF"/>
          </w:tcPr>
          <w:p>
            <w:pPr>
              <w:ind w:left="80"/>
              <w:spacing w:after="0" w:line="169" w:lineRule="exact"/>
              <w:rPr>
                <w:sz w:val="20"/>
                <w:szCs w:val="20"/>
                <w:color w:val="auto"/>
              </w:rPr>
            </w:pPr>
            <w:r>
              <w:rPr>
                <w:rFonts w:ascii="Arial" w:cs="Arial" w:eastAsia="Arial" w:hAnsi="Arial"/>
                <w:sz w:val="18"/>
                <w:szCs w:val="18"/>
                <w:color w:val="auto"/>
              </w:rPr>
              <w:t xml:space="preserve">Financial and Corporate Development, </w:t>
            </w:r>
            <w:r>
              <w:rPr>
                <w:rFonts w:ascii="Arial" w:cs="Arial" w:eastAsia="Arial" w:hAnsi="Arial"/>
                <w:sz w:val="16"/>
                <w:szCs w:val="16"/>
                <w:color w:val="auto"/>
              </w:rPr>
              <w:t>including, among others, goals related to</w:t>
            </w:r>
          </w:p>
        </w:tc>
        <w:tc>
          <w:tcPr>
            <w:tcW w:w="2380" w:type="dxa"/>
            <w:vAlign w:val="bottom"/>
            <w:tcBorders>
              <w:right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30%</w:t>
            </w:r>
          </w:p>
        </w:tc>
      </w:tr>
      <w:tr>
        <w:trPr>
          <w:trHeight w:val="162"/>
        </w:trPr>
        <w:tc>
          <w:tcPr>
            <w:tcW w:w="6500" w:type="dxa"/>
            <w:vAlign w:val="bottom"/>
            <w:tcBorders>
              <w:left w:val="single" w:sz="8" w:color="auto"/>
              <w:right w:val="single" w:sz="8" w:color="auto"/>
            </w:tcBorders>
            <w:shd w:val="clear" w:color="auto" w:fill="CCEEFF"/>
          </w:tcPr>
          <w:p>
            <w:pPr>
              <w:ind w:left="80"/>
              <w:spacing w:after="0" w:line="162" w:lineRule="exact"/>
              <w:rPr>
                <w:sz w:val="20"/>
                <w:szCs w:val="20"/>
                <w:color w:val="auto"/>
              </w:rPr>
            </w:pPr>
            <w:r>
              <w:rPr>
                <w:rFonts w:ascii="Arial" w:cs="Arial" w:eastAsia="Arial" w:hAnsi="Arial"/>
                <w:sz w:val="16"/>
                <w:szCs w:val="16"/>
                <w:color w:val="auto"/>
              </w:rPr>
              <w:t>exceeding revenue of $4.7 million (achieved at $6.6 million), and meeting an operating</w:t>
            </w:r>
          </w:p>
        </w:tc>
        <w:tc>
          <w:tcPr>
            <w:tcW w:w="2380" w:type="dxa"/>
            <w:vAlign w:val="bottom"/>
            <w:tcBorders>
              <w:right w:val="single" w:sz="8" w:color="auto"/>
            </w:tcBorders>
            <w:shd w:val="clear" w:color="auto" w:fill="CCEEFF"/>
          </w:tcPr>
          <w:p>
            <w:pPr>
              <w:spacing w:after="0"/>
              <w:rPr>
                <w:sz w:val="14"/>
                <w:szCs w:val="14"/>
                <w:color w:val="auto"/>
              </w:rPr>
            </w:pPr>
          </w:p>
        </w:tc>
      </w:tr>
      <w:tr>
        <w:trPr>
          <w:trHeight w:val="162"/>
        </w:trPr>
        <w:tc>
          <w:tcPr>
            <w:tcW w:w="6500" w:type="dxa"/>
            <w:vAlign w:val="bottom"/>
            <w:tcBorders>
              <w:left w:val="single" w:sz="8" w:color="auto"/>
              <w:right w:val="single" w:sz="8" w:color="auto"/>
            </w:tcBorders>
            <w:shd w:val="clear" w:color="auto" w:fill="CCEEFF"/>
          </w:tcPr>
          <w:p>
            <w:pPr>
              <w:ind w:left="80"/>
              <w:spacing w:after="0" w:line="162" w:lineRule="exact"/>
              <w:rPr>
                <w:sz w:val="20"/>
                <w:szCs w:val="20"/>
                <w:color w:val="auto"/>
              </w:rPr>
            </w:pPr>
            <w:r>
              <w:rPr>
                <w:rFonts w:ascii="Arial" w:cs="Arial" w:eastAsia="Arial" w:hAnsi="Arial"/>
                <w:sz w:val="16"/>
                <w:szCs w:val="16"/>
                <w:color w:val="auto"/>
              </w:rPr>
              <w:t>expense (excluding stock-based compensation, depreciation and amortization, and</w:t>
            </w:r>
          </w:p>
        </w:tc>
        <w:tc>
          <w:tcPr>
            <w:tcW w:w="2380" w:type="dxa"/>
            <w:vAlign w:val="bottom"/>
            <w:tcBorders>
              <w:right w:val="single" w:sz="8" w:color="auto"/>
            </w:tcBorders>
            <w:shd w:val="clear" w:color="auto" w:fill="CCEEFF"/>
          </w:tcPr>
          <w:p>
            <w:pPr>
              <w:spacing w:after="0"/>
              <w:rPr>
                <w:sz w:val="14"/>
                <w:szCs w:val="14"/>
                <w:color w:val="auto"/>
              </w:rPr>
            </w:pPr>
          </w:p>
        </w:tc>
      </w:tr>
      <w:tr>
        <w:trPr>
          <w:trHeight w:val="215"/>
        </w:trPr>
        <w:tc>
          <w:tcPr>
            <w:tcW w:w="650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milestone-based reserved release) target of $46.5 million (achieved at $46.4 million)</w:t>
            </w:r>
          </w:p>
        </w:tc>
        <w:tc>
          <w:tcPr>
            <w:tcW w:w="23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70"/>
        </w:trPr>
        <w:tc>
          <w:tcPr>
            <w:tcW w:w="6500" w:type="dxa"/>
            <w:vAlign w:val="bottom"/>
            <w:tcBorders>
              <w:left w:val="single" w:sz="8" w:color="auto"/>
              <w:right w:val="single" w:sz="8" w:color="auto"/>
            </w:tcBorders>
          </w:tcPr>
          <w:p>
            <w:pPr>
              <w:ind w:left="80"/>
              <w:spacing w:after="0" w:line="170" w:lineRule="exact"/>
              <w:rPr>
                <w:sz w:val="20"/>
                <w:szCs w:val="20"/>
                <w:color w:val="auto"/>
              </w:rPr>
            </w:pPr>
            <w:r>
              <w:rPr>
                <w:rFonts w:ascii="Arial" w:cs="Arial" w:eastAsia="Arial" w:hAnsi="Arial"/>
                <w:sz w:val="18"/>
                <w:szCs w:val="18"/>
                <w:color w:val="auto"/>
              </w:rPr>
              <w:t xml:space="preserve">Commercial, </w:t>
            </w:r>
            <w:r>
              <w:rPr>
                <w:rFonts w:ascii="Arial" w:cs="Arial" w:eastAsia="Arial" w:hAnsi="Arial"/>
                <w:sz w:val="16"/>
                <w:szCs w:val="16"/>
                <w:color w:val="auto"/>
              </w:rPr>
              <w:t>including, among other goals, goals related to entering into early access</w:t>
            </w:r>
          </w:p>
        </w:tc>
        <w:tc>
          <w:tcPr>
            <w:tcW w:w="238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20%</w:t>
            </w:r>
          </w:p>
        </w:tc>
      </w:tr>
      <w:tr>
        <w:trPr>
          <w:trHeight w:val="215"/>
        </w:trPr>
        <w:tc>
          <w:tcPr>
            <w:tcW w:w="6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limited release agreements and shipments to early access limited release customers</w:t>
            </w:r>
          </w:p>
        </w:tc>
        <w:tc>
          <w:tcPr>
            <w:tcW w:w="2380" w:type="dxa"/>
            <w:vAlign w:val="bottom"/>
            <w:tcBorders>
              <w:bottom w:val="single" w:sz="8" w:color="auto"/>
              <w:right w:val="single" w:sz="8" w:color="auto"/>
            </w:tcBorders>
          </w:tcPr>
          <w:p>
            <w:pPr>
              <w:spacing w:after="0"/>
              <w:rPr>
                <w:sz w:val="18"/>
                <w:szCs w:val="18"/>
                <w:color w:val="auto"/>
              </w:rPr>
            </w:pPr>
          </w:p>
        </w:tc>
      </w:tr>
      <w:tr>
        <w:trPr>
          <w:trHeight w:val="170"/>
        </w:trPr>
        <w:tc>
          <w:tcPr>
            <w:tcW w:w="6500" w:type="dxa"/>
            <w:vAlign w:val="bottom"/>
            <w:tcBorders>
              <w:left w:val="single" w:sz="8" w:color="auto"/>
              <w:right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 xml:space="preserve">Product and Product Development, </w:t>
            </w:r>
            <w:r>
              <w:rPr>
                <w:rFonts w:ascii="Arial" w:cs="Arial" w:eastAsia="Arial" w:hAnsi="Arial"/>
                <w:sz w:val="16"/>
                <w:szCs w:val="16"/>
                <w:color w:val="auto"/>
              </w:rPr>
              <w:t>including, among others, goals related to</w:t>
            </w:r>
          </w:p>
        </w:tc>
        <w:tc>
          <w:tcPr>
            <w:tcW w:w="2380" w:type="dxa"/>
            <w:vAlign w:val="bottom"/>
            <w:tcBorders>
              <w:right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9"/>
              </w:rPr>
              <w:t>20%</w:t>
            </w:r>
          </w:p>
        </w:tc>
      </w:tr>
      <w:tr>
        <w:trPr>
          <w:trHeight w:val="162"/>
        </w:trPr>
        <w:tc>
          <w:tcPr>
            <w:tcW w:w="6500" w:type="dxa"/>
            <w:vAlign w:val="bottom"/>
            <w:tcBorders>
              <w:left w:val="single" w:sz="8" w:color="auto"/>
              <w:right w:val="single" w:sz="8" w:color="auto"/>
            </w:tcBorders>
            <w:shd w:val="clear" w:color="auto" w:fill="CCEEFF"/>
          </w:tcPr>
          <w:p>
            <w:pPr>
              <w:ind w:left="80"/>
              <w:spacing w:after="0" w:line="162" w:lineRule="exact"/>
              <w:rPr>
                <w:sz w:val="20"/>
                <w:szCs w:val="20"/>
                <w:color w:val="auto"/>
              </w:rPr>
            </w:pPr>
            <w:r>
              <w:rPr>
                <w:rFonts w:ascii="Arial" w:cs="Arial" w:eastAsia="Arial" w:hAnsi="Arial"/>
                <w:sz w:val="16"/>
                <w:szCs w:val="16"/>
                <w:color w:val="auto"/>
              </w:rPr>
              <w:t>developing a pipeline for proteogenomics data, and exceeding metrics in customer</w:t>
            </w:r>
          </w:p>
        </w:tc>
        <w:tc>
          <w:tcPr>
            <w:tcW w:w="2380" w:type="dxa"/>
            <w:vAlign w:val="bottom"/>
            <w:tcBorders>
              <w:right w:val="single" w:sz="8" w:color="auto"/>
            </w:tcBorders>
            <w:shd w:val="clear" w:color="auto" w:fill="CCEEFF"/>
          </w:tcPr>
          <w:p>
            <w:pPr>
              <w:spacing w:after="0"/>
              <w:rPr>
                <w:sz w:val="14"/>
                <w:szCs w:val="14"/>
                <w:color w:val="auto"/>
              </w:rPr>
            </w:pPr>
          </w:p>
        </w:tc>
      </w:tr>
      <w:tr>
        <w:trPr>
          <w:trHeight w:val="215"/>
        </w:trPr>
        <w:tc>
          <w:tcPr>
            <w:tcW w:w="650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satisfaction surveys</w:t>
            </w:r>
          </w:p>
        </w:tc>
        <w:tc>
          <w:tcPr>
            <w:tcW w:w="23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70"/>
        </w:trPr>
        <w:tc>
          <w:tcPr>
            <w:tcW w:w="6500" w:type="dxa"/>
            <w:vAlign w:val="bottom"/>
            <w:tcBorders>
              <w:left w:val="single" w:sz="8" w:color="auto"/>
              <w:right w:val="single" w:sz="8" w:color="auto"/>
            </w:tcBorders>
          </w:tcPr>
          <w:p>
            <w:pPr>
              <w:ind w:left="80"/>
              <w:spacing w:after="0" w:line="170" w:lineRule="exact"/>
              <w:rPr>
                <w:sz w:val="20"/>
                <w:szCs w:val="20"/>
                <w:color w:val="auto"/>
              </w:rPr>
            </w:pPr>
            <w:r>
              <w:rPr>
                <w:rFonts w:ascii="Arial" w:cs="Arial" w:eastAsia="Arial" w:hAnsi="Arial"/>
                <w:sz w:val="18"/>
                <w:szCs w:val="18"/>
                <w:color w:val="auto"/>
              </w:rPr>
              <w:t xml:space="preserve">Research, </w:t>
            </w:r>
            <w:r>
              <w:rPr>
                <w:rFonts w:ascii="Arial" w:cs="Arial" w:eastAsia="Arial" w:hAnsi="Arial"/>
                <w:sz w:val="16"/>
                <w:szCs w:val="16"/>
                <w:color w:val="auto"/>
              </w:rPr>
              <w:t>including, among other goals, goals to advance our next product, and</w:t>
            </w:r>
          </w:p>
        </w:tc>
        <w:tc>
          <w:tcPr>
            <w:tcW w:w="238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15%</w:t>
            </w:r>
          </w:p>
        </w:tc>
      </w:tr>
      <w:tr>
        <w:trPr>
          <w:trHeight w:val="215"/>
        </w:trPr>
        <w:tc>
          <w:tcPr>
            <w:tcW w:w="6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present data at scientific conferences and in peer reviewed publications</w:t>
            </w:r>
          </w:p>
        </w:tc>
        <w:tc>
          <w:tcPr>
            <w:tcW w:w="2380" w:type="dxa"/>
            <w:vAlign w:val="bottom"/>
            <w:tcBorders>
              <w:bottom w:val="single" w:sz="8" w:color="auto"/>
              <w:right w:val="single" w:sz="8" w:color="auto"/>
            </w:tcBorders>
          </w:tcPr>
          <w:p>
            <w:pPr>
              <w:spacing w:after="0"/>
              <w:rPr>
                <w:sz w:val="18"/>
                <w:szCs w:val="18"/>
                <w:color w:val="auto"/>
              </w:rPr>
            </w:pPr>
          </w:p>
        </w:tc>
      </w:tr>
      <w:tr>
        <w:trPr>
          <w:trHeight w:val="170"/>
        </w:trPr>
        <w:tc>
          <w:tcPr>
            <w:tcW w:w="6500" w:type="dxa"/>
            <w:vAlign w:val="bottom"/>
            <w:tcBorders>
              <w:left w:val="single" w:sz="8" w:color="auto"/>
              <w:right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 xml:space="preserve">Organization, </w:t>
            </w:r>
            <w:r>
              <w:rPr>
                <w:rFonts w:ascii="Arial" w:cs="Arial" w:eastAsia="Arial" w:hAnsi="Arial"/>
                <w:sz w:val="16"/>
                <w:szCs w:val="16"/>
                <w:color w:val="auto"/>
              </w:rPr>
              <w:t>including among other goals, goals related to implementing a formal</w:t>
            </w:r>
          </w:p>
        </w:tc>
        <w:tc>
          <w:tcPr>
            <w:tcW w:w="2380" w:type="dxa"/>
            <w:vAlign w:val="bottom"/>
            <w:tcBorders>
              <w:right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9"/>
              </w:rPr>
              <w:t>15%</w:t>
            </w:r>
          </w:p>
        </w:tc>
      </w:tr>
      <w:tr>
        <w:trPr>
          <w:trHeight w:val="162"/>
        </w:trPr>
        <w:tc>
          <w:tcPr>
            <w:tcW w:w="6500" w:type="dxa"/>
            <w:vAlign w:val="bottom"/>
            <w:tcBorders>
              <w:left w:val="single" w:sz="8" w:color="auto"/>
              <w:right w:val="single" w:sz="8" w:color="auto"/>
            </w:tcBorders>
            <w:shd w:val="clear" w:color="auto" w:fill="CCEEFF"/>
          </w:tcPr>
          <w:p>
            <w:pPr>
              <w:ind w:left="80"/>
              <w:spacing w:after="0" w:line="162" w:lineRule="exact"/>
              <w:rPr>
                <w:sz w:val="20"/>
                <w:szCs w:val="20"/>
                <w:color w:val="auto"/>
              </w:rPr>
            </w:pPr>
            <w:r>
              <w:rPr>
                <w:rFonts w:ascii="Arial" w:cs="Arial" w:eastAsia="Arial" w:hAnsi="Arial"/>
                <w:sz w:val="16"/>
                <w:szCs w:val="16"/>
                <w:color w:val="auto"/>
              </w:rPr>
              <w:t>strategic planning process, and developing a differentiated recruitment and retention</w:t>
            </w:r>
          </w:p>
        </w:tc>
        <w:tc>
          <w:tcPr>
            <w:tcW w:w="2380" w:type="dxa"/>
            <w:vAlign w:val="bottom"/>
            <w:tcBorders>
              <w:right w:val="single" w:sz="8" w:color="auto"/>
            </w:tcBorders>
            <w:shd w:val="clear" w:color="auto" w:fill="CCEEFF"/>
          </w:tcPr>
          <w:p>
            <w:pPr>
              <w:spacing w:after="0"/>
              <w:rPr>
                <w:sz w:val="14"/>
                <w:szCs w:val="14"/>
                <w:color w:val="auto"/>
              </w:rPr>
            </w:pPr>
          </w:p>
        </w:tc>
      </w:tr>
      <w:tr>
        <w:trPr>
          <w:trHeight w:val="215"/>
        </w:trPr>
        <w:tc>
          <w:tcPr>
            <w:tcW w:w="650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process</w:t>
            </w:r>
          </w:p>
        </w:tc>
        <w:tc>
          <w:tcPr>
            <w:tcW w:w="238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305"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Each of our revenue and operating expense measures were based on US generally accepted accounting principles (GAAP). The corporate goal categories were more heavily weighted towards the more critical strategic and operating areas that are aligned with the best interests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shareholders.</w:t>
      </w:r>
    </w:p>
    <w:p>
      <w:pPr>
        <w:sectPr>
          <w:pgSz w:w="11900" w:h="16838" w:orient="portrait"/>
          <w:cols w:equalWidth="0" w:num="1">
            <w:col w:w="11160"/>
          </w:cols>
          <w:pgMar w:left="320" w:top="141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160"/>
          </w:cols>
          <w:pgMar w:left="320" w:top="1417" w:right="419" w:bottom="1440" w:gutter="0" w:footer="0" w:header="0"/>
          <w:type w:val="continuous"/>
        </w:sectPr>
      </w:pPr>
    </w:p>
    <w:bookmarkStart w:id="50" w:name="page51"/>
    <w:bookmarkEnd w:id="50"/>
    <w:p>
      <w:pPr>
        <w:spacing w:after="0" w:line="22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addition to supporting the corporate goals by providing department resources and functional expertise, individual objectives for our named executive officers, other than Dr. Farokhzad, were specific to each officer’s area of responsibility, such as achieving compliance with requirements under the Sarbanes-Oxley Act as a large accelerated filer for Mr. Horn, expanding the patent portfolio for Ms. Kogan, and achieving commercial readiness for broad release for Mr. Ostadan.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general, corporate objectives and individual objectives for each named executive officer are set at levels that were considered difficult to</w:t>
      </w:r>
    </w:p>
    <w:p>
      <w:pPr>
        <w:ind w:right="40"/>
        <w:spacing w:after="0" w:line="229" w:lineRule="auto"/>
        <w:rPr>
          <w:sz w:val="20"/>
          <w:szCs w:val="20"/>
          <w:color w:val="auto"/>
        </w:rPr>
      </w:pPr>
      <w:r>
        <w:rPr>
          <w:rFonts w:ascii="Arial" w:cs="Arial" w:eastAsia="Arial" w:hAnsi="Arial"/>
          <w:sz w:val="18"/>
          <w:szCs w:val="18"/>
          <w:color w:val="auto"/>
        </w:rPr>
        <w:t>achieve, but achievable with significant effort, and if achieved at 100% would have exceeded the Company’s operational expectations for the measurement period.</w:t>
      </w:r>
    </w:p>
    <w:p>
      <w:pPr>
        <w:spacing w:after="0" w:line="195"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On February 8, 2022, the talent and compensation committee evaluated our achievement of the 2021 corporate objectives. The talent and compensation committee considered whether we had achieved specific goals in each category of our corporate objectives, including any over achievement in each category, the weighting established for each category, and our overall corporate performance in 2021. We</w:t>
      </w:r>
    </w:p>
    <w:p>
      <w:pPr>
        <w:spacing w:after="0" w:line="2"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achieved 2021 revenue of $6.6 million and operating expenses (excluding stock-based compensation, depreciation and amortization and milestone-based reserve release) of $46.4 million, which exceeded the revenue target by 40% and met the operating expense target.</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Combined with achievement of the remaining corporate goals, the talent and compensation committee approved a 110% achievement level of our 2021 corporate objectives.</w:t>
      </w:r>
    </w:p>
    <w:p>
      <w:pPr>
        <w:spacing w:after="0" w:line="1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At the close of the applicable fiscal year, the talent and compensation committee comes to a general, subjective conclusion as to whether the corporate goals and the individual goals were met, and whether there were any other factors that should be considered in determining the amount of bonus earned for the year. The talent and compensation committee may decide to pay bonuses to the named executive officers even if the specified performance goals are not met, in recognition of the Company’s performance throughout the year in meeting other objectives not contemplated at the beginning of the performance period, or alternatively may determine to decrease or eliminate bonuses even if goals are achieved after weighing factors such as those not specifically set at the beginning of the year. In making the final decision on the corporate goal achievement, the talent and compensation committee also considers the review of the year-end financial results. In sum, the amount of bonus compensation that is actually earned by our named executive officers may be influenced by subjective determinations by our talent and compensation committee. The talent and compensation committee believes that maintaining discretion to</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evaluate corporate performance at the close of the year based on the totality of the circumstances, and to award or fail to award bonus compensation without reliance on rote calculations under set formulas, is appropriate in responsibly discharging its duties, particularly for a</w:t>
      </w:r>
    </w:p>
    <w:p>
      <w:pPr>
        <w:spacing w:after="0" w:line="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Company at our growth stage. Our talent and compensation committee may award a bonus in an amount above or below the amount resulting from the calculation described above, based on other factors that our talent and compensation committee determines, in its sole discretion, are material to our corporate performance and provide appropriate incentives to our executives, for example based on events or circumstances that arise after the original goals are set. Payouts of earned bonuses, if any, are generally made in the year following the year of performance, and subject to the recipient’s continued employment with us through the payment date.</w:t>
      </w:r>
    </w:p>
    <w:p>
      <w:pPr>
        <w:spacing w:after="0" w:line="20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October 2021, we entered into a leave of absence agreement with Mr. Ostadan, which, among other things, resulted in the suspension of Mr. Ostadan’s base salary, confirmation of the vesting suspension of his equity awards and the proration of his 2021 bonus opportunity to</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reflect his leave of absence, which would have resulted in a prorated target bonus opportunity for Mr. Ostadan of $191,670. After review and consideration of Mr. Ostadan’s strong performance and significant contributions to the Company during 2021, including the commencement</w:t>
      </w:r>
    </w:p>
    <w:p>
      <w:pPr>
        <w:spacing w:after="0" w:line="1"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of the broad commercial release of the Proteograph Product Suite, the talent and compensation committee awarded Mr. Ostadan a non-prorated bonus for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Bonus payments made for 2021 performance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440" w:right="359" w:bottom="1440" w:gutter="0" w:footer="0" w:header="0"/>
        </w:sectPr>
      </w:pPr>
    </w:p>
    <w:bookmarkStart w:id="51" w:name="page52"/>
    <w:bookmarkEnd w:id="5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326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Name</w:t>
            </w:r>
          </w:p>
        </w:tc>
        <w:tc>
          <w:tcPr>
            <w:tcW w:w="2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2021 Target Bonus</w:t>
            </w:r>
          </w:p>
        </w:tc>
        <w:tc>
          <w:tcPr>
            <w:tcW w:w="2160" w:type="dxa"/>
            <w:vAlign w:val="bottom"/>
            <w:tcBorders>
              <w:top w:val="single" w:sz="8" w:color="auto"/>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2021 Bonus Payout</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 Bonus Payout (% of</w:t>
            </w:r>
          </w:p>
        </w:tc>
        <w:tc>
          <w:tcPr>
            <w:tcW w:w="0" w:type="dxa"/>
            <w:vAlign w:val="bottom"/>
          </w:tcPr>
          <w:p>
            <w:pPr>
              <w:spacing w:after="0"/>
              <w:rPr>
                <w:sz w:val="1"/>
                <w:szCs w:val="1"/>
                <w:color w:val="auto"/>
              </w:rPr>
            </w:pPr>
          </w:p>
        </w:tc>
      </w:tr>
      <w:tr>
        <w:trPr>
          <w:trHeight w:val="125"/>
        </w:trPr>
        <w:tc>
          <w:tcPr>
            <w:tcW w:w="3260" w:type="dxa"/>
            <w:vAlign w:val="bottom"/>
            <w:tcBorders>
              <w:left w:val="single" w:sz="8" w:color="auto"/>
              <w:right w:val="single" w:sz="8" w:color="auto"/>
            </w:tcBorders>
            <w:vMerge w:val="continue"/>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Target)</w:t>
            </w:r>
          </w:p>
        </w:tc>
        <w:tc>
          <w:tcPr>
            <w:tcW w:w="0" w:type="dxa"/>
            <w:vAlign w:val="bottom"/>
          </w:tcPr>
          <w:p>
            <w:pPr>
              <w:spacing w:after="0"/>
              <w:rPr>
                <w:sz w:val="1"/>
                <w:szCs w:val="1"/>
                <w:color w:val="auto"/>
              </w:rPr>
            </w:pPr>
          </w:p>
        </w:tc>
      </w:tr>
      <w:tr>
        <w:trPr>
          <w:trHeight w:val="121"/>
        </w:trPr>
        <w:tc>
          <w:tcPr>
            <w:tcW w:w="3260" w:type="dxa"/>
            <w:vAlign w:val="bottom"/>
            <w:tcBorders>
              <w:left w:val="single" w:sz="8" w:color="auto"/>
              <w:right w:val="single" w:sz="8" w:color="auto"/>
            </w:tcBorders>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26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Omid Farokhzad, M.D.</w:t>
            </w:r>
          </w:p>
        </w:tc>
        <w:tc>
          <w:tcPr>
            <w:tcW w:w="2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shd w:val="clear" w:color="auto" w:fill="CCEEFF"/>
              </w:rPr>
              <w:t>$344,760</w:t>
            </w:r>
          </w:p>
        </w:tc>
        <w:tc>
          <w:tcPr>
            <w:tcW w:w="2160" w:type="dxa"/>
            <w:vAlign w:val="bottom"/>
            <w:tcBorders>
              <w:bottom w:val="single" w:sz="8" w:color="CCEEFF"/>
              <w:right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shd w:val="clear" w:color="auto" w:fill="CCEEFF"/>
              </w:rPr>
              <w:t>$389,579</w:t>
            </w:r>
          </w:p>
        </w:tc>
        <w:tc>
          <w:tcPr>
            <w:tcW w:w="26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shd w:val="clear" w:color="auto" w:fill="CCEEFF"/>
              </w:rPr>
              <w:t>113%</w:t>
            </w:r>
          </w:p>
        </w:tc>
        <w:tc>
          <w:tcPr>
            <w:tcW w:w="0" w:type="dxa"/>
            <w:vAlign w:val="bottom"/>
          </w:tcPr>
          <w:p>
            <w:pPr>
              <w:spacing w:after="0"/>
              <w:rPr>
                <w:sz w:val="1"/>
                <w:szCs w:val="1"/>
                <w:color w:val="auto"/>
              </w:rPr>
            </w:pPr>
          </w:p>
        </w:tc>
      </w:tr>
      <w:tr>
        <w:trPr>
          <w:trHeight w:val="241"/>
        </w:trPr>
        <w:tc>
          <w:tcPr>
            <w:tcW w:w="3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Omead Ostadan</w:t>
            </w: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$201,005</w:t>
            </w:r>
          </w:p>
        </w:tc>
        <w:tc>
          <w:tcPr>
            <w:tcW w:w="2160" w:type="dxa"/>
            <w:vAlign w:val="bottom"/>
            <w:tcBorders>
              <w:top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$231,157</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37"/>
        </w:trPr>
        <w:tc>
          <w:tcPr>
            <w:tcW w:w="3260" w:type="dxa"/>
            <w:vAlign w:val="bottom"/>
            <w:tcBorders>
              <w:left w:val="single" w:sz="8" w:color="auto"/>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3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David Horn</w:t>
            </w:r>
          </w:p>
        </w:tc>
        <w:tc>
          <w:tcPr>
            <w:tcW w:w="2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shd w:val="clear" w:color="auto" w:fill="CCEEFF"/>
              </w:rPr>
              <w:t>$163,039</w:t>
            </w:r>
          </w:p>
        </w:tc>
        <w:tc>
          <w:tcPr>
            <w:tcW w:w="2160" w:type="dxa"/>
            <w:vAlign w:val="bottom"/>
            <w:tcBorders>
              <w:bottom w:val="single" w:sz="8" w:color="CCEEFF"/>
              <w:right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shd w:val="clear" w:color="auto" w:fill="CCEEFF"/>
              </w:rPr>
              <w:t>$183,419</w:t>
            </w:r>
          </w:p>
        </w:tc>
        <w:tc>
          <w:tcPr>
            <w:tcW w:w="26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shd w:val="clear" w:color="auto" w:fill="CCEEFF"/>
              </w:rPr>
              <w:t>113%</w:t>
            </w:r>
          </w:p>
        </w:tc>
        <w:tc>
          <w:tcPr>
            <w:tcW w:w="0" w:type="dxa"/>
            <w:vAlign w:val="bottom"/>
          </w:tcPr>
          <w:p>
            <w:pPr>
              <w:spacing w:after="0"/>
              <w:rPr>
                <w:sz w:val="1"/>
                <w:szCs w:val="1"/>
                <w:color w:val="auto"/>
              </w:rPr>
            </w:pPr>
          </w:p>
        </w:tc>
      </w:tr>
      <w:tr>
        <w:trPr>
          <w:trHeight w:val="241"/>
        </w:trPr>
        <w:tc>
          <w:tcPr>
            <w:tcW w:w="3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Elona Kogan</w:t>
            </w: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$150,000</w:t>
            </w:r>
          </w:p>
        </w:tc>
        <w:tc>
          <w:tcPr>
            <w:tcW w:w="2160" w:type="dxa"/>
            <w:vAlign w:val="bottom"/>
            <w:tcBorders>
              <w:top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$168,750</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36"/>
        </w:trPr>
        <w:tc>
          <w:tcPr>
            <w:tcW w:w="3260" w:type="dxa"/>
            <w:vAlign w:val="bottom"/>
            <w:tcBorders>
              <w:left w:val="single" w:sz="8" w:color="auto"/>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250"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Our focus on long-term value creation results in our executive compensation program having a strong weighting toward equity compensation. We rely heavily on equity compensation that vests over a multi-year period to ensure that a significant portion of a named executive officer’s compensation opportunity is related to factors that directly and indirectly influence stockholder value. Our talent and compensation committee believes this serves as a reward for appreciation in our stock price, long-term value creation and enables us to achieve our retention objectives. Further, equity participation establishes a sense of ownership and aligns executives’ interests with those of our other stockholders.</w:t>
      </w:r>
    </w:p>
    <w:p>
      <w:pPr>
        <w:spacing w:after="0" w:line="20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annual equity awards to our executives take the form of stock options and restricted stock units (RSUs). We believe that stock options, when granted with per share exercise prices equal to the closing price of a share of our common stock on the date of grant, are inherently performance oriented and provide an appropriate long-term incentive for our executive officers, since the stock options reward them only to the extent that our stock price increases and stockholders realize value following the options’ grant date. Furthermore, we believe that RSU awards provide tangible value to our executive officers and serve as an incentive and retention tool during a difficult operating or volatile business environment, while still being tied to stockholder value. Additionally, RSU awards enable our executive officers to accumulate stock ownership in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Annual Equity Grants</w:t>
      </w:r>
    </w:p>
    <w:p>
      <w:pPr>
        <w:spacing w:after="0" w:line="264"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We grant equity awards to our named executive officers as part of the talent and compensation committee’s annual review of executive compensation. The talent and compensation committee has not applied a rigid formula in determining the size of these equity awards or mix between options and RSUs. In February 2021, the talent and compensation committee reviewed and approved the option and RSU grants for the named executive officers, basing its decision on a market assessment of peer companies, as well as by utilizing a blend of factors that included value of equity compensation and Company ownership. Once determined by the talent and compensation committee, annual equity grants were equally split between stock options and RSUs as follows:</w:t>
      </w:r>
    </w:p>
    <w:p>
      <w:pPr>
        <w:spacing w:after="0" w:line="222" w:lineRule="exact"/>
        <w:rPr>
          <w:sz w:val="20"/>
          <w:szCs w:val="20"/>
          <w:color w:val="auto"/>
        </w:rPr>
      </w:pPr>
    </w:p>
    <w:tbl>
      <w:tblPr>
        <w:tblLayout w:type="fixed"/>
        <w:tblInd w:w="670" w:type="dxa"/>
        <w:tblCellMar>
          <w:top w:w="0" w:type="dxa"/>
          <w:left w:w="0" w:type="dxa"/>
          <w:bottom w:w="0" w:type="dxa"/>
          <w:right w:w="0" w:type="dxa"/>
        </w:tblCellMar>
      </w:tblPr>
      <w:tr>
        <w:trPr>
          <w:trHeight w:val="243"/>
        </w:trPr>
        <w:tc>
          <w:tcPr>
            <w:tcW w:w="3860" w:type="dxa"/>
            <w:vAlign w:val="bottom"/>
            <w:tcBorders>
              <w:top w:val="single" w:sz="8" w:color="auto"/>
              <w:left w:val="single" w:sz="8" w:color="auto"/>
              <w:right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RSUs</w:t>
            </w:r>
          </w:p>
        </w:tc>
        <w:tc>
          <w:tcPr>
            <w:tcW w:w="2560" w:type="dxa"/>
            <w:vAlign w:val="bottom"/>
            <w:tcBorders>
              <w:top w:val="single" w:sz="8" w:color="auto"/>
              <w:bottom w:val="single" w:sz="8" w:color="auto"/>
              <w:right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Stock Options</w:t>
            </w:r>
          </w:p>
        </w:tc>
        <w:tc>
          <w:tcPr>
            <w:tcW w:w="0" w:type="dxa"/>
            <w:vAlign w:val="bottom"/>
          </w:tcPr>
          <w:p>
            <w:pPr>
              <w:spacing w:after="0"/>
              <w:rPr>
                <w:sz w:val="1"/>
                <w:szCs w:val="1"/>
                <w:color w:val="auto"/>
              </w:rPr>
            </w:pPr>
          </w:p>
        </w:tc>
      </w:tr>
      <w:tr>
        <w:trPr>
          <w:trHeight w:val="274"/>
        </w:trPr>
        <w:tc>
          <w:tcPr>
            <w:tcW w:w="3860" w:type="dxa"/>
            <w:vAlign w:val="bottom"/>
            <w:tcBorders>
              <w:left w:val="single" w:sz="8" w:color="auto"/>
              <w:right w:val="single" w:sz="8" w:color="auto"/>
            </w:tcBorders>
          </w:tcPr>
          <w:p>
            <w:pPr>
              <w:spacing w:after="0"/>
              <w:rPr>
                <w:sz w:val="23"/>
                <w:szCs w:val="23"/>
                <w:color w:val="auto"/>
              </w:rPr>
            </w:pPr>
          </w:p>
        </w:tc>
        <w:tc>
          <w:tcPr>
            <w:tcW w:w="960" w:type="dxa"/>
            <w:vAlign w:val="bottom"/>
            <w:vMerge w:val="restart"/>
          </w:tcPr>
          <w:p>
            <w:pPr>
              <w:jc w:val="center"/>
              <w:ind w:left="170"/>
              <w:spacing w:after="0"/>
              <w:rPr>
                <w:sz w:val="20"/>
                <w:szCs w:val="20"/>
                <w:color w:val="auto"/>
              </w:rPr>
            </w:pPr>
            <w:r>
              <w:rPr>
                <w:rFonts w:ascii="Arial" w:cs="Arial" w:eastAsia="Arial" w:hAnsi="Arial"/>
                <w:sz w:val="18"/>
                <w:szCs w:val="18"/>
                <w:b w:val="1"/>
                <w:bCs w:val="1"/>
                <w:i w:val="1"/>
                <w:iCs w:val="1"/>
                <w:color w:val="auto"/>
                <w:w w:val="99"/>
              </w:rPr>
              <w:t>(#)</w:t>
            </w:r>
          </w:p>
        </w:tc>
        <w:tc>
          <w:tcPr>
            <w:tcW w:w="280" w:type="dxa"/>
            <w:vAlign w:val="bottom"/>
            <w:tcBorders>
              <w:right w:val="single" w:sz="8" w:color="auto"/>
            </w:tcBorders>
          </w:tcPr>
          <w:p>
            <w:pPr>
              <w:spacing w:after="0"/>
              <w:rPr>
                <w:sz w:val="23"/>
                <w:szCs w:val="23"/>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9"/>
              </w:rPr>
              <w:t>Grant Date</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i w:val="1"/>
                <w:iCs w:val="1"/>
                <w:color w:val="auto"/>
                <w:w w:val="99"/>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9"/>
              </w:rPr>
              <w:t>Grant Date</w:t>
            </w:r>
          </w:p>
        </w:tc>
        <w:tc>
          <w:tcPr>
            <w:tcW w:w="0" w:type="dxa"/>
            <w:vAlign w:val="bottom"/>
          </w:tcPr>
          <w:p>
            <w:pPr>
              <w:spacing w:after="0"/>
              <w:rPr>
                <w:sz w:val="1"/>
                <w:szCs w:val="1"/>
                <w:color w:val="auto"/>
              </w:rPr>
            </w:pPr>
          </w:p>
        </w:tc>
      </w:tr>
      <w:tr>
        <w:trPr>
          <w:trHeight w:val="150"/>
        </w:trPr>
        <w:tc>
          <w:tcPr>
            <w:tcW w:w="38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Name</w:t>
            </w:r>
          </w:p>
        </w:tc>
        <w:tc>
          <w:tcPr>
            <w:tcW w:w="960" w:type="dxa"/>
            <w:vAlign w:val="bottom"/>
            <w:vMerge w:val="continue"/>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i w:val="1"/>
                <w:iCs w:val="1"/>
                <w:color w:val="auto"/>
                <w:w w:val="99"/>
              </w:rPr>
              <w:t>Fair Value* ($)</w:t>
            </w:r>
          </w:p>
        </w:tc>
        <w:tc>
          <w:tcPr>
            <w:tcW w:w="1240" w:type="dxa"/>
            <w:vAlign w:val="bottom"/>
            <w:tcBorders>
              <w:right w:val="single" w:sz="8" w:color="auto"/>
            </w:tcBorders>
            <w:vMerge w:val="continue"/>
          </w:tcPr>
          <w:p>
            <w:pPr>
              <w:spacing w:after="0"/>
              <w:rPr>
                <w:sz w:val="13"/>
                <w:szCs w:val="13"/>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i w:val="1"/>
                <w:iCs w:val="1"/>
                <w:color w:val="auto"/>
                <w:w w:val="99"/>
              </w:rPr>
              <w:t>Fair Value* ($)</w:t>
            </w:r>
          </w:p>
        </w:tc>
        <w:tc>
          <w:tcPr>
            <w:tcW w:w="0" w:type="dxa"/>
            <w:vAlign w:val="bottom"/>
          </w:tcPr>
          <w:p>
            <w:pPr>
              <w:spacing w:after="0"/>
              <w:rPr>
                <w:sz w:val="1"/>
                <w:szCs w:val="1"/>
                <w:color w:val="auto"/>
              </w:rPr>
            </w:pPr>
          </w:p>
        </w:tc>
      </w:tr>
      <w:tr>
        <w:trPr>
          <w:trHeight w:val="94"/>
        </w:trPr>
        <w:tc>
          <w:tcPr>
            <w:tcW w:w="386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8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Omid Farokhzad, M.D.</w:t>
            </w:r>
          </w:p>
        </w:tc>
        <w:tc>
          <w:tcPr>
            <w:tcW w:w="96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rPr>
              <w:t>87,000</w:t>
            </w:r>
          </w:p>
        </w:tc>
        <w:tc>
          <w:tcPr>
            <w:tcW w:w="28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$5,233,100</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87,000</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$3,399,300</w:t>
            </w:r>
          </w:p>
        </w:tc>
        <w:tc>
          <w:tcPr>
            <w:tcW w:w="0" w:type="dxa"/>
            <w:vAlign w:val="bottom"/>
          </w:tcPr>
          <w:p>
            <w:pPr>
              <w:spacing w:after="0"/>
              <w:rPr>
                <w:sz w:val="1"/>
                <w:szCs w:val="1"/>
                <w:color w:val="auto"/>
              </w:rPr>
            </w:pPr>
          </w:p>
        </w:tc>
      </w:tr>
      <w:tr>
        <w:trPr>
          <w:trHeight w:val="223"/>
        </w:trPr>
        <w:tc>
          <w:tcPr>
            <w:tcW w:w="3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Omead Ostadan</w:t>
            </w:r>
          </w:p>
        </w:tc>
        <w:tc>
          <w:tcPr>
            <w:tcW w:w="9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rPr>
              <w:t>41,250</w:t>
            </w:r>
          </w:p>
        </w:tc>
        <w:tc>
          <w:tcPr>
            <w:tcW w:w="28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$2,481,200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41,250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$1,611,700</w:t>
            </w:r>
          </w:p>
        </w:tc>
        <w:tc>
          <w:tcPr>
            <w:tcW w:w="0" w:type="dxa"/>
            <w:vAlign w:val="bottom"/>
          </w:tcPr>
          <w:p>
            <w:pPr>
              <w:spacing w:after="0"/>
              <w:rPr>
                <w:sz w:val="1"/>
                <w:szCs w:val="1"/>
                <w:color w:val="auto"/>
              </w:rPr>
            </w:pPr>
          </w:p>
        </w:tc>
      </w:tr>
      <w:tr>
        <w:trPr>
          <w:trHeight w:val="223"/>
        </w:trPr>
        <w:tc>
          <w:tcPr>
            <w:tcW w:w="38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David Horn</w:t>
            </w:r>
          </w:p>
        </w:tc>
        <w:tc>
          <w:tcPr>
            <w:tcW w:w="96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rPr>
              <w:t>34,125</w:t>
            </w:r>
          </w:p>
        </w:tc>
        <w:tc>
          <w:tcPr>
            <w:tcW w:w="28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$2,052,600</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34,125</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$1,333,300</w:t>
            </w:r>
          </w:p>
        </w:tc>
        <w:tc>
          <w:tcPr>
            <w:tcW w:w="0" w:type="dxa"/>
            <w:vAlign w:val="bottom"/>
          </w:tcPr>
          <w:p>
            <w:pPr>
              <w:spacing w:after="0"/>
              <w:rPr>
                <w:sz w:val="1"/>
                <w:szCs w:val="1"/>
                <w:color w:val="auto"/>
              </w:rPr>
            </w:pPr>
          </w:p>
        </w:tc>
      </w:tr>
      <w:tr>
        <w:trPr>
          <w:trHeight w:val="223"/>
        </w:trPr>
        <w:tc>
          <w:tcPr>
            <w:tcW w:w="3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Elona Kogan**</w:t>
            </w:r>
          </w:p>
        </w:tc>
        <w:tc>
          <w:tcPr>
            <w:tcW w:w="9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1440" w:right="519" w:bottom="1440" w:gutter="0" w:footer="0" w:header="0"/>
        </w:sectPr>
      </w:pPr>
    </w:p>
    <w:bookmarkStart w:id="52" w:name="page53"/>
    <w:bookmarkEnd w:id="52"/>
    <w:p>
      <w:pPr>
        <w:ind w:right="420" w:firstLine="8"/>
        <w:spacing w:after="0" w:line="256" w:lineRule="auto"/>
        <w:tabs>
          <w:tab w:leader="none" w:pos="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dollar amounts in this column represent the aggregate full grant date fair value of the equity awards calculated in accordance with FASB ASC Topic 718. Please see the Summary Compensation Table for more details regarding how this value is calculated.</w:t>
      </w:r>
    </w:p>
    <w:p>
      <w:pPr>
        <w:spacing w:after="0" w:line="206" w:lineRule="exact"/>
        <w:rPr>
          <w:sz w:val="20"/>
          <w:szCs w:val="20"/>
          <w:color w:val="auto"/>
        </w:rPr>
      </w:pPr>
    </w:p>
    <w:p>
      <w:pPr>
        <w:ind w:right="60" w:firstLine="8"/>
        <w:spacing w:after="0" w:line="287" w:lineRule="auto"/>
        <w:tabs>
          <w:tab w:leader="none" w:pos="19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Ms. Kogan did not receive an annual equity grant in 2021 because her employment commenced with us in November 2020, at which time she received new hire grants of stock options and RSUs.</w:t>
      </w:r>
    </w:p>
    <w:p>
      <w:pPr>
        <w:spacing w:after="0" w:line="166"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We believe that the multi-year vesting requirements applicable to both stock options and RSUs encourage employee retention. The 2021 RSUs grants to our named executive officers are scheduled to vest annually over a four-year period. One quarter of the 2021 option grants</w:t>
      </w:r>
    </w:p>
    <w:p>
      <w:pPr>
        <w:spacing w:after="0" w:line="1"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vest on the first anniversary of the date of grant and then monthly over a subsequent four-year period. Both types of equity awards are subject to the executive’s continuing service on each vesting date and to the vesting acceleration provisions of the company’s key executive change in control and severance plan, as discussed further below. Per the terms of our equity incentive plans and as confirmed under a</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leave of absence agreement with Mr. Ostadan, the vesting of Mr. Ostadan’s equity awards was suspended during his leave of absence. His leave of absence began in November 2021 and ended during February 2022.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Additional Compensation Policies and Practices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Arrangements with our Named Executive Officers</w:t>
      </w:r>
    </w:p>
    <w:p>
      <w:pPr>
        <w:spacing w:after="0" w:line="25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have entered into an employment letter with each of our named executive officers, and these letters contain the basic terms and conditions of their employment intended to attract, retain and motivate them. Each of the confirmatory employment letters has no specific term, and provides that the named executive officer is an at-will employee. Each of our named executive officers has executed our standard form of confidential information, invention assignment and arbitration agreement.</w:t>
      </w:r>
    </w:p>
    <w:p>
      <w:pPr>
        <w:spacing w:after="0" w:line="214"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For Dr. Farokhzad, his employment letter provides for reimbursement of reasonable travel and lodging expenses incurred by him for his travel between his primary residence and our offices in Redwood City, California, as well as for additional payments sufficient to make such reimbursements tax neutral to Dr. Farokhzad.</w:t>
      </w:r>
    </w:p>
    <w:p>
      <w:pPr>
        <w:spacing w:after="0" w:line="204"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For Mr. Ostadan, his employment letter similarly provides for reimbursement of reasonable travel and lodging expenses incurred by him for his work-related travel between his primary residence and our offices in Redwood City, California, up to $50,000 annually, as well as for additional payments sufficient to make such reimbursements tax neutral to Mr. Ostadan. These reimbursements are subject to Mr. Ostadan’s continued employment with us through the date the reimbursements are paid. Under the employment letter, the reimbursement for Mr. Ostadan will continue until the earlier of the date on which we open an office in San Diego, California, or the date on which Mr. Ostadan relocates his primary residence to Redwood City or surrounding Bay Area in California. These reimbursements ended in March 2021 when Seer officially opened an office in San Diego, CA.</w:t>
      </w:r>
    </w:p>
    <w:p>
      <w:pPr>
        <w:spacing w:after="0" w:line="199" w:lineRule="exact"/>
        <w:rPr>
          <w:sz w:val="20"/>
          <w:szCs w:val="20"/>
          <w:color w:val="auto"/>
        </w:rPr>
      </w:pPr>
    </w:p>
    <w:p>
      <w:pPr>
        <w:ind w:right="520"/>
        <w:spacing w:after="0" w:line="251" w:lineRule="auto"/>
        <w:rPr>
          <w:sz w:val="20"/>
          <w:szCs w:val="20"/>
          <w:color w:val="auto"/>
        </w:rPr>
      </w:pPr>
      <w:r>
        <w:rPr>
          <w:rFonts w:ascii="Arial" w:cs="Arial" w:eastAsia="Arial" w:hAnsi="Arial"/>
          <w:sz w:val="17"/>
          <w:szCs w:val="17"/>
          <w:color w:val="auto"/>
        </w:rPr>
        <w:t>In October 2021, we entered into a leave of absence agreement with Mr. Ostadan, which provided for the suspension of Mr. Ostadan’s salary, and confirmed the suspension of vesting of equity awards, during the leave of absence, and provided for the proration of Mr.</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Ostadan’s bonus opportunity. The talent and compensation committee believed this provided for fair treatment of his compensation during Mr. Ostadan’s leave of absence. As noted above under “Annual Cash Incentives,” the talent and compensation committee decided to provide Mr. Ostadan a full bonus for 2021 rather than a prorated bonus, in consideration of his strong performance and important contributions to the</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Company during 2021 and his expected future contributions to the Company. Mr. Ostadan’s leave of absence began November 20, 2021, and ended 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1403" w:right="379" w:bottom="1440" w:gutter="0" w:footer="0" w:header="0"/>
        </w:sectPr>
      </w:pPr>
    </w:p>
    <w:bookmarkStart w:id="53" w:name="page54"/>
    <w:bookmarkEnd w:id="53"/>
    <w:p>
      <w:pPr>
        <w:ind w:right="320"/>
        <w:spacing w:after="0" w:line="287" w:lineRule="auto"/>
        <w:rPr>
          <w:sz w:val="20"/>
          <w:szCs w:val="20"/>
          <w:color w:val="auto"/>
        </w:rPr>
      </w:pPr>
      <w:r>
        <w:rPr>
          <w:rFonts w:ascii="Arial" w:cs="Arial" w:eastAsia="Arial" w:hAnsi="Arial"/>
          <w:sz w:val="18"/>
          <w:szCs w:val="18"/>
          <w:color w:val="auto"/>
        </w:rPr>
        <w:t>We believe these travel and lodging expense reimbursement arrangements are reasonable . In addition, the cost of these reimbursement arrangements constitutes only a small percentage of each of Dr. Farokhzad’s and Mr. Ostadan’s total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Benefits, including Change in Control</w:t>
      </w:r>
    </w:p>
    <w:p>
      <w:pPr>
        <w:spacing w:after="0" w:line="25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connection with our initial public offering, we adopted the key executive change in control and severance plan, in which each of our named executive officers other than Dr. Farokhzad participate. In addition, Dr. Farokhzad has a change in control and severance agreement (the</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Severance Agreement) with us which provides for certain severance and change in control benefits. We offer the severance and other termination benefits to the named executive officers under these arrangements if their employment is terminated without cause or they resign for good reason in certain circumstances, and generally subject to their execution of a release of claims. Our goal in providing certain</w:t>
      </w:r>
    </w:p>
    <w:p>
      <w:pPr>
        <w:spacing w:after="0" w:line="1"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severance and change in control benefits is to provide our named executive officers with the security of temporary continued income and benefits, thus allowing each of the named executive officers to focus on business priorities that create value for our stockholders without</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undue concern that the officer will be terminated and lose his or her income and benefits. We believe the level of severance and change in control benefits provided is appropriate and is necessary to attract and retain key employees.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these arrangements provide that if a named executive officer remains with us (or our successor) through the two-year</w:t>
      </w:r>
    </w:p>
    <w:p>
      <w:pPr>
        <w:spacing w:after="0" w:line="14"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anniversary of a change in control, the vesting of those equity awards granted before our initial public offering will accelerate. We believe this is appropriate so that the named executive officer will not be concerned that he or she will lose the value of those grants by remaining after an acquisition beyond the time of the severance protection otherwise afforded by the severance arrangements, and therefore will be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appropriately motivated to pursue transactions that are in the best interests of our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These arrangements are described more fully under the section of this proxy statement entitled “Change in Control and Severance</w:t>
      </w:r>
    </w:p>
    <w:p>
      <w:pPr>
        <w:spacing w:after="0" w:line="14"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Agreement” (with respect to Dr. Farokhzad’s agreement) and “Key Executive Change in Control and Severance Plan” (with respect to the arrangements for our other named executive officers).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Broad-based Employee Benefits</w:t>
      </w:r>
    </w:p>
    <w:p>
      <w:pPr>
        <w:spacing w:after="0" w:line="237"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We believe that establishing competitive benefit packages for our employees is an important factor in attracting and retaining highly qualified personnel. Each named executive officer is eligible to participate in all of our employee benefit plans generally applicable to employees on a</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7"/>
          <w:szCs w:val="17"/>
          <w:color w:val="auto"/>
        </w:rPr>
        <w:t>broad basis, subject to the eligibility provisions of such programs. Our named executive officers are eligible to participate in our employee benefits plans, such as medical, dental, disability, vision, and other insurance programs, our 401(k) plan and our employee stock purchase plan, in each case on the same basis as other employees. The exception is that Dr. Farokhzad may not participate in our employee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purchase plan because the regulations that govern these plans exclude individuals who hold Company stock in excess of certain thresholds.</w:t>
      </w:r>
    </w:p>
    <w:p>
      <w:pPr>
        <w:spacing w:after="0" w:line="18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maintain a 401(k) retirement savings plan, for the benefit of our employees, including our named executive officers, who satisfy certain eligibility requirements and we match employee contributions up to a certain limit.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80" w:lineRule="exact"/>
        <w:rPr>
          <w:sz w:val="20"/>
          <w:szCs w:val="20"/>
          <w:color w:val="auto"/>
        </w:rPr>
      </w:pPr>
    </w:p>
    <w:p>
      <w:pPr>
        <w:ind w:right="780"/>
        <w:spacing w:after="0" w:line="256" w:lineRule="auto"/>
        <w:rPr>
          <w:sz w:val="20"/>
          <w:szCs w:val="20"/>
          <w:color w:val="auto"/>
        </w:rPr>
      </w:pPr>
      <w:r>
        <w:rPr>
          <w:rFonts w:ascii="Arial" w:cs="Arial" w:eastAsia="Arial" w:hAnsi="Arial"/>
          <w:sz w:val="18"/>
          <w:szCs w:val="18"/>
          <w:color w:val="auto"/>
        </w:rPr>
        <w:t>Personal benefits currently are not a significant component of our executive compensation program. Accordingly, we do not provide significant perquisites or other personal benefits to our named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1417" w:right="359" w:bottom="1440" w:gutter="0" w:footer="0" w:header="0"/>
        </w:sectPr>
      </w:pPr>
    </w:p>
    <w:bookmarkStart w:id="54" w:name="page55"/>
    <w:bookmarkEnd w:id="54"/>
    <w:p>
      <w:pPr>
        <w:spacing w:after="0" w:line="180"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officers, except as generally made available to our employees or in situations where we believe it is appropriate to serve a legitimate business purpose, including for example to assist an individual in the performance of his or her duties, to enable him or her to achieve greater work efficiency or effectiveness, or to recruit or retain him or her. Please see “</w:t>
      </w:r>
      <w:r>
        <w:rPr>
          <w:rFonts w:ascii="Arial" w:cs="Arial" w:eastAsia="Arial" w:hAnsi="Arial"/>
          <w:sz w:val="17"/>
          <w:szCs w:val="17"/>
          <w:i w:val="1"/>
          <w:iCs w:val="1"/>
          <w:color w:val="auto"/>
        </w:rPr>
        <w:t>Employment Arrangements with our Named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w:t>
      </w:r>
      <w:r>
        <w:rPr>
          <w:rFonts w:ascii="Arial" w:cs="Arial" w:eastAsia="Arial" w:hAnsi="Arial"/>
          <w:sz w:val="17"/>
          <w:szCs w:val="17"/>
          <w:color w:val="auto"/>
        </w:rPr>
        <w:t>” above for a discussion of certain travel and lodging reimbursements we have provided to Dr. Farokhzad and Mr. Ostadan.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and Pledging Policies; Stock Ownership Guidelines</w:t>
      </w:r>
    </w:p>
    <w:p>
      <w:pPr>
        <w:spacing w:after="0" w:line="250"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Our insider trading policy prohibits our executives from engaging in “hedging” or “pledging” transactions with respect to our common stock. The Company currently has no stock ownership guidelines in place for our named executive officers, but may consider implementing such guidelines in the future if the talent and compensation committee deems it to be in the best interests of the Company and its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and Tax Consideration and Treatment</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talent and compensation committee generally takes into consideration the tax implications to the Company of our named executive officer compensation program, including with respect to the tax deductibility of compensation paid under Section 162(m) of the Internal Revenue Code. Under Section 162(m) of the Internal Revenue Code as it was in effect during our 2021 fiscal year, the Company is eligible to receive a federal income tax deduction for compensation paid to our CEO and certain other current and former executives only if the compensation paid to the individual executive was less than $1 million during any fiscal year. While our talent and compensation committee may consider the deductibility of equity awards and cash and other compensation as one factor in determining executive compensation, the committee also looks at other factors in making its decisions and retains the flexibility to award compensation that it determines to be consistent with the goals of our executive compensation program even if the awards are not deductible by us for tax purposes.</w:t>
      </w:r>
    </w:p>
    <w:p>
      <w:pPr>
        <w:spacing w:after="0" w:line="19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addition to considering the tax consequences, our talent and compensation committee generally considers the accounting consequences of its decisions, including the impact of expenses being recognized in connection with equity-based awards, in determining the size and form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different equity-based awards.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TALENT AND COMPENSATION COMMITTEE</w:t>
      </w:r>
    </w:p>
    <w:p>
      <w:pPr>
        <w:spacing w:after="0" w:line="40" w:lineRule="exact"/>
        <w:rPr>
          <w:sz w:val="20"/>
          <w:szCs w:val="20"/>
          <w:color w:val="auto"/>
        </w:rPr>
      </w:pPr>
    </w:p>
    <w:p>
      <w:pPr>
        <w:ind w:right="640"/>
        <w:spacing w:after="0" w:line="274" w:lineRule="auto"/>
        <w:rPr>
          <w:sz w:val="20"/>
          <w:szCs w:val="20"/>
          <w:color w:val="auto"/>
        </w:rPr>
      </w:pPr>
      <w:r>
        <w:rPr>
          <w:rFonts w:ascii="Arial" w:cs="Arial" w:eastAsia="Arial" w:hAnsi="Arial"/>
          <w:sz w:val="18"/>
          <w:szCs w:val="18"/>
          <w:color w:val="auto"/>
        </w:rPr>
        <w:t>The talent and compensation committee has reviewed and discussed with management the CD&amp;A and based on such review and discussions the talent and compensation committee has recommended to the board that the CD&amp;A be included in Seer, Inc.’s Annual Report on Form 10-K and the Proxy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talent and compensation committee of the board of directors of Seer,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Terrance McGuire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Hallal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Rachel Haurwitz, Ph.D.*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Dr. Haurwitz joined the talent and compensation committee on April 20, 2022</w:t>
      </w:r>
    </w:p>
    <w:p>
      <w:pPr>
        <w:spacing w:after="0" w:line="27"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The report of the talent and compensation committee shall not be deemed filed for purposes of Section 18 of the Securities Exchange Act of 1934 or otherwise subject to the liabilities of that section, nor shall it be deemed soliciting material or subject to Regulation 14A of the Exchange Act or incorporated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440" w:right="359" w:bottom="1440" w:gutter="0" w:footer="0" w:header="0"/>
        </w:sectPr>
      </w:pPr>
    </w:p>
    <w:bookmarkStart w:id="55" w:name="page56"/>
    <w:bookmarkEnd w:id="55"/>
    <w:p>
      <w:pPr>
        <w:ind w:right="260"/>
        <w:spacing w:after="0" w:line="287" w:lineRule="auto"/>
        <w:rPr>
          <w:sz w:val="20"/>
          <w:szCs w:val="20"/>
          <w:color w:val="auto"/>
        </w:rPr>
      </w:pPr>
      <w:r>
        <w:rPr>
          <w:rFonts w:ascii="Arial" w:cs="Arial" w:eastAsia="Arial" w:hAnsi="Arial"/>
          <w:sz w:val="18"/>
          <w:szCs w:val="18"/>
          <w:color w:val="auto"/>
        </w:rPr>
        <w:t>reference in any filing under the Exchange Act or the Securities Act of 1933, except as shall be expressly set forth by specific reference in such filing.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Assessment Concerning Compensation Practices and Policies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talent and compensation committee conducts a thorough annual risk assessment of the Company’s compensation programs and</w:t>
      </w:r>
    </w:p>
    <w:p>
      <w:pPr>
        <w:spacing w:after="0" w:line="14" w:lineRule="exact"/>
        <w:rPr>
          <w:sz w:val="20"/>
          <w:szCs w:val="20"/>
          <w:color w:val="auto"/>
        </w:rPr>
      </w:pPr>
    </w:p>
    <w:p>
      <w:pPr>
        <w:ind w:right="620"/>
        <w:spacing w:after="0" w:line="226" w:lineRule="auto"/>
        <w:rPr>
          <w:sz w:val="20"/>
          <w:szCs w:val="20"/>
          <w:color w:val="auto"/>
        </w:rPr>
      </w:pPr>
      <w:r>
        <w:rPr>
          <w:rFonts w:ascii="Arial" w:cs="Arial" w:eastAsia="Arial" w:hAnsi="Arial"/>
          <w:sz w:val="18"/>
          <w:szCs w:val="18"/>
          <w:color w:val="auto"/>
        </w:rPr>
        <w:t>practices to analyze whether they encourage employees to take excessive or inappropriate risks. To help with this assessment, our compensation consultant provided a detailed review of the Company’s compensation program and associated risks. The assessment</w:t>
      </w:r>
    </w:p>
    <w:p>
      <w:pPr>
        <w:spacing w:after="0" w:line="2"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focuses on the following areas of the Company’s practices and policies: fixed and variable compensation, annual and long-term incentive plan structures, performance metrics, limits on payouts in the annual and long-term compensation plans, severance arrangements, and risk mitigating policies. After completing this review, the talent and compensation committee concluded the Company’s compensation programs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are, on balance, consistent with market practice for a Company at our growth stage, do not present material risks to the Company and do not create risks that are reasonably likely to have a material effect 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320" w:top="1417" w:right="37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31, 2022 for:</w:t>
      </w:r>
    </w:p>
    <w:p>
      <w:pPr>
        <w:spacing w:after="0" w:line="225"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our directors and nominees for director;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person or group known by us to be the beneficial owner of more than 5% of our common stock.</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2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based our calculation of the percentage of beneficial ownership on 58,237,703 shares of our Class A common stock and 4,055,190 shares of our Class B common stock outstanding as of March 31, 2022. We have deemed shares of our Class A common stock subject to stock options that are currently exercisable or exercisable within 60 days of March 31, 2022, or issuable pursuant to RSAs which are subject to vesting and settlement conditions expected to occur within 60 days of March 31, 2022 to be outstanding and to be beneficially owned by the person holding the stock option or RSA for the purpose of computing the percentage ownership of that person. We did not deem these shares outstanding, however, for the purpose of computing the percentage ownership of any other person.</w:t>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Each share of our Class B common stock is convertible at any time at the option of the holder into one share of our Class A common stock. Holders of our Class A common stock are entitled to one vote for each share held on all matters submitted to a vote of stockholders and holders of our Class B common stock are entitled to ten votes for each share held.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on December 8, 2025.</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5" w:right="339" w:bottom="1440" w:gutter="0" w:footer="0" w:header="0"/>
        </w:sectPr>
      </w:pPr>
    </w:p>
    <w:bookmarkStart w:id="57" w:name="page58"/>
    <w:bookmarkEnd w:id="57"/>
    <w:p>
      <w:pPr>
        <w:ind w:right="200"/>
        <w:spacing w:after="0" w:line="287" w:lineRule="auto"/>
        <w:rPr>
          <w:sz w:val="20"/>
          <w:szCs w:val="20"/>
          <w:color w:val="auto"/>
        </w:rPr>
      </w:pPr>
      <w:r>
        <w:rPr>
          <w:rFonts w:ascii="Arial" w:cs="Arial" w:eastAsia="Arial" w:hAnsi="Arial"/>
          <w:sz w:val="18"/>
          <w:szCs w:val="18"/>
          <w:color w:val="auto"/>
        </w:rPr>
        <w:t>Unless otherwise indicated, the address of each beneficial owner listed in the table below is c/o Seer, Inc. 3800 Bridge Parkway, Suite 102, Redwood City, California 94065.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Amount and Nature of Beneficial Ownership</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Voting % of Total</w:t>
            </w:r>
          </w:p>
        </w:tc>
        <w:tc>
          <w:tcPr>
            <w:tcW w:w="0" w:type="dxa"/>
            <w:vAlign w:val="bottom"/>
          </w:tcPr>
          <w:p>
            <w:pPr>
              <w:spacing w:after="0"/>
              <w:rPr>
                <w:sz w:val="1"/>
                <w:szCs w:val="1"/>
                <w:color w:val="auto"/>
              </w:rPr>
            </w:pPr>
          </w:p>
        </w:tc>
      </w:tr>
      <w:tr>
        <w:trPr>
          <w:trHeight w:val="80"/>
        </w:trPr>
        <w:tc>
          <w:tcPr>
            <w:tcW w:w="4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4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Class A Common Stock</w:t>
            </w: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gridSpan w:val="4"/>
            <w:vMerge w:val="restart"/>
          </w:tcPr>
          <w:p>
            <w:pPr>
              <w:jc w:val="right"/>
              <w:ind w:right="459"/>
              <w:spacing w:after="0"/>
              <w:rPr>
                <w:sz w:val="20"/>
                <w:szCs w:val="20"/>
                <w:color w:val="auto"/>
              </w:rPr>
            </w:pPr>
            <w:r>
              <w:rPr>
                <w:rFonts w:ascii="Arial" w:cs="Arial" w:eastAsia="Arial" w:hAnsi="Arial"/>
                <w:sz w:val="14"/>
                <w:szCs w:val="14"/>
                <w:b w:val="1"/>
                <w:bCs w:val="1"/>
                <w:color w:val="auto"/>
              </w:rPr>
              <w:t>Class B Common Stock</w:t>
            </w:r>
          </w:p>
        </w:tc>
        <w:tc>
          <w:tcPr>
            <w:tcW w:w="1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40" w:type="dxa"/>
            <w:vAlign w:val="bottom"/>
            <w:tcBorders>
              <w:bottom w:val="single" w:sz="8" w:color="auto"/>
            </w:tcBorders>
            <w:gridSpan w:val="4"/>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72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rPr>
              <w:t>Outstanding</w:t>
            </w:r>
          </w:p>
        </w:tc>
        <w:tc>
          <w:tcPr>
            <w:tcW w:w="0" w:type="dxa"/>
            <w:vAlign w:val="bottom"/>
          </w:tcPr>
          <w:p>
            <w:pPr>
              <w:spacing w:after="0"/>
              <w:rPr>
                <w:sz w:val="1"/>
                <w:szCs w:val="1"/>
                <w:color w:val="auto"/>
              </w:rPr>
            </w:pPr>
          </w:p>
        </w:tc>
      </w:tr>
      <w:tr>
        <w:trPr>
          <w:trHeight w:val="198"/>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tcPr>
          <w:p>
            <w:pPr>
              <w:spacing w:after="0"/>
              <w:rPr>
                <w:sz w:val="17"/>
                <w:szCs w:val="17"/>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tcPr>
          <w:p>
            <w:pPr>
              <w:ind w:left="420"/>
              <w:spacing w:after="0"/>
              <w:rPr>
                <w:sz w:val="20"/>
                <w:szCs w:val="20"/>
                <w:color w:val="auto"/>
              </w:rPr>
            </w:pPr>
            <w:r>
              <w:rPr>
                <w:rFonts w:ascii="Arial" w:cs="Arial" w:eastAsia="Arial" w:hAnsi="Arial"/>
                <w:sz w:val="14"/>
                <w:szCs w:val="14"/>
                <w:b w:val="1"/>
                <w:bCs w:val="1"/>
                <w:color w:val="auto"/>
              </w:rPr>
              <w:t>Shares</w:t>
            </w:r>
          </w:p>
        </w:tc>
        <w:tc>
          <w:tcPr>
            <w:tcW w:w="980" w:type="dxa"/>
            <w:vAlign w:val="bottom"/>
          </w:tcPr>
          <w:p>
            <w:pPr>
              <w:jc w:val="right"/>
              <w:ind w:right="4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Capital Stock</w:t>
            </w:r>
          </w:p>
        </w:tc>
        <w:tc>
          <w:tcPr>
            <w:tcW w:w="0" w:type="dxa"/>
            <w:vAlign w:val="bottom"/>
          </w:tcPr>
          <w:p>
            <w:pPr>
              <w:spacing w:after="0"/>
              <w:rPr>
                <w:sz w:val="1"/>
                <w:szCs w:val="1"/>
                <w:color w:val="auto"/>
              </w:rPr>
            </w:pPr>
          </w:p>
        </w:tc>
      </w:tr>
      <w:tr>
        <w:trPr>
          <w:trHeight w:val="18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Named Executive Officers:</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4"/>
                <w:szCs w:val="14"/>
                <w:color w:val="auto"/>
              </w:rPr>
              <w:t>Omid Farokhzad, M.D.</w:t>
            </w:r>
            <w:r>
              <w:rPr>
                <w:rFonts w:ascii="Arial" w:cs="Arial" w:eastAsia="Arial" w:hAnsi="Arial"/>
                <w:sz w:val="18"/>
                <w:szCs w:val="18"/>
                <w:color w:val="auto"/>
                <w:vertAlign w:val="superscript"/>
              </w:rPr>
              <w:t>(1)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1,995,473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3,555,195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87.7</w:t>
            </w:r>
          </w:p>
        </w:tc>
        <w:tc>
          <w:tcPr>
            <w:tcW w:w="1420" w:type="dxa"/>
            <w:vAlign w:val="bottom"/>
            <w:gridSpan w:val="2"/>
          </w:tcPr>
          <w:p>
            <w:pPr>
              <w:jc w:val="right"/>
              <w:ind w:right="7"/>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David Horn </w:t>
            </w:r>
            <w:r>
              <w:rPr>
                <w:rFonts w:ascii="Arial" w:cs="Arial" w:eastAsia="Arial" w:hAnsi="Arial"/>
                <w:sz w:val="18"/>
                <w:szCs w:val="18"/>
                <w:color w:val="auto"/>
                <w:vertAlign w:val="superscript"/>
              </w:rPr>
              <w:t>(2)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912,939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4"/>
                <w:szCs w:val="14"/>
                <w:color w:val="auto"/>
              </w:rPr>
              <w:t>Omead Ostadan</w:t>
            </w:r>
            <w:r>
              <w:rPr>
                <w:rFonts w:ascii="Arial" w:cs="Arial" w:eastAsia="Arial" w:hAnsi="Arial"/>
                <w:sz w:val="18"/>
                <w:szCs w:val="18"/>
                <w:color w:val="auto"/>
                <w:vertAlign w:val="superscript"/>
              </w:rPr>
              <w:t>(3)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1,620,867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87,681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c>
          <w:tcPr>
            <w:tcW w:w="1420" w:type="dxa"/>
            <w:vAlign w:val="bottom"/>
            <w:gridSpan w:val="2"/>
          </w:tcPr>
          <w:p>
            <w:pPr>
              <w:jc w:val="right"/>
              <w:ind w:right="7"/>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Elona Kogan</w:t>
            </w:r>
            <w:r>
              <w:rPr>
                <w:rFonts w:ascii="Arial" w:cs="Arial" w:eastAsia="Arial" w:hAnsi="Arial"/>
                <w:sz w:val="18"/>
                <w:szCs w:val="18"/>
                <w:color w:val="auto"/>
                <w:vertAlign w:val="superscript"/>
              </w:rPr>
              <w:t>(4)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373,831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4"/>
                <w:szCs w:val="14"/>
                <w:color w:val="auto"/>
              </w:rPr>
              <w:t>David Hallal</w:t>
            </w:r>
            <w:r>
              <w:rPr>
                <w:rFonts w:ascii="Arial" w:cs="Arial" w:eastAsia="Arial" w:hAnsi="Arial"/>
                <w:sz w:val="18"/>
                <w:szCs w:val="18"/>
                <w:color w:val="auto"/>
                <w:vertAlign w:val="superscript"/>
              </w:rPr>
              <w:t>(5)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474,314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Catherine J. Friedman</w:t>
            </w:r>
            <w:r>
              <w:rPr>
                <w:rFonts w:ascii="Arial" w:cs="Arial" w:eastAsia="Arial" w:hAnsi="Arial"/>
                <w:sz w:val="18"/>
                <w:szCs w:val="18"/>
                <w:color w:val="auto"/>
                <w:vertAlign w:val="superscript"/>
              </w:rPr>
              <w:t>(6)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158,877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4"/>
                <w:szCs w:val="14"/>
                <w:color w:val="auto"/>
              </w:rPr>
              <w:t>Robert Langer, Sc.D.</w:t>
            </w:r>
            <w:r>
              <w:rPr>
                <w:rFonts w:ascii="Arial" w:cs="Arial" w:eastAsia="Arial" w:hAnsi="Arial"/>
                <w:sz w:val="18"/>
                <w:szCs w:val="18"/>
                <w:color w:val="auto"/>
                <w:vertAlign w:val="superscript"/>
              </w:rPr>
              <w:t>(7)</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1,038,646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7"/>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Terrance McGuire</w:t>
            </w:r>
            <w:r>
              <w:rPr>
                <w:rFonts w:ascii="Arial" w:cs="Arial" w:eastAsia="Arial" w:hAnsi="Arial"/>
                <w:sz w:val="18"/>
                <w:szCs w:val="18"/>
                <w:color w:val="auto"/>
                <w:vertAlign w:val="superscript"/>
              </w:rPr>
              <w:t>(8)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468,921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4"/>
                <w:szCs w:val="14"/>
                <w:color w:val="auto"/>
              </w:rPr>
              <w:t>Dipchand (Deep) Nishar</w:t>
            </w:r>
            <w:r>
              <w:rPr>
                <w:rFonts w:ascii="Arial" w:cs="Arial" w:eastAsia="Arial" w:hAnsi="Arial"/>
                <w:sz w:val="18"/>
                <w:szCs w:val="18"/>
                <w:color w:val="auto"/>
                <w:vertAlign w:val="superscript"/>
              </w:rPr>
              <w:t>(9)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31,667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Mostafa Ronaghi, Ph.D.</w:t>
            </w:r>
            <w:r>
              <w:rPr>
                <w:rFonts w:ascii="Arial" w:cs="Arial" w:eastAsia="Arial" w:hAnsi="Arial"/>
                <w:sz w:val="18"/>
                <w:szCs w:val="18"/>
                <w:color w:val="auto"/>
                <w:vertAlign w:val="superscript"/>
              </w:rPr>
              <w:t>(10)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448,479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4"/>
                <w:szCs w:val="14"/>
                <w:color w:val="auto"/>
              </w:rPr>
              <w:t>Rachel Haurwitz, Ph.D.</w:t>
            </w:r>
            <w:r>
              <w:rPr>
                <w:rFonts w:ascii="Arial" w:cs="Arial" w:eastAsia="Arial" w:hAnsi="Arial"/>
                <w:sz w:val="18"/>
                <w:szCs w:val="18"/>
                <w:color w:val="auto"/>
                <w:vertAlign w:val="superscript"/>
              </w:rPr>
              <w:t>(11)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Meeta Gulyani</w:t>
            </w:r>
            <w:r>
              <w:rPr>
                <w:rFonts w:ascii="Arial" w:cs="Arial" w:eastAsia="Arial" w:hAnsi="Arial"/>
                <w:sz w:val="18"/>
                <w:szCs w:val="18"/>
                <w:color w:val="auto"/>
                <w:vertAlign w:val="superscript"/>
              </w:rPr>
              <w:t>(12)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4"/>
                <w:szCs w:val="14"/>
                <w:color w:val="auto"/>
              </w:rPr>
              <w:t>All executive officers and directors as a group (13 persons)</w:t>
            </w:r>
            <w:r>
              <w:rPr>
                <w:rFonts w:ascii="Arial" w:cs="Arial" w:eastAsia="Arial" w:hAnsi="Arial"/>
                <w:sz w:val="18"/>
                <w:szCs w:val="18"/>
                <w:color w:val="auto"/>
                <w:vertAlign w:val="superscript"/>
              </w:rPr>
              <w:t>(13)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7,524,014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3,661,274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89.9</w:t>
            </w:r>
          </w:p>
        </w:tc>
        <w:tc>
          <w:tcPr>
            <w:tcW w:w="1420" w:type="dxa"/>
            <w:vAlign w:val="bottom"/>
            <w:gridSpan w:val="2"/>
          </w:tcPr>
          <w:p>
            <w:pPr>
              <w:jc w:val="right"/>
              <w:ind w:right="7"/>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0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Greater than 5% Stockholders:</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FMR LLC</w:t>
            </w:r>
            <w:r>
              <w:rPr>
                <w:rFonts w:ascii="Arial" w:cs="Arial" w:eastAsia="Arial" w:hAnsi="Arial"/>
                <w:sz w:val="18"/>
                <w:szCs w:val="18"/>
                <w:color w:val="auto"/>
                <w:vertAlign w:val="superscript"/>
              </w:rPr>
              <w:t>(14)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8,553,435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4"/>
                <w:szCs w:val="14"/>
                <w:color w:val="auto"/>
              </w:rPr>
              <w:t>T. Rowe Price Associates, Inc.</w:t>
            </w:r>
            <w:r>
              <w:rPr>
                <w:rFonts w:ascii="Arial" w:cs="Arial" w:eastAsia="Arial" w:hAnsi="Arial"/>
                <w:sz w:val="18"/>
                <w:szCs w:val="18"/>
                <w:color w:val="auto"/>
                <w:vertAlign w:val="superscript"/>
              </w:rPr>
              <w:t>(15)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6,869,852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7"/>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SoftBank SB Global Advisers Limited</w:t>
            </w:r>
            <w:r>
              <w:rPr>
                <w:rFonts w:ascii="Arial" w:cs="Arial" w:eastAsia="Arial" w:hAnsi="Arial"/>
                <w:sz w:val="18"/>
                <w:szCs w:val="18"/>
                <w:color w:val="auto"/>
                <w:vertAlign w:val="superscript"/>
              </w:rPr>
              <w:t>(16)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5,135,383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4"/>
                <w:szCs w:val="14"/>
                <w:color w:val="auto"/>
              </w:rPr>
              <w:t>aMoon Fund Growth Fund Limited Partnership</w:t>
            </w:r>
            <w:r>
              <w:rPr>
                <w:rFonts w:ascii="Arial" w:cs="Arial" w:eastAsia="Arial" w:hAnsi="Arial"/>
                <w:sz w:val="18"/>
                <w:szCs w:val="18"/>
                <w:color w:val="auto"/>
                <w:vertAlign w:val="superscript"/>
              </w:rPr>
              <w:t>(17)</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4,923,196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7"/>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Invus Public Equities, LP </w:t>
            </w:r>
            <w:r>
              <w:rPr>
                <w:rFonts w:ascii="Arial" w:cs="Arial" w:eastAsia="Arial" w:hAnsi="Arial"/>
                <w:sz w:val="18"/>
                <w:szCs w:val="18"/>
                <w:color w:val="auto"/>
                <w:vertAlign w:val="superscript"/>
              </w:rPr>
              <w:t>(18)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Vanguard Group</w:t>
            </w:r>
            <w:r>
              <w:rPr>
                <w:rFonts w:ascii="Arial" w:cs="Arial" w:eastAsia="Arial" w:hAnsi="Arial"/>
                <w:sz w:val="18"/>
                <w:szCs w:val="18"/>
                <w:color w:val="auto"/>
                <w:vertAlign w:val="superscript"/>
              </w:rPr>
              <w:t>(19)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4,221,700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(20)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3,295,177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7"/>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66"/>
        </w:trPr>
        <w:tc>
          <w:tcPr>
            <w:tcW w:w="4220" w:type="dxa"/>
            <w:vAlign w:val="bottom"/>
          </w:tcPr>
          <w:p>
            <w:pPr>
              <w:ind w:left="20"/>
              <w:spacing w:after="0"/>
              <w:rPr>
                <w:sz w:val="20"/>
                <w:szCs w:val="20"/>
                <w:color w:val="auto"/>
              </w:rPr>
            </w:pPr>
            <w:r>
              <w:rPr>
                <w:rFonts w:ascii="Arial" w:cs="Arial" w:eastAsia="Arial" w:hAnsi="Arial"/>
                <w:sz w:val="14"/>
                <w:szCs w:val="14"/>
                <w:color w:val="auto"/>
              </w:rPr>
              <w:t>Entities affiliated with Maverick Capital Management, LLC</w:t>
            </w:r>
            <w:r>
              <w:rPr>
                <w:rFonts w:ascii="Arial" w:cs="Arial" w:eastAsia="Arial" w:hAnsi="Arial"/>
                <w:sz w:val="18"/>
                <w:szCs w:val="18"/>
                <w:color w:val="auto"/>
                <w:vertAlign w:val="superscript"/>
              </w:rPr>
              <w:t>(21)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3,160,603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163,550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w:t>
            </w:r>
          </w:p>
        </w:tc>
        <w:tc>
          <w:tcPr>
            <w:tcW w:w="1420" w:type="dxa"/>
            <w:vAlign w:val="bottom"/>
            <w:gridSpan w:val="2"/>
          </w:tcPr>
          <w:p>
            <w:pPr>
              <w:jc w:val="right"/>
              <w:ind w:right="7"/>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w:t>
      </w:r>
    </w:p>
    <w:p>
      <w:pPr>
        <w:spacing w:after="0" w:line="18"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beneficial ownership of less than 1%.</w:t>
      </w:r>
    </w:p>
    <w:p>
      <w:pPr>
        <w:spacing w:after="0" w:line="5" w:lineRule="exact"/>
        <w:rPr>
          <w:sz w:val="20"/>
          <w:szCs w:val="20"/>
          <w:color w:val="auto"/>
        </w:rPr>
      </w:pPr>
    </w:p>
    <w:p>
      <w:pPr>
        <w:jc w:val="both"/>
        <w:ind w:left="660" w:right="120" w:hanging="652"/>
        <w:spacing w:after="0" w:line="254" w:lineRule="auto"/>
        <w:tabs>
          <w:tab w:leader="none" w:pos="282" w:val="left"/>
        </w:tabs>
        <w:numPr>
          <w:ilvl w:val="0"/>
          <w:numId w:val="50"/>
        </w:numPr>
        <w:rPr>
          <w:rFonts w:ascii="Arial" w:cs="Arial" w:eastAsia="Arial" w:hAnsi="Arial"/>
          <w:sz w:val="16"/>
          <w:szCs w:val="16"/>
          <w:color w:val="auto"/>
        </w:rPr>
      </w:pPr>
      <w:r>
        <w:rPr>
          <w:rFonts w:ascii="Arial" w:cs="Arial" w:eastAsia="Arial" w:hAnsi="Arial"/>
          <w:sz w:val="16"/>
          <w:szCs w:val="16"/>
          <w:color w:val="auto"/>
        </w:rPr>
        <w:t>Percentage total voting power represents voting power with respect to all shares of our Class A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w:t>
      </w:r>
    </w:p>
    <w:p>
      <w:pPr>
        <w:ind w:left="660"/>
        <w:spacing w:after="0"/>
        <w:rPr>
          <w:sz w:val="20"/>
          <w:szCs w:val="20"/>
          <w:color w:val="auto"/>
        </w:rPr>
      </w:pPr>
      <w:r>
        <w:rPr>
          <w:rFonts w:ascii="Arial" w:cs="Arial" w:eastAsia="Arial" w:hAnsi="Arial"/>
          <w:sz w:val="16"/>
          <w:szCs w:val="16"/>
          <w:color w:val="auto"/>
        </w:rPr>
        <w:t>by law.</w:t>
      </w:r>
    </w:p>
    <w:p>
      <w:pPr>
        <w:spacing w:after="0" w:line="9" w:lineRule="exact"/>
        <w:rPr>
          <w:sz w:val="20"/>
          <w:szCs w:val="20"/>
          <w:color w:val="auto"/>
        </w:rPr>
      </w:pPr>
    </w:p>
    <w:p>
      <w:pPr>
        <w:ind w:left="660" w:right="40" w:hanging="652"/>
        <w:spacing w:after="0" w:line="253" w:lineRule="auto"/>
        <w:tabs>
          <w:tab w:leader="none" w:pos="6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(i) 102,182 shares of Class A common stock and 134,579 shares of Class B common stock held of record by Dr. Farokhzad; (ii) 1,303,478 shares of Class B common stock held of record by Dynamics Group LLC for which Dr. Farokhzad serves as the sole member; (iii) 2,117,138 shares of Class B shares held of record by SAF-BND Trust for which Dr. Farokhzad’s spouse serves as trustee; and (iv) 1,893,291 shares of Class A common stock subject to options exercisable within 60 days of March 31, 2022, of which 1,223,265 are fully vested. Dr. Farokhzad disclaims beneficial ownership of the shares held by the SAF-BND Trust.</w:t>
      </w:r>
    </w:p>
    <w:p>
      <w:pPr>
        <w:spacing w:after="0" w:line="2" w:lineRule="exact"/>
        <w:rPr>
          <w:rFonts w:ascii="Arial" w:cs="Arial" w:eastAsia="Arial" w:hAnsi="Arial"/>
          <w:sz w:val="16"/>
          <w:szCs w:val="16"/>
          <w:color w:val="auto"/>
        </w:rPr>
      </w:pPr>
    </w:p>
    <w:p>
      <w:pPr>
        <w:ind w:left="660" w:right="280" w:hanging="652"/>
        <w:spacing w:after="0" w:line="255" w:lineRule="auto"/>
        <w:tabs>
          <w:tab w:leader="none" w:pos="6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(i) 147,199 shares of Class A common stock, and (ii) 765,740 shares of Class A common stock subject to options exercisable within 60 days of March 31, 2022, of which 333,402 are fully vested.</w:t>
      </w:r>
    </w:p>
    <w:p>
      <w:pPr>
        <w:ind w:left="660" w:right="160" w:hanging="652"/>
        <w:spacing w:after="0" w:line="252" w:lineRule="auto"/>
        <w:tabs>
          <w:tab w:leader="none" w:pos="6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(i) 4,088 shares of Class A common stock and 87,681 shares of Class B common stock held of record by Mr. Ostadan; and (ii) 1,616,779 shares of Class A common stock subject to options exercisable within 60 days of March 31, 2022, of which 1,616,779 are fully vested.</w:t>
      </w:r>
    </w:p>
    <w:p>
      <w:pPr>
        <w:spacing w:after="0" w:line="1" w:lineRule="exact"/>
        <w:rPr>
          <w:rFonts w:ascii="Arial" w:cs="Arial" w:eastAsia="Arial" w:hAnsi="Arial"/>
          <w:sz w:val="16"/>
          <w:szCs w:val="16"/>
          <w:color w:val="auto"/>
        </w:rPr>
      </w:pPr>
    </w:p>
    <w:p>
      <w:pPr>
        <w:ind w:left="660" w:right="440" w:hanging="652"/>
        <w:spacing w:after="0" w:line="249" w:lineRule="auto"/>
        <w:tabs>
          <w:tab w:leader="none" w:pos="6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373,831 shares of Class A common stock subject to options exercisable within 60 days of March 31, 2022, of which 124,610 are fully vested.</w:t>
      </w:r>
    </w:p>
    <w:p>
      <w:pPr>
        <w:ind w:left="660" w:right="440" w:hanging="652"/>
        <w:spacing w:after="0" w:line="255" w:lineRule="auto"/>
        <w:tabs>
          <w:tab w:leader="none" w:pos="6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(i) 263,562 shares of Class A common stock held of record by Mr. Hallal, and (ii) 210,752 shares of Class A common stock subject to options exercisable within 60 days of March 31, 2022, of which 117,852 are fully vested.</w:t>
      </w:r>
    </w:p>
    <w:p>
      <w:pPr>
        <w:ind w:left="660" w:hanging="652"/>
        <w:spacing w:after="0" w:line="264" w:lineRule="auto"/>
        <w:tabs>
          <w:tab w:leader="none" w:pos="6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(i) 140,186 shares of Class A common stock held of record by Ms. Friedman, of which 87,617 shares may be repurchased by us at the original exercise price; and (ii) 18,691 shares of Class A common stock subject to options exercisable within 60 days of March 31, 2022, of which all are fully vested.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147" w:right="339" w:bottom="1440" w:gutter="0" w:footer="0" w:header="0"/>
        </w:sectPr>
      </w:pPr>
    </w:p>
    <w:bookmarkStart w:id="58" w:name="page59"/>
    <w:bookmarkEnd w:id="58"/>
    <w:p>
      <w:pPr>
        <w:ind w:left="652" w:right="400" w:hanging="652"/>
        <w:spacing w:after="0" w:line="263" w:lineRule="auto"/>
        <w:tabs>
          <w:tab w:leader="none" w:pos="647"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692,459 shares of Class A common stock held of record by Dr. Langer and (ii) 346,187 shares of Class A common stock subject to options exercisable within 60 days of March 31, 2021, of which 237,887 are fully vested.</w:t>
      </w:r>
    </w:p>
    <w:p>
      <w:pPr>
        <w:ind w:left="652" w:right="220" w:hanging="652"/>
        <w:spacing w:after="0" w:line="252" w:lineRule="auto"/>
        <w:tabs>
          <w:tab w:leader="none" w:pos="647"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210,982 shares of Class A common stock and 4,088 shares of Class B common stock held of record by Strong Bridge, LLC for which Mr. McGuire serves as an operating manager; (ii) 178,992 shares of Class A common stock subject to options exercisable within 60 days of March 31, 2022, of which 104,897 are fully vested; and (iii) 78,947 shares of Class A common stock held of record by Polaris Founders Capital Fund I, L.P., for which Mr. McGuire serves as general partner of the managing member.</w:t>
      </w:r>
    </w:p>
    <w:p>
      <w:pPr>
        <w:ind w:left="652" w:hanging="652"/>
        <w:spacing w:after="0"/>
        <w:tabs>
          <w:tab w:leader="none" w:pos="652"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1,667 shares of Class A common stock subject to options exercisable within 60 days of March 31, 2022, of which all are fully vested.</w:t>
      </w:r>
    </w:p>
    <w:p>
      <w:pPr>
        <w:spacing w:after="0" w:line="14" w:lineRule="exact"/>
        <w:rPr>
          <w:rFonts w:ascii="Arial" w:cs="Arial" w:eastAsia="Arial" w:hAnsi="Arial"/>
          <w:sz w:val="16"/>
          <w:szCs w:val="16"/>
          <w:color w:val="auto"/>
        </w:rPr>
      </w:pPr>
    </w:p>
    <w:p>
      <w:pPr>
        <w:ind w:left="652" w:right="60" w:hanging="652"/>
        <w:spacing w:after="0" w:line="253" w:lineRule="auto"/>
        <w:tabs>
          <w:tab w:leader="none" w:pos="643"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191,515 shares of Class A common stock held of record by Dr. Ronaghi, of which 25,312 may be repurchased by us at the original exercise price; (ii) 14,310 shares of Class B common stock held of record by Dr. Ronaghi; (iii) 15,157 shares of Class A shares held of record by Phi-X Capital, LLC for which Dr. Ronaghi serves as a manager; (iv) 76,722 shares of Class A common stock held of record by First Republic Trust Company of Delaware LLC, trustee of a dynasty trust for the reporting person's minor daughter for which the Dr. Ronaghi serves as an investment advisor; (v) 76,722 shares of Class A common stock held of record by First Republic Trust Company of Delaware LLC, trustee of a dynasty trust for the reporting person's minor son for which the Dr. Ronaghi serves as an investment advisor; (vi) 76,722 shares of Class A common stock held of record by The Ronaghi Children's Trust UTD December 2014, for which the Dr. Ronaghi serves as a trustee; and (vii) 11,641 shares of Class A common stock subject to options exercisable within 60 days of March 31, 2022, of which all are fully vested.</w:t>
      </w:r>
    </w:p>
    <w:p>
      <w:pPr>
        <w:ind w:left="632" w:hanging="632"/>
        <w:spacing w:after="0"/>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5,000 shares of Class A common stock subject to options exercisable within 60 days of March 31, 2022, of which are fully vested.</w:t>
      </w:r>
    </w:p>
    <w:p>
      <w:pPr>
        <w:spacing w:after="0" w:line="8" w:lineRule="exact"/>
        <w:rPr>
          <w:rFonts w:ascii="Arial" w:cs="Arial" w:eastAsia="Arial" w:hAnsi="Arial"/>
          <w:sz w:val="16"/>
          <w:szCs w:val="16"/>
          <w:color w:val="auto"/>
        </w:rPr>
      </w:pPr>
    </w:p>
    <w:p>
      <w:pPr>
        <w:ind w:left="632" w:hanging="632"/>
        <w:spacing w:after="0"/>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5,000 shares of Class A common stock subject to options exercisable within 60 days of March 31, 2022, of which are fully vested.</w:t>
      </w:r>
    </w:p>
    <w:p>
      <w:pPr>
        <w:spacing w:after="0" w:line="14" w:lineRule="exact"/>
        <w:rPr>
          <w:rFonts w:ascii="Arial" w:cs="Arial" w:eastAsia="Arial" w:hAnsi="Arial"/>
          <w:sz w:val="16"/>
          <w:szCs w:val="16"/>
          <w:color w:val="auto"/>
        </w:rPr>
      </w:pPr>
    </w:p>
    <w:p>
      <w:pPr>
        <w:ind w:left="652" w:right="180" w:hanging="652"/>
        <w:spacing w:after="0" w:line="252" w:lineRule="auto"/>
        <w:tabs>
          <w:tab w:leader="none" w:pos="643"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2,106,443 shares of Class A common stock of which 112,929 may be repurchased by us at the original exercise price and 3,661,274 shares of Class B common stock beneficially owned by our current executive officers and directors and (ii) 5,427,571 shares of Class A common stock subject to options exercisable within 60 days of March 31, 2022 and held by our current executive officers and directors, of which 3,800,691 are fully vested.</w:t>
      </w:r>
    </w:p>
    <w:p>
      <w:pPr>
        <w:ind w:left="652" w:right="20" w:hanging="652"/>
        <w:spacing w:after="0" w:line="254" w:lineRule="auto"/>
        <w:tabs>
          <w:tab w:leader="none" w:pos="643"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the information reported by FMR LLC (FMR) on a Schedule 13G/A filed with the SEC on February 9, 2022. Of the shares of Class A common stock beneficially owned, FMR has sole voting power with respect to 2,042,856 shares of Class A common stock and sole dispositive power with respect to 8,553,435 shares of Class A common stock. Abigail P. Johnson is a Director, the Chairman and the Chief Executive Officer of FMR. Members of the Johnson family, including Abigail P. Johnson, are the predominant owners, directly or through trusts, of Series B voting common shares of FMR, representing 49% of the voting power of FMR. The Johnson family group and all other Series B stockholders have entered into a stockholders’ voting agreement under which all Series B voting common shares will be voted in accordance with the majority vote of Series B voting common shares. Neither FMR nor Abigail P. Johnson has the sole power to vote or direct the voting of the shares owned directly by the various investment companies registered under the Investment Company Act of 1940 (the Fidelity Funds), advised by Fidelity Management &amp; Research Company, a wholly owned subsidiary of FMR, which power resides in the Fidelity Funds’ Boards of Trustees. Fidelity Management &amp; Research Company carries out the voting of the shares under written guidelines established by the Fidelity Funds’ Boards of Trustees. The address for FMR is 200 Seaport Boulevard V12E, Boston, Massachusetts 02210.</w:t>
      </w:r>
    </w:p>
    <w:p>
      <w:pPr>
        <w:ind w:left="652" w:right="320" w:hanging="652"/>
        <w:spacing w:after="0" w:line="252" w:lineRule="auto"/>
        <w:tabs>
          <w:tab w:leader="none" w:pos="643"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the information reported by T. Rowe Price Associates, Inc. (TRP) on a Schedule 13G/A with the SEC on February 14, 2022. Of the shares of Class A common beneficially owned, TRP, an investment advisor, holds sole voting power with respect to 927,351 shares of Class A common stock and sole voting power with respect to 4,512,861 shares of Class A common stock. The address for TRP is 100 East Pratt Street, Baltimore, Maryland 21202.</w:t>
      </w:r>
    </w:p>
    <w:p>
      <w:pPr>
        <w:ind w:left="652" w:hanging="652"/>
        <w:spacing w:after="0" w:line="252" w:lineRule="auto"/>
        <w:tabs>
          <w:tab w:leader="none" w:pos="643"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the information reported by SB Global Advisers Limited (SB Advisors) on a Schedule 13G/A filed with the SEC on February 14, 2022. SB Advisors has shared voting and dispositive power with respect to 5,135,383 shares of Class A common stock. SVF II Oyster (DE) LLC is the record holder of all of the reported shares of Class A common stock. SoftBank Vision Fund II-2 L.P. is the sole limited partner of SVF II Aggregator (Jersey) L.P., which is the sole member of SVF II Holdings (DE) LLC, which is the sole member of SVF II Oyster (DE) LLC. SB Global Advisers Limited has been appointed as manager and is exclusively responsible for making all decisions related to the acquisition, structuring, financing and disposal of SoftBank Vision Fund II-2 L.P.’s investments. As a result of these relationships, each of these entities may be deemed to share beneficial ownership of the securities reported herein. Following an internal reorganization, each of SB Investment Advisers (UK) Limited and SVF II AIV-1 (DE) L.P. ceased to be the beneficial owner of any shares of Class A Common Stock. The address for each of SB Global Advisers Limited and SBIA UK is 69 Grosvenor Street, London W1K 3JP, United Kingdom. The address for each of SoftBank Vision Fund II-2 L.P. and SVF II Aggregator (Jersey) L.P. is Crestbridge Limited, 47 Esplanade, St. Helier, Jersey, JE1 0BD. The address for each of the other reporting entities is 251 Little Falls Drive, Wilmington, Delaware 19808.</w:t>
      </w:r>
    </w:p>
    <w:p>
      <w:pPr>
        <w:spacing w:after="0" w:line="7" w:lineRule="exact"/>
        <w:rPr>
          <w:rFonts w:ascii="Arial" w:cs="Arial" w:eastAsia="Arial" w:hAnsi="Arial"/>
          <w:sz w:val="16"/>
          <w:szCs w:val="16"/>
          <w:color w:val="auto"/>
        </w:rPr>
      </w:pPr>
    </w:p>
    <w:p>
      <w:pPr>
        <w:ind w:left="652" w:right="160" w:hanging="652"/>
        <w:spacing w:after="0" w:line="258" w:lineRule="auto"/>
        <w:tabs>
          <w:tab w:leader="none" w:pos="643"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the information reported by aMoon Growth Fund Limited Partnership (aMoon) on a Schedule 13G/A filed with the SEC on January 24, 2022, aMoon holds shared voting and dispositive power with respect to 4,112,235 shares of Class A common stock. aMoon Co-Investment SPV I, L.P. (aMoon Co-Investment) holds shared voting and dispositive power with respect to 810,961shares of Class A common stock. aMoon Growth Fund G.P. Limited Partnership (aMoon Growth Fund G.P.) is the sole General Partner of aMoon Growth and aMoon Co-Investment and aMoon General Partner Ltd. (aMoon General Partner) is the sole General Partner of aMoon Growth Fund G.P. Dr. Yair Schindel is the sole shareholder of aMoon General Partner. By virtue of such relationships, aMoon Growth Fund G.P., aMoon General Partner and Dr. Schindel may be deemed to have shared voting and investment power with respect to the capital stock</w:t>
      </w:r>
    </w:p>
    <w:p>
      <w:pPr>
        <w:spacing w:after="0" w:line="200" w:lineRule="exact"/>
        <w:rPr>
          <w:sz w:val="20"/>
          <w:szCs w:val="20"/>
          <w:color w:val="auto"/>
        </w:rPr>
      </w:pPr>
    </w:p>
    <w:p>
      <w:pPr>
        <w:spacing w:after="0" w:line="35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32"/>
          </w:cols>
          <w:pgMar w:left="328" w:top="935" w:right="339" w:bottom="1440" w:gutter="0" w:footer="0" w:header="0"/>
        </w:sectPr>
      </w:pPr>
    </w:p>
    <w:bookmarkStart w:id="59" w:name="page60"/>
    <w:bookmarkEnd w:id="59"/>
    <w:p>
      <w:pPr>
        <w:ind w:left="652" w:right="20"/>
        <w:spacing w:after="0" w:line="259" w:lineRule="auto"/>
        <w:rPr>
          <w:sz w:val="20"/>
          <w:szCs w:val="20"/>
          <w:color w:val="auto"/>
        </w:rPr>
      </w:pPr>
      <w:r>
        <w:rPr>
          <w:rFonts w:ascii="Arial" w:cs="Arial" w:eastAsia="Arial" w:hAnsi="Arial"/>
          <w:sz w:val="16"/>
          <w:szCs w:val="16"/>
          <w:color w:val="auto"/>
        </w:rPr>
        <w:t>held by aMoon Growth Fund and aMoon Co-Investment. Dr. Schindel disclaims beneficial ownership of the shares of Class A Common Stock of the held by aMoon, aMoon Co-Investment, aMoon G.P. and aMoon Ltd., except to the extent of his pecuniary interest therein, if any. The address for these entities is 34 Yerushalaim Road, Beit Gamla, 6th Floor, Ra-anana, 4350110, Israel.</w:t>
      </w:r>
    </w:p>
    <w:p>
      <w:pPr>
        <w:spacing w:after="0" w:line="1" w:lineRule="exact"/>
        <w:rPr>
          <w:sz w:val="20"/>
          <w:szCs w:val="20"/>
          <w:color w:val="auto"/>
        </w:rPr>
      </w:pPr>
    </w:p>
    <w:p>
      <w:pPr>
        <w:ind w:left="652" w:right="20" w:hanging="652"/>
        <w:spacing w:after="0" w:line="253" w:lineRule="auto"/>
        <w:tabs>
          <w:tab w:leader="none" w:pos="643"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the information reported by Invus Public Equities, L.P. (Invus Public Equities) on a Schedule 13G/A filed with the SEC on February 11, 2022, Invus Public Equities holds sole voting and dispositive power with respect to 4,750,000 shares of Class A common stock, Invus Public Equities Advisors, LLC, the general partner of Invus Public Equities, may be deemed to beneficially own the Shares held by Invus Public Equities. Artal Treasury Limited (Artal Treasury), the managing member of Invus PE Advisors, may be deemed to beneficially own the shares of Class A common stock that Invus PE Advisors may be deemed to beneficially own. Artal International S.C.A. (Artal International), the sole stockholder of Artal Treasury, may be deemed to beneficially own the shares of Class A common stock that Artal Treasury may be deemed to beneficially own. Artal International Management S.A. (Artal International Management), the managing partner of Artal International, controls Artal International and, accordingly, may be deemed to beneficially own the shares of Class A common stock that Artal International may be deemed to beneficially own. Artal Group S.A. (Artal Group), the parent company of Artal International Management, controls Artal International Management and, accordingly, may be deemed to beneficially own the shares of Class A common stock that Artal International Management may be deemed to beneficially own. Westend S.A. (Westend), the parent company of Artal Group, controls Artal Group and, accordingly, may be deemed to beneficially own the Shares that Artal Group may be deemed to beneficially own. Stichting Administratiekantoor Westend (Stichting), the majority stockholder of Westend, controls Westend and, accordingly, may be deemed to beneficially own the Shares that Westend may be deemed to beneficially own. Mr. Wittouck, as the sole member of the board of the Stichting, controls the Stichting and, accordingly, may be deemed to beneficially own the Shares that the Stichting may be deemed to beneficially own. As of February 9, 2022, in connection with an internal reorganization, Artal Treasury ceased to be the managing member of Invus PE Advisors, and the Geneva branch of Artal International, the sole stockholder of Artal Treasury, became the managing member of Invus PE Advisors and, accordingly, may be deemed to beneficially own the Shares that Invus PE Advisors may be deemed to beneficially own. Effective as of such date, Artal Treasury is no longer deemed to beneficially own the Shares that Invus PE Advisors may be deemed to beneficially own. The address for Invus Public Equities and Invus Public Advisors is 750 Lexington Avenue, 30th Floor, New York, New York 10022. The address for Artal Treasury is Suite 4, Borough House, Rue du Pré, St. Peter Port, Guernsey GY1 3JJ. The address for Stichting is Claude Debussylaan, 46, 1082 MD Amsterdam, The Netherlands. The address for the remaining entities is Valley Park, 44, Rue de la Vallée, L-2661, Luxembourg.</w:t>
      </w:r>
    </w:p>
    <w:p>
      <w:pPr>
        <w:spacing w:after="0" w:line="8" w:lineRule="exact"/>
        <w:rPr>
          <w:rFonts w:ascii="Arial" w:cs="Arial" w:eastAsia="Arial" w:hAnsi="Arial"/>
          <w:sz w:val="16"/>
          <w:szCs w:val="16"/>
          <w:color w:val="auto"/>
        </w:rPr>
      </w:pPr>
    </w:p>
    <w:p>
      <w:pPr>
        <w:ind w:left="652" w:right="40" w:hanging="652"/>
        <w:spacing w:after="0" w:line="252" w:lineRule="auto"/>
        <w:tabs>
          <w:tab w:leader="none" w:pos="643"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the information reported by the Vanguard Group Inc. (Vanguard) on a Schedule 13G filed with the SEC on February 10, 2022. Vanguard holds shared voting power with respect to 49,024 shares of Class A common stock, sole dispositive power with respect to 4,146,862 shares of Class A common stock and shared dispositive power with respect to 74,838 shares of Class A common stock. The address for the Vanguard is 100 Vanguard Blvd., Malvern, Pennsylvania 19355.</w:t>
      </w:r>
    </w:p>
    <w:p>
      <w:pPr>
        <w:ind w:left="652" w:right="80" w:hanging="652"/>
        <w:spacing w:after="0" w:line="256" w:lineRule="auto"/>
        <w:tabs>
          <w:tab w:leader="none" w:pos="643"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the information reported by BlackRock, Inc. (BlackRock) on a Schedule 13G filed with the SEC on February 7, 2022. BlackRock holds sole voting power with respect to 3,226,799 shares of Class A common stock and sole dispositive power with respect to 3,295,177 shares of Class A common stock. The address for Blackrock is 55 East 52nd Street, New York, New York 10055.</w:t>
      </w:r>
    </w:p>
    <w:p>
      <w:pPr>
        <w:spacing w:after="0" w:line="1" w:lineRule="exact"/>
        <w:rPr>
          <w:rFonts w:ascii="Arial" w:cs="Arial" w:eastAsia="Arial" w:hAnsi="Arial"/>
          <w:sz w:val="16"/>
          <w:szCs w:val="16"/>
          <w:color w:val="auto"/>
        </w:rPr>
      </w:pPr>
    </w:p>
    <w:p>
      <w:pPr>
        <w:ind w:left="652" w:hanging="652"/>
        <w:spacing w:after="0" w:line="254" w:lineRule="auto"/>
        <w:tabs>
          <w:tab w:leader="none" w:pos="643"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the information reported by Maverick Capital Ventures, LLC (Maverick Capital Ventures) on Schedule 13D/A filed with the SEC on November 17, 2021, Maverick Capital Ventures holds shared voting and dispositive power with respect to 3,293,468 shares of which (i) 381,930 shares of Class A common stock and 31,147 shares of Class B common stock are held of record by Maverick Ventures Investment Fund, L.P. (Maverick Ventures Fund), (ii) 1,136,261 shares of Class A common stock and 61,789 shares of Class B common stock are held of record by Maverick Advisors Fund, L.P. (Maverick Advisors), (iii) 30,685 shares of Class A common stock are held by funds managed by Maverick Capital, Ltd., and (iv) 1,611,727 shares of Class A common stock and 70,614 shares of Class B common stock held of record by Maverick Ventures Liquidity Fund I, LP. Maverick Capital Ventures is the general partner of Maverick Ventures Fund, Maverick Advisors Fund and Maverick Ventures Liquidity Fund I, LP. MCV Management Company, LLC (MCV) is the investment manager of Maverick Ventures Fund, Maverick Ventures Liquidity Fund I, L.P. and Maverick Advisors. Lee S. Ainslie III and David B. Singer are the Managing Partners of Maverick Capital Ventures and MCV. Maverick Capital Management, LLC is the general partner of Maverick Capital Advisors, L.P. and Maverick Capital, Ltd. Mr. Ainslie is the manager of Maverick Capital Management, LLC. As reported on Schedule 13D/A filed with the SEC on April 8, 2022, Maverick Capital Ventures holds shared voting power and dispositive power with respect to 2,186,391 shares. The address for these entities is c/o Maverick Capital, 1900 N. Pearl Street, 20th Floor, Dallas, Texas 75201.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12"/>
          </w:cols>
          <w:pgMar w:left="328" w:top="935" w:right="359" w:bottom="1440" w:gutter="0" w:footer="0" w:header="0"/>
        </w:sectPr>
      </w:pPr>
    </w:p>
    <w:bookmarkStart w:id="60" w:name="page61"/>
    <w:bookmarkEnd w:id="60"/>
    <w:p>
      <w:pPr>
        <w:jc w:val="center"/>
        <w:ind w:right="-79"/>
        <w:spacing w:after="0"/>
        <w:rPr>
          <w:sz w:val="20"/>
          <w:szCs w:val="20"/>
          <w:color w:val="auto"/>
        </w:rPr>
      </w:pPr>
      <w:r>
        <w:rPr>
          <w:rFonts w:ascii="Arial" w:cs="Arial" w:eastAsia="Arial" w:hAnsi="Arial"/>
          <w:sz w:val="18"/>
          <w:szCs w:val="18"/>
          <w:b w:val="1"/>
          <w:bCs w:val="1"/>
          <w:color w:val="auto"/>
        </w:rPr>
        <w:t>CERTAIN RELATIONSHIPS, RELATED PARTY AND OTHER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describe below transactions and series of similar transactions in our last fiscal year to which we were a party or will be a party, in which:</w:t>
      </w:r>
    </w:p>
    <w:p>
      <w:pPr>
        <w:spacing w:after="0" w:line="225"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25" w:lineRule="exact"/>
        <w:rPr>
          <w:rFonts w:ascii="Arial" w:cs="Arial" w:eastAsia="Arial" w:hAnsi="Arial"/>
          <w:sz w:val="18"/>
          <w:szCs w:val="18"/>
          <w:color w:val="auto"/>
        </w:rPr>
      </w:pPr>
    </w:p>
    <w:p>
      <w:pPr>
        <w:jc w:val="both"/>
        <w:ind w:left="980" w:right="280" w:hanging="324"/>
        <w:spacing w:after="0" w:line="268"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of our directors, nominees for director, executive officers or beneficial holders of more than 5% of our outstanding capital stock, or any immediate family member of, or person sharing the household with, any of these individuals or entities (each, a related person), had or will have a direct or indirect material interest.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granted stock options, RSAs and RSUs to our executive officers and certain of our directors. See the sections titled “Executive Compensation—Outstanding Equity Awards at Fiscal Year-End” and “Management—Director Compensation” for a description of these stock incentive awards.</w:t>
      </w:r>
    </w:p>
    <w:p>
      <w:pPr>
        <w:spacing w:after="0" w:line="198"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We are party to an amended and restated investors’ rights agreement, dated as of December 9, 2020 (IRA), which provides, among other things, that certain holders of our capital stock have the right to demand that we file a registration statement or request that their shares of our capital stock be covered by a registration statement that we are otherwise filing. Entities affiliated with Omid Farokhzad, M.D., Robert Langer and Terrance McGuire are among the parties to the IRA.</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have entered into indemnification agreements with our directors and executive officers. The indemnification agreements and our certificate of incorporation and bylaws require us to indemnify our directors and executive officers to the fullest extent permitted by Delaware law.</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than as described above under this section titled “Certain Relationships and Related Party Transactions,” since January 1, 2021,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60"/>
          </w:cols>
          <w:pgMar w:left="320" w:top="1255" w:right="41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Environmental, Social Responsibility and Governance Matters</w:t>
      </w:r>
    </w:p>
    <w:p>
      <w:pPr>
        <w:spacing w:after="0" w:line="23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believe in sustainable business operations, social responsibility and maintaining governance structures that promote effective oversight. Our corporate governance and nominating committee will oversee and advise the board of directors on management of the Company’s strategy, initiatives, risks, opportunities and reporting on matters related to Environmental, Social Responsibility and Governance (ESG). Included below is a description of certain early key ESG initiatives.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&amp; Inclusion</w:t>
      </w:r>
    </w:p>
    <w:p>
      <w:pPr>
        <w:spacing w:after="0" w:line="22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strive to create and maintain a workplace free from discrimination or harassment on the basis of color, race, sex, national origin, ethnicity, religion, age, disability, sexual orientation, gender identification or expression or any other status protected by applicable law. Currently, approximately 40% of our full-time employees are female or from underrepresented communities and approximately 30% of our board is</w:t>
      </w:r>
    </w:p>
    <w:p>
      <w:pPr>
        <w:spacing w:after="0" w:line="2"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comprised of women. In 2021, we formed an employee resource group aimed at promoting the engagement of women. Our management team and employees are expected to exhibit and promote ethical and respectful conduct in the workplace. All of our employees must adhere to a code of conduct that sets standards for appropriate behavior and we have implemented specific policies designed to prevent, identify, report and stop any type of discrimination and harassment. Our recruitment, hiring, development, training, compensation and advancement</w:t>
      </w:r>
    </w:p>
    <w:p>
      <w:pPr>
        <w:ind w:right="360"/>
        <w:spacing w:after="0" w:line="237" w:lineRule="auto"/>
        <w:rPr>
          <w:sz w:val="20"/>
          <w:szCs w:val="20"/>
          <w:color w:val="auto"/>
        </w:rPr>
      </w:pPr>
      <w:r>
        <w:rPr>
          <w:rFonts w:ascii="Arial" w:cs="Arial" w:eastAsia="Arial" w:hAnsi="Arial"/>
          <w:sz w:val="18"/>
          <w:szCs w:val="18"/>
          <w:color w:val="auto"/>
        </w:rPr>
        <w:t>at our company is based on qualifications, performance, skills and experience without regard to color, race, sex, national origin, ethnicity, religion, age, disability, sexual orientation, or gender identification.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Pay &amp; Benefits and Pay Equity</w:t>
      </w:r>
    </w:p>
    <w:p>
      <w:pPr>
        <w:spacing w:after="0" w:line="239" w:lineRule="exact"/>
        <w:rPr>
          <w:sz w:val="20"/>
          <w:szCs w:val="20"/>
          <w:color w:val="auto"/>
        </w:rPr>
      </w:pPr>
    </w:p>
    <w:p>
      <w:pPr>
        <w:ind w:right="220"/>
        <w:spacing w:after="0" w:line="228" w:lineRule="auto"/>
        <w:rPr>
          <w:sz w:val="20"/>
          <w:szCs w:val="20"/>
          <w:color w:val="auto"/>
        </w:rPr>
      </w:pPr>
      <w:r>
        <w:rPr>
          <w:rFonts w:ascii="Arial" w:cs="Arial" w:eastAsia="Arial" w:hAnsi="Arial"/>
          <w:sz w:val="18"/>
          <w:szCs w:val="18"/>
          <w:color w:val="auto"/>
        </w:rPr>
        <w:t>We strive to provide competitive and robust compensation and benefits programs that help meet the varying needs of our employees. Our total rewards package includes competitive pay, comprehensive healthcare benefits package for employees, family medical leave and flexible work schedules. In addition, we offer every full-time employee, both exempt and non-exempt, the benefit of equity ownership in the company through stock option grants, restricted stock unit grants, and our employee stock purchase plan. We offer employees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opportunity to participate in our ESPP and 401(k)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Development &amp; Training</w:t>
      </w:r>
    </w:p>
    <w:p>
      <w:pPr>
        <w:spacing w:after="0" w:line="22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competition for talent in our industry and in the San Francisco Bay Area where our headquarters is located is significant. As a result, our commitment to investing in human capital is of critical importance to ensure our ability to attract, develop and maintain key talent to support</w:t>
      </w:r>
    </w:p>
    <w:p>
      <w:pPr>
        <w:spacing w:after="0" w:line="1"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growth of our business. We emphasize employee development and training. We have a performance development review process in which managers help set stretch goals and provide regular feedback to assist with the development of our employees. We have partnered with Ken Blanchard Companies to offer leadership development training to our current and potential people leaders. On an annual basis, we conduct a company-wide survey developed by Great Place to Work. In our first year of administering the survey in 2021, the results of the</w:t>
      </w:r>
    </w:p>
    <w:p>
      <w:pPr>
        <w:spacing w:after="0"/>
        <w:rPr>
          <w:sz w:val="20"/>
          <w:szCs w:val="20"/>
          <w:color w:val="auto"/>
        </w:rPr>
      </w:pPr>
      <w:r>
        <w:rPr>
          <w:rFonts w:ascii="Arial" w:cs="Arial" w:eastAsia="Arial" w:hAnsi="Arial"/>
          <w:sz w:val="18"/>
          <w:szCs w:val="18"/>
          <w:color w:val="auto"/>
        </w:rPr>
        <w:t>survey allowed us to be certified and use the Great Place to Work badge from May 2021 to May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safety, health and wellness of our employees is a top priority. In response to COVID-19, we have implemented safety protocols,</w:t>
      </w:r>
    </w:p>
    <w:p>
      <w:pPr>
        <w:spacing w:after="0" w:line="14"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including, at certain times, limiting onsite activities to essential staff during periods of increased regional COVID-19 infection rates, screening and onsite testing for employees, and documentation of visitors Covid-19 status, contact tracing and appropriate protocols to address any known exposures, increased cleaning procedures and readily available masks and hand sanitizers, and additional controls based on case rates and local requirements including the wearing of masks and social distancing. These protocols are designed to maintain the health and</w:t>
      </w:r>
    </w:p>
    <w:p>
      <w:pPr>
        <w:ind w:right="300"/>
        <w:spacing w:after="0" w:line="237" w:lineRule="auto"/>
        <w:rPr>
          <w:sz w:val="20"/>
          <w:szCs w:val="20"/>
          <w:color w:val="auto"/>
        </w:rPr>
      </w:pPr>
      <w:r>
        <w:rPr>
          <w:rFonts w:ascii="Arial" w:cs="Arial" w:eastAsia="Arial" w:hAnsi="Arial"/>
          <w:sz w:val="18"/>
          <w:szCs w:val="18"/>
          <w:color w:val="auto"/>
        </w:rPr>
        <w:t>safety of our employees and comply with health and safety standards as required by federal, state and local government agencies, taking into consideration guidelines of the Centers for Disease Control and Prevention and other public health authorities.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Giving Back to Communities in Which We Operate</w:t>
      </w:r>
    </w:p>
    <w:p>
      <w:pPr>
        <w:spacing w:after="0" w:line="22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One of our corporate values is “We Are Difference Makers.” We support the communities in which we live and work. We strive to make the world a better place.</w:t>
      </w:r>
    </w:p>
    <w:p>
      <w:pPr>
        <w:spacing w:after="0" w:line="167"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Beginning in 2021, our employees donated their time and money in the service of certain charities. In January 2022, we formed a Community Service Committee made up of cross functional employees and leaders. The committee’s charter is to help set the giving priorities for the year and they have been tasked with offering quarterly opportunities to give back to our community. We are proud that our team has donated</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money and volunteered their time to organizations such as Family Giving Tree, Second Harvest Food Bank and SF Marin Food Bank among others.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917" w:right="359" w:bottom="1440" w:gutter="0" w:footer="0" w:header="0"/>
        </w:sectPr>
      </w:pPr>
    </w:p>
    <w:bookmarkStart w:id="62" w:name="page63"/>
    <w:bookmarkEnd w:id="62"/>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fiscal</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year. Based solely on our review of forms we received, or written representations from reporting persons stating that they were not required to file these forms, we believe that during our fiscal year ended December 31, 2021, all executive officers, directors and greater than 10% stockholders complied with all applicable SEC filing requirements, with the exception of a late Form 4 for Maverick Capital Ventures, LLC filed on June 23, 2021 failing to report a transaction on a timely basis.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Annual Report and SEC Filings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financial statements for our fiscal year ended December 31, 2021 are included in our Annual Report on Form 10-K filed with the SEC on March 1, 2022. This proxy statement and our Annual Report on Form 10-K are posted on our investor relations website at investor.seer.bio and are available from the SEC at its website at www.sec.gov. You may also obtain a copy of our Annual Report on Form 10-K without charge by sending a written request to Seer, Inc., Attention: Investor Relations, 3800 Bridge Parkway, Suite 102, Redwood City, California 94065.</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25"/>
          <w:szCs w:val="25"/>
          <w:color w:val="auto"/>
        </w:rPr>
        <w:t>* * *</w:t>
      </w:r>
    </w:p>
    <w:p>
      <w:pPr>
        <w:spacing w:after="0" w:line="22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that your shares of common stock be represented at the Annual Meeting, regardless of the number of shares that you</w:t>
      </w:r>
    </w:p>
    <w:p>
      <w:pPr>
        <w:spacing w:after="0" w:line="2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hold. You are, therefore, urged to vote over the Internet or by telephone as instructed on the enclosed proxy card or execute and return, at your earliest convenience, the enclosed proxy card.</w:t>
      </w:r>
    </w:p>
    <w:p>
      <w:pPr>
        <w:spacing w:after="0" w:line="21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THE BOARD OF DIRECTORS</w:t>
      </w:r>
    </w:p>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Redwood City, California</w:t>
      </w:r>
    </w:p>
    <w:p>
      <w:pPr>
        <w:ind w:left="5640"/>
        <w:spacing w:after="0"/>
        <w:rPr>
          <w:sz w:val="20"/>
          <w:szCs w:val="20"/>
          <w:color w:val="auto"/>
        </w:rPr>
      </w:pPr>
      <w:r>
        <w:rPr>
          <w:rFonts w:ascii="Arial" w:cs="Arial" w:eastAsia="Arial" w:hAnsi="Arial"/>
          <w:sz w:val="18"/>
          <w:szCs w:val="18"/>
          <w:color w:val="auto"/>
        </w:rPr>
        <w:t>April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320" w:top="917" w:right="41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249035" cy="7749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249035" cy="7749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9019"/>
          </w:cols>
          <w:pgMar w:left="1440" w:top="1440" w:right="1440"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Notice &amp; Proxy Statement and Form 10-K are available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6583680" cy="3626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3680" cy="362648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59</w:t>
      </w:r>
    </w:p>
    <w:sectPr>
      <w:pgSz w:w="11900" w:h="16838" w:orient="portrait"/>
      <w:cols w:equalWidth="0" w:num="1">
        <w:col w:w="11120"/>
      </w:cols>
      <w:pgMar w:left="320" w:top="1440"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o"/>
      <w:numFmt w:val="bullet"/>
      <w:start w:val="1"/>
    </w:lvl>
  </w:abstractNum>
  <w:abstractNum w:abstractNumId="1">
    <w:nsid w:val="2CA88611"/>
    <w:multiLevelType w:val="hybridMultilevel"/>
    <w:lvl w:ilvl="0">
      <w:lvlJc w:val="left"/>
      <w:lvlText w:val="x"/>
      <w:numFmt w:val="bullet"/>
      <w:start w:val="1"/>
    </w:lvl>
  </w:abstractNum>
  <w:abstractNum w:abstractNumId="2">
    <w:nsid w:val="836C40E"/>
    <w:multiLevelType w:val="hybridMultilevel"/>
    <w:lvl w:ilvl="0">
      <w:lvlJc w:val="left"/>
      <w:lvlText w:val="o"/>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3"/>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7"/>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12"/>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2"/>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4"/>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decimal"/>
      <w:start w:val="7"/>
    </w:lvl>
  </w:abstractNum>
  <w:abstractNum w:abstractNumId="52">
    <w:nsid w:val="520EEDD1"/>
    <w:multiLevelType w:val="hybridMultilevel"/>
    <w:lvl w:ilvl="0">
      <w:lvlJc w:val="left"/>
      <w:lvlText w:val="(%1)"/>
      <w:numFmt w:val="decimal"/>
      <w:start w:val="18"/>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2022-04-28T18:02:42Z</dcterms:created>
  <dcterms:modified xsi:type="dcterms:W3CDTF">2022-04-28T18:02:42Z</dcterms:modified>
</cp:coreProperties>
</file>