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Seer,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A Common Stock, $0.00001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81578P106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06/30/2025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81578P106</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Radoff Family Foundation</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TEXAS</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190,000.00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190,000.00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190,000.00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81578P106</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Radoff Bradley Louis</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1,209,422.00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190,000.00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1,209,422.00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190,000.00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1,399,422.00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2.6 %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Seer,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3800 Bridge Parkway, Suite 102, Redwood City, California 94065</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This statement is filed by The Radoff Family Foundation, a Texas non-profit corporation ("Radoff Foundation"), and</w:t>
      </w:r>
    </w:p>
    <w:p>
      <w:pPr>
        <w:spacing w:after="0" w:line="26" w:lineRule="exact"/>
        <w:rPr>
          <w:sz w:val="20"/>
          <w:szCs w:val="20"/>
          <w:color w:val="auto"/>
        </w:rPr>
      </w:pPr>
    </w:p>
    <w:p>
      <w:pPr>
        <w:ind w:left="920" w:hanging="912"/>
        <w:spacing w:after="0" w:line="196" w:lineRule="auto"/>
        <w:tabs>
          <w:tab w:leader="none" w:pos="920" w:val="left"/>
        </w:tabs>
        <w:numPr>
          <w:ilvl w:val="0"/>
          <w:numId w:val="3"/>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Bradley L. Radoff. Each of the foregoing is referred to as a "Reporting Person" and collectively as the "Reporting Persons." Mr. Radoff serves as a director of Radoff Foundation and may be deemed to beneficially own the shares of Class A common stock, $0.00001 par value per share (the "Shares") owned directly by Radoff Foundation. Mr. Radoff also serves as an advisor to a certain donor advised charitable account (the "Charitable Account") and may be deemed to beneficially own the Shares held in the Charitable Account.</w:t>
      </w:r>
    </w:p>
    <w:p>
      <w:pPr>
        <w:spacing w:after="0" w:line="14" w:lineRule="exact"/>
        <w:rPr>
          <w:rFonts w:ascii="Times New Roman" w:cs="Times New Roman" w:eastAsia="Times New Roman" w:hAnsi="Times New Roman"/>
          <w:sz w:val="43"/>
          <w:szCs w:val="43"/>
          <w:color w:val="auto"/>
          <w:vertAlign w:val="subscript"/>
        </w:rPr>
      </w:pPr>
    </w:p>
    <w:p>
      <w:pPr>
        <w:ind w:left="920"/>
        <w:spacing w:after="0"/>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rFonts w:ascii="Times New Roman" w:cs="Times New Roman" w:eastAsia="Times New Roman" w:hAnsi="Times New Roman"/>
          <w:sz w:val="43"/>
          <w:szCs w:val="43"/>
          <w:color w:val="auto"/>
          <w:vertAlign w:val="subscript"/>
        </w:rPr>
      </w:pPr>
    </w:p>
    <w:p>
      <w:pPr>
        <w:ind w:left="920" w:right="140" w:hanging="912"/>
        <w:spacing w:after="0"/>
        <w:tabs>
          <w:tab w:leader="none" w:pos="920" w:val="left"/>
        </w:tabs>
        <w:numPr>
          <w:ilvl w:val="0"/>
          <w:numId w:val="3"/>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The address of the principal office of each of the Reporting Persons is 2727 Kirby Drive, Unit 29L, Houston, Texas 77098.</w:t>
      </w:r>
    </w:p>
    <w:p>
      <w:pPr>
        <w:spacing w:after="0" w:line="91" w:lineRule="exact"/>
        <w:rPr>
          <w:rFonts w:ascii="Times New Roman" w:cs="Times New Roman" w:eastAsia="Times New Roman" w:hAnsi="Times New Roman"/>
          <w:sz w:val="39"/>
          <w:szCs w:val="39"/>
          <w:color w:val="auto"/>
          <w:vertAlign w:val="superscript"/>
        </w:rPr>
      </w:pPr>
    </w:p>
    <w:p>
      <w:pPr>
        <w:ind w:left="920"/>
        <w:spacing w:after="0"/>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2"/>
          <w:szCs w:val="22"/>
          <w:color w:val="auto"/>
        </w:rPr>
        <w:t>Citizenship:</w:t>
      </w:r>
    </w:p>
    <w:p>
      <w:pPr>
        <w:spacing w:after="0" w:line="233" w:lineRule="exact"/>
        <w:rPr>
          <w:rFonts w:ascii="Times New Roman" w:cs="Times New Roman" w:eastAsia="Times New Roman" w:hAnsi="Times New Roman"/>
          <w:sz w:val="39"/>
          <w:szCs w:val="39"/>
          <w:color w:val="auto"/>
          <w:vertAlign w:val="superscript"/>
        </w:rPr>
      </w:pPr>
    </w:p>
    <w:p>
      <w:pPr>
        <w:ind w:left="920" w:right="12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Radoff Foundation is organized under the laws of the State of Texas and Mr. Radoff is a citizen of the United States of America.</w:t>
      </w:r>
    </w:p>
    <w:p>
      <w:pPr>
        <w:spacing w:after="0" w:line="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Class A Common Stock, $0.00001 par value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81578P106</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5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27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 beneficially owned:</w:t>
      </w:r>
    </w:p>
    <w:p>
      <w:pPr>
        <w:sectPr>
          <w:pgSz w:w="11900" w:h="16838" w:orient="portrait"/>
          <w:cols w:equalWidth="0" w:num="1">
            <w:col w:w="11040"/>
          </w:cols>
          <w:pgMar w:left="360" w:top="126" w:right="499" w:bottom="194" w:gutter="0" w:footer="0" w:header="0"/>
        </w:sectPr>
      </w:pPr>
    </w:p>
    <w:bookmarkStart w:id="3" w:name="page4"/>
    <w:bookmarkEnd w:id="3"/>
    <w:p>
      <w:pPr>
        <w:spacing w:after="0" w:line="62" w:lineRule="exact"/>
        <w:rPr>
          <w:sz w:val="20"/>
          <w:szCs w:val="20"/>
          <w:color w:val="auto"/>
        </w:rPr>
      </w:pPr>
    </w:p>
    <w:p>
      <w:pPr>
        <w:ind w:left="920" w:right="60"/>
        <w:spacing w:after="0" w:line="234" w:lineRule="auto"/>
        <w:rPr>
          <w:sz w:val="20"/>
          <w:szCs w:val="20"/>
          <w:color w:val="auto"/>
        </w:rPr>
      </w:pPr>
      <w:r>
        <w:rPr>
          <w:rFonts w:ascii="Times New Roman" w:cs="Times New Roman" w:eastAsia="Times New Roman" w:hAnsi="Times New Roman"/>
          <w:sz w:val="22"/>
          <w:szCs w:val="22"/>
          <w:color w:val="auto"/>
        </w:rPr>
        <w:t>As of the close of business on June 30, 2025: (i) Radoff Foundation directly owned 190,000 Shares; (ii) 30,000 Shares were held in the Charitable Account; and (iii) Mr. Radoff directly owned 1,179,422 Shares. Mr. Radoff, (i) as a director of Radoff Foundation, may be deemed the beneficial owner of the 190,000 Shares owned by Radoff Foundation, and (ii) as an advisor to the Charitable Account, may be deemed the beneficial owner of the 30,000 Shares held in the Charitable Account, which together with the 1,179,422 Shares he directly owned, constitutes an aggregate of 1,399,422 Shares beneficially owned by Mr. Radoff. The filing of this Schedule 13G shall not be deemed an admission that the Reporting Persons are, for purposes of Section 13(d) of the Securities Exchange Act of 1934, as amended, the beneficial owners of any securities of the Issuer that he or it does not directly own. Each of the Reporting Persons specifically disclaims beneficial ownership of the securities reported herein that he or it does not directly own.</w:t>
      </w:r>
    </w:p>
    <w:p>
      <w:pPr>
        <w:spacing w:after="0" w:line="1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The following percentages are based on 54,801,253 Shares outstanding as of May 16, 2025, which is the total number</w:t>
      </w:r>
    </w:p>
    <w:p>
      <w:pPr>
        <w:spacing w:after="0" w:line="26" w:lineRule="exact"/>
        <w:rPr>
          <w:sz w:val="20"/>
          <w:szCs w:val="20"/>
          <w:color w:val="auto"/>
        </w:rPr>
      </w:pPr>
    </w:p>
    <w:p>
      <w:pPr>
        <w:ind w:left="920" w:right="40" w:hanging="912"/>
        <w:spacing w:after="0" w:line="196" w:lineRule="auto"/>
        <w:tabs>
          <w:tab w:leader="none" w:pos="920" w:val="left"/>
        </w:tabs>
        <w:numPr>
          <w:ilvl w:val="0"/>
          <w:numId w:val="7"/>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of Shares outstanding as disclosed in the Issuer's definitive proxy statement on Schedule 14A filed with the Securities and Exchange Commission on May 28, 2025. As of the close of business on June 30, 2025, (i) Radoff Foundation beneficially owned approximately 0.3% of the outstanding Shares, (ii) approximately 0.1% of the outstanding Shares were held in the Charitable Account and (iii) Mr. Radoff may have been deemed to beneficially own approximately 2.6% of the outstanding Shares. %</w:t>
      </w:r>
    </w:p>
    <w:p>
      <w:pPr>
        <w:spacing w:after="0" w:line="14" w:lineRule="exact"/>
        <w:rPr>
          <w:rFonts w:ascii="Times New Roman" w:cs="Times New Roman" w:eastAsia="Times New Roman" w:hAnsi="Times New Roman"/>
          <w:sz w:val="43"/>
          <w:szCs w:val="43"/>
          <w:color w:val="auto"/>
          <w:vertAlign w:val="subscript"/>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901" w:orient="portrait"/>
          <w:cols w:equalWidth="0" w:num="1">
            <w:col w:w="11140"/>
          </w:cols>
          <w:pgMar w:left="360" w:top="112"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See Cover Pages Items 5-9.</w:t>
      </w:r>
    </w:p>
    <w:p>
      <w:pPr>
        <w:spacing w:after="0" w:line="1" w:lineRule="exact"/>
        <w:rPr>
          <w:rFonts w:ascii="Times New Roman" w:cs="Times New Roman" w:eastAsia="Times New Roman" w:hAnsi="Times New Roman"/>
          <w:sz w:val="22"/>
          <w:szCs w:val="22"/>
          <w:color w:val="auto"/>
        </w:rPr>
      </w:pPr>
    </w:p>
    <w:p>
      <w:pPr>
        <w:ind w:right="6240" w:firstLine="6"/>
        <w:spacing w:after="0" w:line="486" w:lineRule="auto"/>
        <w:tabs>
          <w:tab w:leader="none" w:pos="318"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See Cover Pages Items 5-9.</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See Cover Pages Items 5-9.</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See Cover Pages Items 5-9.</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ectPr>
          <w:pgSz w:w="11900" w:h="16901" w:orient="portrait"/>
          <w:cols w:equalWidth="0" w:num="2">
            <w:col w:w="620" w:space="300"/>
            <w:col w:w="10220"/>
          </w:cols>
          <w:pgMar w:left="360" w:top="112" w:right="399" w:bottom="0" w:gutter="0" w:footer="0" w:header="0"/>
          <w:type w:val="continuous"/>
        </w:sectPr>
      </w:pPr>
    </w:p>
    <w:p>
      <w:pPr>
        <w:jc w:val="both"/>
        <w:ind w:left="920"/>
        <w:spacing w:after="0" w:line="244" w:lineRule="auto"/>
        <w:rPr>
          <w:sz w:val="20"/>
          <w:szCs w:val="20"/>
          <w:color w:val="auto"/>
        </w:rPr>
      </w:pPr>
      <w:r>
        <w:rPr>
          <w:rFonts w:ascii="Times New Roman" w:cs="Times New Roman" w:eastAsia="Times New Roman" w:hAnsi="Times New Roman"/>
          <w:sz w:val="22"/>
          <w:szCs w:val="22"/>
          <w:color w:val="auto"/>
        </w:rPr>
        <w:t>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w:t>
      </w:r>
    </w:p>
    <w:p>
      <w:pPr>
        <w:spacing w:after="0" w:line="200" w:lineRule="exact"/>
        <w:rPr>
          <w:sz w:val="20"/>
          <w:szCs w:val="20"/>
          <w:color w:val="auto"/>
        </w:rPr>
      </w:pPr>
    </w:p>
    <w:p>
      <w:pPr>
        <w:spacing w:after="0" w:line="24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Exhibit 99.1 to the Schedule 13G filed by the Reporting Persons on February 12, 2025.</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2"/>
          <w:szCs w:val="22"/>
          <w:color w:val="auto"/>
        </w:rPr>
        <w:t>Radoff Family Foundation</w:t>
      </w:r>
    </w:p>
    <w:p>
      <w:pPr>
        <w:sectPr>
          <w:pgSz w:w="11900" w:h="16901" w:orient="portrait"/>
          <w:cols w:equalWidth="0" w:num="1">
            <w:col w:w="11140"/>
          </w:cols>
          <w:pgMar w:left="360" w:top="112" w:right="399" w:bottom="0" w:gutter="0" w:footer="0" w:header="0"/>
          <w:type w:val="continuous"/>
        </w:sectPr>
      </w:pPr>
    </w:p>
    <w:bookmarkStart w:id="4" w:name="page5"/>
    <w:bookmarkEnd w:id="4"/>
    <w:p>
      <w:pPr>
        <w:ind w:left="2600"/>
        <w:spacing w:after="0"/>
        <w:tabs>
          <w:tab w:leader="none" w:pos="36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Bradley L. Radoff</w:t>
      </w:r>
    </w:p>
    <w:p>
      <w:pPr>
        <w:spacing w:after="0" w:line="44"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1"/>
          <w:szCs w:val="21"/>
          <w:color w:val="auto"/>
        </w:rPr>
        <w:t>Name/Title: Bradley L. Radoff, Director</w:t>
      </w:r>
    </w:p>
    <w:p>
      <w:pPr>
        <w:spacing w:after="0" w:line="56" w:lineRule="exact"/>
        <w:rPr>
          <w:sz w:val="20"/>
          <w:szCs w:val="20"/>
          <w:color w:val="auto"/>
        </w:rPr>
      </w:pPr>
    </w:p>
    <w:p>
      <w:pPr>
        <w:ind w:left="2600"/>
        <w:spacing w:after="0"/>
        <w:tabs>
          <w:tab w:leader="none" w:pos="36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08/13/2025</w:t>
      </w:r>
    </w:p>
    <w:p>
      <w:pPr>
        <w:spacing w:after="0" w:line="15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2"/>
          <w:szCs w:val="22"/>
          <w:color w:val="auto"/>
        </w:rPr>
        <w:t>Radoff Bradley Louis</w:t>
      </w:r>
    </w:p>
    <w:p>
      <w:pPr>
        <w:spacing w:after="0" w:line="152" w:lineRule="exact"/>
        <w:rPr>
          <w:sz w:val="20"/>
          <w:szCs w:val="20"/>
          <w:color w:val="auto"/>
        </w:rPr>
      </w:pPr>
    </w:p>
    <w:p>
      <w:pPr>
        <w:ind w:left="2040"/>
        <w:spacing w:after="0"/>
        <w:tabs>
          <w:tab w:leader="none" w:pos="31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Bradley L. Radoff</w:t>
      </w:r>
    </w:p>
    <w:p>
      <w:pPr>
        <w:spacing w:after="0" w:line="44"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22"/>
          <w:szCs w:val="22"/>
          <w:color w:val="auto"/>
        </w:rPr>
        <w:t>Name/Title: Bradley L. Radoff</w:t>
      </w:r>
    </w:p>
    <w:p>
      <w:pPr>
        <w:spacing w:after="0" w:line="44" w:lineRule="exact"/>
        <w:rPr>
          <w:sz w:val="20"/>
          <w:szCs w:val="20"/>
          <w:color w:val="auto"/>
        </w:rPr>
      </w:pPr>
    </w:p>
    <w:p>
      <w:pPr>
        <w:ind w:left="2040"/>
        <w:spacing w:after="0"/>
        <w:tabs>
          <w:tab w:leader="none" w:pos="31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08/13/2025</w:t>
      </w:r>
    </w:p>
    <w:sectPr>
      <w:pgSz w:w="11900" w:h="16838" w:orient="portrait"/>
      <w:cols w:equalWidth="0" w:num="1">
        <w:col w:w="9019"/>
      </w:cols>
      <w:pgMar w:left="1440" w:top="27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1)"/>
      <w:numFmt w:val="lowerLetter"/>
      <w:start w:val="1"/>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Letter"/>
      <w:start w:val="11"/>
    </w:lvl>
  </w:abstractNum>
  <w:abstractNum w:abstractNumId="5">
    <w:nsid w:val="41B71EFB"/>
    <w:multiLevelType w:val="hybridMultilevel"/>
    <w:lvl w:ilvl="0">
      <w:lvlJc w:val="left"/>
      <w:lvlText w:val="(%1)"/>
      <w:numFmt w:val="lowerLetter"/>
      <w:start w:val="1"/>
    </w:lvl>
  </w:abstractNum>
  <w:abstractNum w:abstractNumId="6">
    <w:nsid w:val="79E2A9E3"/>
    <w:multiLevelType w:val="hybridMultilevel"/>
    <w:lvl w:ilvl="0">
      <w:lvlJc w:val="left"/>
      <w:lvlText w:val="(%1)"/>
      <w:numFmt w:val="lowerLetter"/>
      <w:start w:val="2"/>
    </w:lvl>
  </w:abstractNum>
  <w:abstractNum w:abstractNumId="7">
    <w:nsid w:val="7545E146"/>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2025-08-13T15:32:32Z</dcterms:created>
  <dcterms:modified xsi:type="dcterms:W3CDTF">2025-08-13T15:32:32Z</dcterms:modified>
</cp:coreProperties>
</file>