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er_2023_def_14a.htm"/>
      <w:bookmarkStart w:id="1" w:name="ksseer_2023_def_14a"/>
      <w:bookmarkEnd w:id="0"/>
      <w:bookmarkEnd w:id="1"/>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2"/>
        </w:rPr>
      </w:pPr>
      <w:r>
        <w:rPr>
          <w:rFonts w:ascii="Arial" w:hAnsi="Arial"/>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40"/>
        </w:rPr>
      </w:pPr>
      <w:r>
        <w:rPr>
          <w:rFonts w:ascii="Arial" w:hAnsi="Arial"/>
          <w:b/>
          <w:color w:val="000000"/>
          <w:sz w:val="40"/>
        </w:rPr>
        <w:t>SCHEDULE 14A</w:t>
      </w:r>
    </w:p>
    <w:p>
      <w:pPr>
        <w:pStyle w:val="TextBody"/>
        <w:bidi w:val="0"/>
        <w:jc w:val="center"/>
        <w:rPr>
          <w:rFonts w:ascii="Arial" w:hAnsi="Arial"/>
          <w:b/>
          <w:color w:val="000000"/>
          <w:sz w:val="22"/>
        </w:rPr>
      </w:pPr>
      <w:r>
        <w:rPr>
          <w:rFonts w:ascii="Arial" w:hAnsi="Arial"/>
          <w:b/>
          <w:color w:val="000000"/>
          <w:sz w:val="22"/>
        </w:rPr>
        <w:t>PROXY STATEMENT PURSUANT TO SECTION 14(a) OF THE</w:t>
      </w:r>
    </w:p>
    <w:p>
      <w:pPr>
        <w:pStyle w:val="TextBody"/>
        <w:bidi w:val="0"/>
        <w:jc w:val="center"/>
        <w:rPr>
          <w:rFonts w:ascii="Arial" w:hAnsi="Arial"/>
          <w:b/>
          <w:color w:val="000000"/>
          <w:sz w:val="22"/>
        </w:rPr>
      </w:pPr>
      <w:r>
        <w:rPr>
          <w:rFonts w:ascii="Arial" w:hAnsi="Arial"/>
          <w:b/>
          <w:color w:val="000000"/>
          <w:sz w:val="22"/>
        </w:rPr>
        <w:t>SECURITIES EXCHANGE ACT OF 1934</w:t>
      </w:r>
    </w:p>
    <w:p>
      <w:pPr>
        <w:pStyle w:val="TextBody"/>
        <w:pBdr>
          <w:bottom w:val="single" w:sz="6" w:space="1" w:color="000000"/>
        </w:pBdr>
        <w:bidi w:val="0"/>
        <w:jc w:val="center"/>
        <w:rPr/>
      </w:pPr>
      <w:r>
        <w:rPr/>
        <w:t> </w:t>
      </w:r>
    </w:p>
    <w:p>
      <w:pPr>
        <w:pStyle w:val="TextBody"/>
        <w:bidi w:val="0"/>
        <w:jc w:val="center"/>
        <w:rPr/>
      </w:pPr>
      <w:r>
        <w:rPr/>
        <w:t> </w:t>
      </w:r>
    </w:p>
    <w:tbl>
      <w:tblPr>
        <w:tblW w:w="6302" w:type="dxa"/>
        <w:jc w:val="left"/>
        <w:tblInd w:w="0" w:type="dxa"/>
        <w:tblLayout w:type="fixed"/>
        <w:tblCellMar>
          <w:top w:w="28" w:type="dxa"/>
          <w:left w:w="28" w:type="dxa"/>
          <w:bottom w:w="28" w:type="dxa"/>
          <w:right w:w="28" w:type="dxa"/>
        </w:tblCellMar>
      </w:tblPr>
      <w:tblGrid>
        <w:gridCol w:w="2326"/>
        <w:gridCol w:w="3976"/>
      </w:tblGrid>
      <w:tr>
        <w:trPr/>
        <w:tc>
          <w:tcPr>
            <w:tcW w:w="232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Filed by the Registrant ☒</w:t>
            </w:r>
          </w:p>
        </w:tc>
        <w:tc>
          <w:tcPr>
            <w:tcW w:w="39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Filed by a Party other than the Registrant ☐</w:t>
            </w:r>
          </w:p>
        </w:tc>
      </w:tr>
    </w:tbl>
    <w:p>
      <w:pPr>
        <w:pStyle w:val="TextBody"/>
        <w:bidi w:val="0"/>
        <w:spacing w:before="240" w:after="283"/>
        <w:jc w:val="left"/>
        <w:rPr>
          <w:rFonts w:ascii="Arial" w:hAnsi="Arial"/>
          <w:color w:val="000000"/>
          <w:sz w:val="20"/>
        </w:rPr>
      </w:pPr>
      <w:r>
        <w:rPr>
          <w:rFonts w:ascii="Arial" w:hAnsi="Arial"/>
          <w:color w:val="000000"/>
          <w:sz w:val="20"/>
        </w:rPr>
        <w:t>Check the appropriate box:</w:t>
      </w:r>
    </w:p>
    <w:tbl>
      <w:tblPr>
        <w:tblW w:w="7382" w:type="dxa"/>
        <w:jc w:val="left"/>
        <w:tblInd w:w="0" w:type="dxa"/>
        <w:tblLayout w:type="fixed"/>
        <w:tblCellMar>
          <w:top w:w="28" w:type="dxa"/>
          <w:left w:w="28" w:type="dxa"/>
          <w:bottom w:w="28" w:type="dxa"/>
          <w:right w:w="28" w:type="dxa"/>
        </w:tblCellMar>
      </w:tblPr>
      <w:tblGrid>
        <w:gridCol w:w="331"/>
        <w:gridCol w:w="7051"/>
      </w:tblGrid>
      <w:tr>
        <w:trPr/>
        <w:tc>
          <w:tcPr>
            <w:tcW w:w="331"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Arial" w:hAnsi="Arial"/>
                <w:color w:val="000000"/>
                <w:sz w:val="20"/>
              </w:rPr>
              <w:t>Preliminary Proxy Statement</w:t>
            </w:r>
            <w:r>
              <w:rPr>
                <w:rFonts w:ascii="Times New Roman" w:hAnsi="Times New Roman"/>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20"/>
              </w:rPr>
            </w:pPr>
            <w:r>
              <w:rPr>
                <w:rFonts w:ascii="Arial" w:hAnsi="Arial"/>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20"/>
              </w:rPr>
            </w:pPr>
            <w:r>
              <w:rPr>
                <w:rFonts w:ascii="Arial" w:hAnsi="Arial"/>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20"/>
              </w:rPr>
            </w:pPr>
            <w:r>
              <w:rPr>
                <w:rFonts w:ascii="Arial" w:hAnsi="Arial"/>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20"/>
              </w:rPr>
            </w:pPr>
            <w:r>
              <w:rPr>
                <w:rFonts w:ascii="Arial" w:hAnsi="Arial"/>
                <w:color w:val="000000"/>
                <w:sz w:val="20"/>
              </w:rPr>
              <w:t>Soliciting Material Pursuant to §240.14a-12</w:t>
            </w:r>
          </w:p>
        </w:tc>
      </w:tr>
    </w:tbl>
    <w:p>
      <w:pPr>
        <w:pStyle w:val="TextBody"/>
        <w:bidi w:val="0"/>
        <w:jc w:val="left"/>
        <w:rPr/>
      </w:pPr>
      <w:r>
        <w:rPr/>
        <w:t> </w:t>
      </w:r>
    </w:p>
    <w:p>
      <w:pPr>
        <w:pStyle w:val="TextBody"/>
        <w:bidi w:val="0"/>
        <w:jc w:val="center"/>
        <w:rPr>
          <w:rFonts w:ascii="Arial" w:hAnsi="Arial"/>
          <w:b/>
          <w:color w:val="000000"/>
          <w:sz w:val="44"/>
        </w:rPr>
      </w:pPr>
      <w:r>
        <w:rPr>
          <w:rFonts w:ascii="Arial" w:hAnsi="Arial"/>
          <w:b/>
          <w:color w:val="000000"/>
          <w:sz w:val="44"/>
        </w:rPr>
        <w:t>Seer, Inc.</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(Name of Registrant as Specified In Its Charter)</w:t>
      </w:r>
    </w:p>
    <w:p>
      <w:pPr>
        <w:pStyle w:val="TextBody"/>
        <w:bidi w:val="0"/>
        <w:spacing w:before="240" w:after="283"/>
        <w:jc w:val="left"/>
        <w:rPr>
          <w:rFonts w:ascii="Arial" w:hAnsi="Arial"/>
          <w:color w:val="000000"/>
          <w:sz w:val="20"/>
        </w:rPr>
      </w:pPr>
      <w:r>
        <w:rPr>
          <w:rFonts w:ascii="Arial" w:hAnsi="Arial"/>
          <w:color w:val="000000"/>
          <w:sz w:val="20"/>
        </w:rPr>
        <w:t>Payment of Filing Fee (Check all boxes that apply):</w:t>
      </w:r>
    </w:p>
    <w:p>
      <w:pPr>
        <w:pStyle w:val="TextBody"/>
        <w:bidi w:val="0"/>
        <w:jc w:val="left"/>
        <w:rPr/>
      </w:pPr>
      <w:r>
        <w:rPr/>
        <w:t> </w:t>
      </w:r>
    </w:p>
    <w:tbl>
      <w:tblPr>
        <w:tblW w:w="9197" w:type="dxa"/>
        <w:jc w:val="left"/>
        <w:tblInd w:w="0" w:type="dxa"/>
        <w:tblLayout w:type="fixed"/>
        <w:tblCellMar>
          <w:top w:w="28" w:type="dxa"/>
          <w:left w:w="28" w:type="dxa"/>
          <w:bottom w:w="28" w:type="dxa"/>
          <w:right w:w="28" w:type="dxa"/>
        </w:tblCellMar>
      </w:tblPr>
      <w:tblGrid>
        <w:gridCol w:w="331"/>
        <w:gridCol w:w="8866"/>
      </w:tblGrid>
      <w:tr>
        <w:trPr/>
        <w:tc>
          <w:tcPr>
            <w:tcW w:w="331"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866"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20"/>
              </w:rPr>
            </w:pPr>
            <w:r>
              <w:rPr>
                <w:rFonts w:ascii="Arial" w:hAnsi="Arial"/>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866" w:type="dxa"/>
            <w:tcBorders/>
            <w:tcMar>
              <w:top w:w="0" w:type="dxa"/>
              <w:left w:w="0" w:type="dxa"/>
              <w:bottom w:w="0" w:type="dxa"/>
              <w:right w:w="0" w:type="dxa"/>
            </w:tcMar>
            <w:vAlign w:val="center"/>
          </w:tcPr>
          <w:p>
            <w:pPr>
              <w:pStyle w:val="TableContents"/>
              <w:bidi w:val="0"/>
              <w:spacing w:before="60" w:after="283"/>
              <w:jc w:val="left"/>
              <w:rPr>
                <w:rFonts w:ascii="Arial" w:hAnsi="Arial"/>
                <w:color w:val="000000"/>
                <w:sz w:val="20"/>
              </w:rPr>
            </w:pPr>
            <w:r>
              <w:rPr>
                <w:rFonts w:ascii="Arial" w:hAnsi="Arial"/>
                <w:color w:val="000000"/>
                <w:sz w:val="20"/>
              </w:rPr>
              <w:t>Fee computed on table in exhibit required by Item 25(b) per Exchange Act Rules 14a-6(i)(1) and 0-11</w:t>
            </w:r>
          </w:p>
        </w:tc>
      </w:tr>
    </w:tbl>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April 26, 2024</w:t>
      </w:r>
    </w:p>
    <w:p>
      <w:pPr>
        <w:pStyle w:val="TextBody"/>
        <w:bidi w:val="0"/>
        <w:spacing w:before="240" w:after="283"/>
        <w:jc w:val="left"/>
        <w:rPr>
          <w:rFonts w:ascii="Arial" w:hAnsi="Arial"/>
          <w:color w:val="000000"/>
          <w:sz w:val="20"/>
        </w:rPr>
      </w:pPr>
      <w:r>
        <w:rPr>
          <w:rFonts w:ascii="Arial" w:hAnsi="Arial"/>
          <w:color w:val="000000"/>
          <w:sz w:val="20"/>
        </w:rPr>
        <w:t>Dear Stockholder:</w:t>
      </w:r>
    </w:p>
    <w:p>
      <w:pPr>
        <w:pStyle w:val="TextBody"/>
        <w:bidi w:val="0"/>
        <w:spacing w:before="240" w:after="283"/>
        <w:jc w:val="left"/>
        <w:rPr>
          <w:rFonts w:ascii="Arial" w:hAnsi="Arial"/>
          <w:color w:val="000000"/>
          <w:sz w:val="20"/>
        </w:rPr>
      </w:pPr>
      <w:r>
        <w:rPr>
          <w:rFonts w:ascii="Arial" w:hAnsi="Arial"/>
          <w:color w:val="000000"/>
          <w:sz w:val="20"/>
        </w:rPr>
        <w:t>We are pleased to invite you to attend the 2024 Annual Meeting of Stockholders (the Annual Meeting) of Seer, Inc. (Seer or the Company), which will take place on Wednesday, June 12, 2024 at 1:00 p.m. Pacific Time. The Annual Meeting will again be held in virtual format this year. You will be able to attend the Annual Meeting by visiting www.virtualshareholdermeeting.com/SEER2024, where you will be able to listen to the meeting live, submit questions and vote online by entering the control number located on your proxy card.</w:t>
      </w:r>
    </w:p>
    <w:p>
      <w:pPr>
        <w:pStyle w:val="TextBody"/>
        <w:bidi w:val="0"/>
        <w:spacing w:before="240" w:after="283"/>
        <w:jc w:val="left"/>
        <w:rPr>
          <w:rFonts w:ascii="Arial" w:hAnsi="Arial"/>
          <w:color w:val="000000"/>
          <w:sz w:val="20"/>
        </w:rPr>
      </w:pPr>
      <w:r>
        <w:rPr>
          <w:rFonts w:ascii="Arial" w:hAnsi="Arial"/>
          <w:color w:val="000000"/>
          <w:sz w:val="20"/>
        </w:rPr>
        <w:t>The attached Notice of Annual Meeting of Stockholders and Proxy Statement contain details of the business to be conducted at the Annual Meeting.</w:t>
      </w:r>
    </w:p>
    <w:p>
      <w:pPr>
        <w:pStyle w:val="TextBody"/>
        <w:bidi w:val="0"/>
        <w:spacing w:before="240" w:after="283"/>
        <w:jc w:val="left"/>
        <w:rPr>
          <w:rFonts w:ascii="Arial" w:hAnsi="Arial"/>
          <w:color w:val="000000"/>
          <w:sz w:val="20"/>
        </w:rPr>
      </w:pPr>
      <w:r>
        <w:rPr>
          <w:rFonts w:ascii="Arial" w:hAnsi="Arial"/>
          <w:color w:val="000000"/>
          <w:sz w:val="20"/>
        </w:rPr>
        <w:t>Whether or not you attend the Annual Meeting, it is important that your shares be represented and voted at the meeting. Therefore, we urge you to promptly vote and submit your proxy via the Internet, by phone, or by signing, dating and returning the enclosed proxy card. If you decide to attend the Annual Meeting, you will be able to change your vote or revoke your proxy, even if you have previously submitted your proxy.</w:t>
      </w:r>
    </w:p>
    <w:p>
      <w:pPr>
        <w:pStyle w:val="TextBody"/>
        <w:bidi w:val="0"/>
        <w:spacing w:before="240" w:after="283"/>
        <w:jc w:val="left"/>
        <w:rPr>
          <w:rFonts w:ascii="Arial" w:hAnsi="Arial"/>
          <w:color w:val="000000"/>
          <w:sz w:val="20"/>
        </w:rPr>
      </w:pPr>
      <w:r>
        <w:rPr>
          <w:rFonts w:ascii="Arial" w:hAnsi="Arial"/>
          <w:color w:val="000000"/>
          <w:sz w:val="20"/>
        </w:rPr>
        <w:t>On behalf of the Company’s Board of Directors, we would like to thank you for your continued support of and interest in Seer.</w:t>
      </w:r>
    </w:p>
    <w:p>
      <w:pPr>
        <w:pStyle w:val="TextBody"/>
        <w:bidi w:val="0"/>
        <w:spacing w:before="240" w:after="283"/>
        <w:jc w:val="left"/>
        <w:rPr>
          <w:rFonts w:ascii="Arial" w:hAnsi="Arial"/>
          <w:color w:val="000000"/>
          <w:sz w:val="20"/>
        </w:rPr>
      </w:pPr>
      <w:r>
        <w:rPr>
          <w:rFonts w:ascii="Arial" w:hAnsi="Arial"/>
          <w:color w:val="000000"/>
          <w:sz w:val="20"/>
        </w:rPr>
        <w:t>Sincerely,</w:t>
      </w:r>
    </w:p>
    <w:p>
      <w:pPr>
        <w:pStyle w:val="TextBody"/>
        <w:bidi w:val="0"/>
        <w:jc w:val="left"/>
        <w:rPr/>
      </w:pPr>
      <w:r>
        <w:rPr/>
        <w:t> </w:t>
      </w:r>
    </w:p>
    <w:p>
      <w:pPr>
        <w:pStyle w:val="TextBody"/>
        <w:bidi w:val="0"/>
        <w:jc w:val="left"/>
        <w:rPr/>
      </w:pPr>
      <w:r>
        <w:rPr/>
        <w:drawing>
          <wp:inline distT="0" distB="0" distL="0" distR="0">
            <wp:extent cx="12192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381000"/>
                    </a:xfrm>
                    <a:prstGeom prst="rect">
                      <a:avLst/>
                    </a:prstGeom>
                  </pic:spPr>
                </pic:pic>
              </a:graphicData>
            </a:graphic>
          </wp:inline>
        </w:drawing>
      </w:r>
      <w:r>
        <w:rPr/>
        <w:t> </w:t>
      </w:r>
    </w:p>
    <w:p>
      <w:pPr>
        <w:pStyle w:val="TextBody"/>
        <w:bidi w:val="0"/>
        <w:jc w:val="left"/>
        <w:rPr/>
      </w:pPr>
      <w:r>
        <w:rPr/>
        <w:t> </w:t>
      </w:r>
    </w:p>
    <w:tbl>
      <w:tblPr>
        <w:tblW w:w="5266" w:type="dxa"/>
        <w:jc w:val="left"/>
        <w:tblInd w:w="0" w:type="dxa"/>
        <w:tblLayout w:type="fixed"/>
        <w:tblCellMar>
          <w:top w:w="28" w:type="dxa"/>
          <w:left w:w="28" w:type="dxa"/>
          <w:bottom w:w="28" w:type="dxa"/>
          <w:right w:w="28" w:type="dxa"/>
        </w:tblCellMar>
      </w:tblPr>
      <w:tblGrid>
        <w:gridCol w:w="5266"/>
      </w:tblGrid>
      <w:tr>
        <w:trPr/>
        <w:tc>
          <w:tcPr>
            <w:tcW w:w="5266"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53" w:after="30"/>
              <w:jc w:val="left"/>
              <w:rPr>
                <w:rFonts w:ascii="Arial" w:hAnsi="Arial"/>
                <w:color w:val="000000"/>
                <w:sz w:val="20"/>
              </w:rPr>
            </w:pPr>
            <w:r>
              <w:rPr>
                <w:rFonts w:ascii="Arial" w:hAnsi="Arial"/>
                <w:color w:val="000000"/>
                <w:sz w:val="20"/>
              </w:rPr>
              <w:t>Omid Farokhzad, M.D.</w:t>
            </w:r>
          </w:p>
        </w:tc>
      </w:tr>
      <w:tr>
        <w:trPr/>
        <w:tc>
          <w:tcPr>
            <w:tcW w:w="5266" w:type="dxa"/>
            <w:tcBorders/>
            <w:vAlign w:val="center"/>
          </w:tcPr>
          <w:p>
            <w:pPr>
              <w:pStyle w:val="TableContents"/>
              <w:bidi w:val="0"/>
              <w:spacing w:before="53" w:after="30"/>
              <w:jc w:val="left"/>
              <w:rPr>
                <w:rFonts w:ascii="Arial" w:hAnsi="Arial"/>
                <w:i/>
                <w:color w:val="000000"/>
                <w:sz w:val="20"/>
              </w:rPr>
            </w:pPr>
            <w:r>
              <w:rPr>
                <w:rFonts w:ascii="Arial" w:hAnsi="Arial"/>
                <w:i/>
                <w:color w:val="000000"/>
                <w:sz w:val="20"/>
              </w:rPr>
              <w:t>Chief Executive Officer and Chair of the Board of Directors</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SEER, INC.</w:t>
      </w:r>
    </w:p>
    <w:p>
      <w:pPr>
        <w:pStyle w:val="TextBody"/>
        <w:bidi w:val="0"/>
        <w:jc w:val="center"/>
        <w:rPr>
          <w:rFonts w:ascii="Arial" w:hAnsi="Arial"/>
          <w:b/>
          <w:color w:val="000000"/>
          <w:sz w:val="20"/>
        </w:rPr>
      </w:pPr>
      <w:r>
        <w:rPr>
          <w:rFonts w:ascii="Arial" w:hAnsi="Arial"/>
          <w:b/>
          <w:color w:val="000000"/>
          <w:sz w:val="20"/>
        </w:rPr>
        <w:t>3800 Bridge Parkway</w:t>
      </w:r>
    </w:p>
    <w:p>
      <w:pPr>
        <w:pStyle w:val="TextBody"/>
        <w:bidi w:val="0"/>
        <w:jc w:val="center"/>
        <w:rPr>
          <w:rFonts w:ascii="Arial" w:hAnsi="Arial"/>
          <w:b/>
          <w:color w:val="000000"/>
          <w:sz w:val="20"/>
        </w:rPr>
      </w:pPr>
      <w:r>
        <w:rPr>
          <w:rFonts w:ascii="Arial" w:hAnsi="Arial"/>
          <w:b/>
          <w:color w:val="000000"/>
          <w:sz w:val="20"/>
        </w:rPr>
        <w:t>Redwood City, CA 94065</w:t>
      </w:r>
    </w:p>
    <w:p>
      <w:pPr>
        <w:pStyle w:val="TextBody"/>
        <w:bidi w:val="0"/>
        <w:spacing w:before="240" w:after="283"/>
        <w:jc w:val="center"/>
        <w:rPr>
          <w:rFonts w:ascii="Arial" w:hAnsi="Arial"/>
          <w:b/>
          <w:color w:val="000000"/>
          <w:sz w:val="20"/>
        </w:rPr>
      </w:pPr>
      <w:r>
        <w:rPr>
          <w:rFonts w:ascii="Arial" w:hAnsi="Arial"/>
          <w:b/>
          <w:color w:val="000000"/>
          <w:sz w:val="20"/>
        </w:rPr>
        <w:t>NOTICE OF ANNUAL MEETING OF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4"/>
        <w:gridCol w:w="8911"/>
      </w:tblGrid>
      <w:tr>
        <w:trPr/>
        <w:tc>
          <w:tcPr>
            <w:tcW w:w="1294"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129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Time and Date</w:t>
            </w:r>
          </w:p>
        </w:tc>
        <w:tc>
          <w:tcPr>
            <w:tcW w:w="8911" w:type="dxa"/>
            <w:tcBorders/>
            <w:vAlign w:val="center"/>
          </w:tcPr>
          <w:p>
            <w:pPr>
              <w:pStyle w:val="TableContents"/>
              <w:bidi w:val="0"/>
              <w:spacing w:before="53" w:after="30"/>
              <w:jc w:val="left"/>
              <w:rPr>
                <w:rFonts w:ascii="Arial" w:hAnsi="Arial"/>
                <w:color w:val="000000"/>
                <w:sz w:val="20"/>
              </w:rPr>
            </w:pPr>
            <w:r>
              <w:rPr>
                <w:rFonts w:ascii="Arial" w:hAnsi="Arial"/>
                <w:color w:val="000000"/>
                <w:sz w:val="20"/>
              </w:rPr>
              <w:t>Wednesday, June 12, 2024 at 1:00 p.m. Pacific Time</w:t>
            </w:r>
          </w:p>
        </w:tc>
      </w:tr>
      <w:tr>
        <w:trPr/>
        <w:tc>
          <w:tcPr>
            <w:tcW w:w="1294" w:type="dxa"/>
            <w:tcBorders/>
            <w:vAlign w:val="center"/>
          </w:tcPr>
          <w:p>
            <w:pPr>
              <w:pStyle w:val="TableContents"/>
              <w:bidi w:val="0"/>
              <w:spacing w:before="53" w:after="30"/>
              <w:jc w:val="left"/>
              <w:rPr>
                <w:rFonts w:ascii="Arial" w:hAnsi="Arial"/>
                <w:b/>
                <w:color w:val="000000"/>
                <w:sz w:val="20"/>
              </w:rPr>
            </w:pPr>
            <w:r>
              <w:rPr>
                <w:rFonts w:ascii="Arial" w:hAnsi="Arial"/>
                <w:b/>
                <w:color w:val="000000"/>
                <w:sz w:val="20"/>
              </w:rPr>
              <w:t>Place</w:t>
            </w:r>
          </w:p>
        </w:tc>
        <w:tc>
          <w:tcPr>
            <w:tcW w:w="8911" w:type="dxa"/>
            <w:tcBorders/>
            <w:vAlign w:val="center"/>
          </w:tcPr>
          <w:p>
            <w:pPr>
              <w:pStyle w:val="TableContents"/>
              <w:bidi w:val="0"/>
              <w:spacing w:before="0" w:after="283"/>
              <w:jc w:val="left"/>
              <w:rPr>
                <w:rFonts w:ascii="Times New Roman" w:hAnsi="Times New Roman"/>
                <w:sz w:val="20"/>
              </w:rPr>
            </w:pPr>
            <w:r>
              <w:rPr>
                <w:rFonts w:ascii="Arial" w:hAnsi="Arial"/>
                <w:color w:val="000000"/>
                <w:sz w:val="20"/>
              </w:rPr>
              <w:t>The Annual Meeting will be a completely virtual meeting of stockholders, to be conducted via live webcast. You will be able to attend the Annual Meeting virtually, examine a list of our stockholders entitled to vote at the meeting, submit questions and vote online during the meeting by visiting www.virtualshareholdermeeting.com/SEER2024.</w:t>
            </w:r>
            <w:r>
              <w:rPr>
                <w:rFonts w:ascii="Times New Roman" w:hAnsi="Times New Roman"/>
                <w:color w:val="000000"/>
                <w:sz w:val="20"/>
              </w:rPr>
              <w:t xml:space="preserve"> </w:t>
            </w:r>
          </w:p>
        </w:tc>
      </w:tr>
      <w:tr>
        <w:trPr/>
        <w:tc>
          <w:tcPr>
            <w:tcW w:w="1294" w:type="dxa"/>
            <w:tcBorders/>
            <w:vAlign w:val="center"/>
          </w:tcPr>
          <w:p>
            <w:pPr>
              <w:pStyle w:val="TableContents"/>
              <w:bidi w:val="0"/>
              <w:spacing w:before="53" w:after="30"/>
              <w:jc w:val="left"/>
              <w:rPr>
                <w:rFonts w:ascii="Arial" w:hAnsi="Arial"/>
                <w:b/>
                <w:color w:val="000000"/>
                <w:sz w:val="20"/>
              </w:rPr>
            </w:pPr>
            <w:r>
              <w:rPr>
                <w:rFonts w:ascii="Arial" w:hAnsi="Arial"/>
                <w:b/>
                <w:color w:val="000000"/>
                <w:sz w:val="20"/>
              </w:rPr>
              <w:t>Items of Business</w:t>
            </w:r>
          </w:p>
        </w:tc>
        <w:tc>
          <w:tcPr>
            <w:tcW w:w="8911" w:type="dxa"/>
            <w:tcBorders/>
            <w:vAlign w:val="center"/>
          </w:tcPr>
          <w:p>
            <w:pPr>
              <w:pStyle w:val="TableContents"/>
              <w:bidi w:val="0"/>
              <w:spacing w:before="0" w:after="283"/>
              <w:jc w:val="left"/>
              <w:rPr/>
            </w:pPr>
            <w:r>
              <w:rPr/>
              <w:t> </w:t>
            </w:r>
          </w:p>
        </w:tc>
      </w:tr>
      <w:tr>
        <w:trPr/>
        <w:tc>
          <w:tcPr>
            <w:tcW w:w="1294" w:type="dxa"/>
            <w:tcBorders/>
            <w:vAlign w:val="center"/>
          </w:tcPr>
          <w:p>
            <w:pPr>
              <w:pStyle w:val="TableContents"/>
              <w:bidi w:val="0"/>
              <w:spacing w:before="0" w:after="283"/>
              <w:ind w:left="0" w:right="0" w:firstLine="360"/>
              <w:jc w:val="left"/>
              <w:rPr/>
            </w:pPr>
            <w:r>
              <w:rPr/>
              <w:t> </w:t>
            </w:r>
          </w:p>
        </w:tc>
        <w:tc>
          <w:tcPr>
            <w:tcW w:w="8911" w:type="dxa"/>
            <w:tcBorders/>
            <w:vAlign w:val="center"/>
          </w:tcPr>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To elect four directors to serve until the 2025 annual meeting of stockholders or until their successors are duly elected and qualified.</w:t>
            </w:r>
          </w:p>
          <w:p>
            <w:pPr>
              <w:pStyle w:val="TableContents"/>
              <w:pBdr/>
              <w:bidi w:val="0"/>
              <w:ind w:left="0" w:right="0" w:hanging="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To ratify the appointment of Deloitte &amp; Touche LLP as our independent registered public accounting firm for our fiscal year ending December 31, 2024.</w:t>
            </w:r>
          </w:p>
          <w:p>
            <w:pPr>
              <w:pStyle w:val="TableContents"/>
              <w:bidi w:val="0"/>
              <w:spacing w:before="240" w:after="240"/>
              <w:jc w:val="left"/>
              <w:rPr>
                <w:color w:val="000000"/>
              </w:rPr>
            </w:pPr>
            <w:r>
              <w:rPr>
                <w:color w:val="000000"/>
              </w:rPr>
              <w:t>•</w:t>
            </w:r>
          </w:p>
          <w:p>
            <w:pPr>
              <w:pStyle w:val="TableContents"/>
              <w:bidi w:val="0"/>
              <w:spacing w:before="240" w:after="240"/>
              <w:jc w:val="left"/>
              <w:rPr>
                <w:rFonts w:ascii="Arial" w:hAnsi="Arial"/>
                <w:color w:val="000000"/>
                <w:sz w:val="20"/>
              </w:rPr>
            </w:pPr>
            <w:r>
              <w:rPr>
                <w:rFonts w:ascii="Arial" w:hAnsi="Arial"/>
                <w:color w:val="000000"/>
                <w:sz w:val="20"/>
              </w:rPr>
              <w:t>To transact such other business as may properly come before the Annual Meeting or any adjournments or postponements thereof.</w:t>
            </w:r>
          </w:p>
        </w:tc>
      </w:tr>
      <w:tr>
        <w:trPr/>
        <w:tc>
          <w:tcPr>
            <w:tcW w:w="1294" w:type="dxa"/>
            <w:tcBorders/>
            <w:vAlign w:val="center"/>
          </w:tcPr>
          <w:p>
            <w:pPr>
              <w:pStyle w:val="TableContents"/>
              <w:bidi w:val="0"/>
              <w:spacing w:before="60" w:after="283"/>
              <w:jc w:val="left"/>
              <w:rPr>
                <w:rFonts w:ascii="Arial" w:hAnsi="Arial"/>
                <w:b/>
                <w:color w:val="000000"/>
                <w:sz w:val="20"/>
              </w:rPr>
            </w:pPr>
            <w:r>
              <w:rPr>
                <w:rFonts w:ascii="Arial" w:hAnsi="Arial"/>
                <w:b/>
                <w:color w:val="000000"/>
                <w:sz w:val="20"/>
              </w:rPr>
              <w:t>Record Date</w:t>
            </w:r>
          </w:p>
        </w:tc>
        <w:tc>
          <w:tcPr>
            <w:tcW w:w="8911" w:type="dxa"/>
            <w:tcBorders/>
            <w:vAlign w:val="center"/>
          </w:tcPr>
          <w:p>
            <w:pPr>
              <w:pStyle w:val="TableContents"/>
              <w:bidi w:val="0"/>
              <w:spacing w:before="0" w:after="240"/>
              <w:jc w:val="left"/>
              <w:rPr>
                <w:rFonts w:ascii="Arial" w:hAnsi="Arial"/>
                <w:color w:val="000000"/>
                <w:sz w:val="20"/>
              </w:rPr>
            </w:pPr>
            <w:r>
              <w:rPr>
                <w:rFonts w:ascii="Arial" w:hAnsi="Arial"/>
                <w:color w:val="000000"/>
                <w:sz w:val="20"/>
              </w:rPr>
              <w:t>April 18, 2024 (the Record Date). Only stockholders of record at the close of business on the Record Date are entitled to receive notice of, and to vote at, the Annual Meeting.</w:t>
            </w:r>
          </w:p>
        </w:tc>
      </w:tr>
      <w:tr>
        <w:trPr/>
        <w:tc>
          <w:tcPr>
            <w:tcW w:w="1294" w:type="dxa"/>
            <w:tcBorders/>
            <w:vAlign w:val="center"/>
          </w:tcPr>
          <w:p>
            <w:pPr>
              <w:pStyle w:val="TableContents"/>
              <w:bidi w:val="0"/>
              <w:spacing w:before="60" w:after="283"/>
              <w:jc w:val="left"/>
              <w:rPr>
                <w:rFonts w:ascii="Arial" w:hAnsi="Arial"/>
                <w:b/>
                <w:color w:val="000000"/>
                <w:sz w:val="20"/>
              </w:rPr>
            </w:pPr>
            <w:r>
              <w:rPr>
                <w:rFonts w:ascii="Arial" w:hAnsi="Arial"/>
                <w:b/>
                <w:color w:val="000000"/>
                <w:sz w:val="20"/>
              </w:rPr>
              <w:t>Virtual Meeting Philosophy</w:t>
            </w:r>
          </w:p>
        </w:tc>
        <w:tc>
          <w:tcPr>
            <w:tcW w:w="8911" w:type="dxa"/>
            <w:tcBorders/>
            <w:vAlign w:val="center"/>
          </w:tcPr>
          <w:p>
            <w:pPr>
              <w:pStyle w:val="TableContents"/>
              <w:bidi w:val="0"/>
              <w:spacing w:before="0" w:after="240"/>
              <w:jc w:val="left"/>
              <w:rPr>
                <w:rFonts w:ascii="Arial" w:hAnsi="Arial"/>
                <w:color w:val="000000"/>
                <w:sz w:val="20"/>
              </w:rPr>
            </w:pPr>
            <w:r>
              <w:rPr>
                <w:rFonts w:ascii="Arial" w:hAnsi="Arial"/>
                <w:color w:val="000000"/>
                <w:sz w:val="20"/>
              </w:rPr>
              <w:t>The Company has held its annual meeting of stockholders as a virtual meeting via the Internet since becoming a publicly traded company in 2020. The Board believes that holding the annual meeting of stockholders in a virtual format provides the opportunity for participation by a broader group of stockholders, while reducing the costs associated with planning, holding and arranging logistics for in-person meeting proceedings and providing for the health and safety of the participants. This balance allows the meetings to remain focused on matters directly relevant to the interests of stockholders in a way that recognizes the value to stockholders of an efficient use of Company resources. The Board intends that the virtual meeting format provide stockholders a level of transparency as close as possible to the traditional in-person meeting format and takes the following steps to ensure such an experience: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providing stockholders with the ability to submit appropriate questions in advance of the meeting to ensure thoughtful responses from management and the Board;</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providing stockholders with the ability to submit appropriate questions real-time either via telephone or the meeting website;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answering as many questions submitted in accordance with the meeting rules of conduct as possible in the time allotted for the meeting without discrimination; and</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offering separate engagement opportunities with stockholders on appropriate matters of governance or other relevant topics as outlined under the section titled “Communications with the Board of Directors” below.</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Arial" w:hAnsi="Arial"/>
          <w:b/>
          <w:color w:val="000000"/>
          <w:sz w:val="20"/>
        </w:rPr>
      </w:pPr>
      <w:r>
        <w:rPr>
          <w:rFonts w:ascii="Arial" w:hAnsi="Arial"/>
          <w:b/>
          <w:color w:val="000000"/>
          <w:sz w:val="20"/>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pStyle w:val="TextBody"/>
        <w:bidi w:val="0"/>
        <w:spacing w:before="240" w:after="283"/>
        <w:jc w:val="left"/>
        <w:rPr>
          <w:rFonts w:ascii="Times New Roman" w:hAnsi="Times New Roman"/>
          <w:sz w:val="20"/>
        </w:rPr>
      </w:pPr>
      <w:r>
        <w:rPr>
          <w:rFonts w:ascii="Arial" w:hAnsi="Arial"/>
          <w:b/>
          <w:color w:val="000000"/>
          <w:sz w:val="20"/>
        </w:rPr>
        <w:t>Important Notice Regarding the Availability of Proxy Materials for the Annual Meeting to Be Held on June 12, 2024.</w:t>
      </w:r>
      <w:r>
        <w:rPr>
          <w:rFonts w:ascii="Times New Roman" w:hAnsi="Times New Roman"/>
          <w:color w:val="000000"/>
          <w:sz w:val="20"/>
        </w:rPr>
        <w:t xml:space="preserve"> </w:t>
      </w:r>
      <w:r>
        <w:rPr>
          <w:rFonts w:ascii="Arial" w:hAnsi="Arial"/>
          <w:color w:val="000000"/>
          <w:sz w:val="20"/>
        </w:rPr>
        <w:t>Our proxy statement and Annual Report to Stockholders are being made available on or about April 26, 2024 on our investor relations website at investor.seer.bio. We are providing access to our proxy materials over the Internet under the rules adopted by the Securities and Exchange Commission. On or about May 3, 2024, we mailed to our registered stockholders a Notice Regarding the Availability of Proxy Materials containing instructions on how to access our Proxy Statement and Annual Report and how to vote online. The notice also contained instructions on how to request and receive a printed paper copy of the Proxy Statement, Proxy Card and Annual Report.</w:t>
      </w:r>
    </w:p>
    <w:p>
      <w:pPr>
        <w:pStyle w:val="TextBody"/>
        <w:bidi w:val="0"/>
        <w:jc w:val="left"/>
        <w:rPr/>
      </w:pPr>
      <w:r>
        <w:rPr/>
        <w:t> </w:t>
      </w:r>
    </w:p>
    <w:tbl>
      <w:tblPr>
        <w:tblW w:w="3297" w:type="dxa"/>
        <w:jc w:val="left"/>
        <w:tblInd w:w="0" w:type="dxa"/>
        <w:tblLayout w:type="fixed"/>
        <w:tblCellMar>
          <w:top w:w="28" w:type="dxa"/>
          <w:left w:w="28" w:type="dxa"/>
          <w:bottom w:w="28" w:type="dxa"/>
          <w:right w:w="28" w:type="dxa"/>
        </w:tblCellMar>
      </w:tblPr>
      <w:tblGrid>
        <w:gridCol w:w="310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 order of the Board of Directors,</w:t>
            </w:r>
          </w:p>
        </w:tc>
        <w:tc>
          <w:tcPr>
            <w:tcW w:w="191" w:type="dxa"/>
            <w:tcBorders/>
            <w:vAlign w:val="center"/>
          </w:tcPr>
          <w:p>
            <w:pPr>
              <w:pStyle w:val="TableContents"/>
              <w:bidi w:val="0"/>
              <w:spacing w:before="0" w:after="283"/>
              <w:jc w:val="left"/>
              <w:rPr/>
            </w:pPr>
            <w:r>
              <w:rPr/>
              <w:t> </w:t>
            </w:r>
          </w:p>
        </w:tc>
      </w:tr>
    </w:tbl>
    <w:p>
      <w:pPr>
        <w:pStyle w:val="TextBody"/>
        <w:bidi w:val="0"/>
        <w:spacing w:before="240" w:after="240"/>
        <w:jc w:val="left"/>
        <w:rPr/>
      </w:pPr>
      <w:r>
        <w:rPr/>
        <w:drawing>
          <wp:inline distT="0" distB="0" distL="0" distR="0">
            <wp:extent cx="12192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381000"/>
                    </a:xfrm>
                    <a:prstGeom prst="rect">
                      <a:avLst/>
                    </a:prstGeom>
                  </pic:spPr>
                </pic:pic>
              </a:graphicData>
            </a:graphic>
          </wp:inline>
        </w:drawing>
      </w:r>
      <w:r>
        <w:rPr/>
        <w:t> </w:t>
      </w:r>
    </w:p>
    <w:tbl>
      <w:tblPr>
        <w:tblW w:w="5266" w:type="dxa"/>
        <w:jc w:val="left"/>
        <w:tblInd w:w="0" w:type="dxa"/>
        <w:tblLayout w:type="fixed"/>
        <w:tblCellMar>
          <w:top w:w="28" w:type="dxa"/>
          <w:left w:w="28" w:type="dxa"/>
          <w:bottom w:w="28" w:type="dxa"/>
          <w:right w:w="28" w:type="dxa"/>
        </w:tblCellMar>
      </w:tblPr>
      <w:tblGrid>
        <w:gridCol w:w="5266"/>
      </w:tblGrid>
      <w:tr>
        <w:trPr/>
        <w:tc>
          <w:tcPr>
            <w:tcW w:w="5266" w:type="dxa"/>
            <w:tcBorders/>
            <w:vAlign w:val="center"/>
          </w:tcPr>
          <w:p>
            <w:pPr>
              <w:pStyle w:val="TableContents"/>
              <w:bidi w:val="0"/>
              <w:spacing w:before="0" w:after="283"/>
              <w:jc w:val="left"/>
              <w:rPr>
                <w:sz w:val="4"/>
                <w:szCs w:val="4"/>
              </w:rPr>
            </w:pPr>
            <w:r>
              <w:rPr>
                <w:sz w:val="4"/>
                <w:szCs w:val="4"/>
              </w:rPr>
            </w:r>
          </w:p>
        </w:tc>
      </w:tr>
      <w:tr>
        <w:trPr/>
        <w:tc>
          <w:tcPr>
            <w:tcW w:w="5266" w:type="dxa"/>
            <w:tcBorders/>
            <w:tcMar>
              <w:top w:w="0" w:type="dxa"/>
              <w:left w:w="0" w:type="dxa"/>
              <w:bottom w:w="0" w:type="dxa"/>
              <w:right w:w="0" w:type="dxa"/>
            </w:tcMar>
            <w:vAlign w:val="center"/>
          </w:tcPr>
          <w:p>
            <w:pPr>
              <w:pStyle w:val="TableContents"/>
              <w:bidi w:val="0"/>
              <w:spacing w:before="53" w:after="283"/>
              <w:jc w:val="left"/>
              <w:rPr>
                <w:rFonts w:ascii="Arial" w:hAnsi="Arial"/>
                <w:color w:val="000000"/>
                <w:sz w:val="20"/>
              </w:rPr>
            </w:pPr>
            <w:r>
              <w:rPr>
                <w:rFonts w:ascii="Arial" w:hAnsi="Arial"/>
                <w:color w:val="000000"/>
                <w:sz w:val="20"/>
              </w:rPr>
              <w:t>Omid Farokhzad, M.D.</w:t>
            </w:r>
          </w:p>
          <w:p>
            <w:pPr>
              <w:pStyle w:val="TableContents"/>
              <w:bidi w:val="0"/>
              <w:spacing w:before="0" w:after="283"/>
              <w:jc w:val="left"/>
              <w:rPr>
                <w:rFonts w:ascii="Arial" w:hAnsi="Arial"/>
                <w:i/>
                <w:color w:val="000000"/>
                <w:sz w:val="20"/>
              </w:rPr>
            </w:pPr>
            <w:r>
              <w:rPr>
                <w:rFonts w:ascii="Arial" w:hAnsi="Arial"/>
                <w:i/>
                <w:color w:val="000000"/>
                <w:sz w:val="20"/>
              </w:rPr>
              <w:t>Chief Executive Officer and Chair of the Board of Directors</w:t>
            </w:r>
          </w:p>
        </w:tc>
      </w:tr>
    </w:tbl>
    <w:p>
      <w:pPr>
        <w:pStyle w:val="TextBody"/>
        <w:bidi w:val="0"/>
        <w:spacing w:before="240" w:after="283"/>
        <w:jc w:val="left"/>
        <w:rPr>
          <w:rFonts w:ascii="Arial" w:hAnsi="Arial"/>
          <w:color w:val="000000"/>
          <w:sz w:val="20"/>
        </w:rPr>
      </w:pPr>
      <w:r>
        <w:rPr>
          <w:rFonts w:ascii="Arial" w:hAnsi="Arial"/>
          <w:color w:val="000000"/>
          <w:sz w:val="20"/>
        </w:rPr>
        <w:t>Redwood City, California</w:t>
      </w:r>
    </w:p>
    <w:p>
      <w:pPr>
        <w:pStyle w:val="TextBody"/>
        <w:bidi w:val="0"/>
        <w:jc w:val="left"/>
        <w:rPr>
          <w:rFonts w:ascii="Arial" w:hAnsi="Arial"/>
          <w:color w:val="000000"/>
          <w:sz w:val="20"/>
        </w:rPr>
      </w:pPr>
      <w:r>
        <w:rPr>
          <w:rFonts w:ascii="Arial" w:hAnsi="Arial"/>
          <w:color w:val="000000"/>
          <w:sz w:val="20"/>
        </w:rPr>
        <w:t>April 26, 2024</w:t>
      </w:r>
    </w:p>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 w:name="table_of_contents"/>
      <w:bookmarkEnd w:id="2"/>
      <w:r>
        <w:rPr>
          <w:rFonts w:ascii="Arial" w:hAnsi="Arial"/>
          <w:b/>
          <w:color w:val="000000"/>
          <w:sz w:val="20"/>
        </w:rPr>
        <w:t>TABLE OF</w:t>
      </w:r>
      <w:r>
        <w:rPr>
          <w:rFonts w:ascii="Times New Roman" w:hAnsi="Times New Roman"/>
          <w:color w:val="000000"/>
          <w:sz w:val="20"/>
        </w:rPr>
        <w:t xml:space="preserve"> </w:t>
      </w:r>
      <w:r>
        <w:rPr>
          <w:rFonts w:ascii="Arial" w:hAnsi="Arial"/>
          <w:b/>
          <w:color w:val="000000"/>
          <w:sz w:val="20"/>
        </w:rPr>
        <w:t>CONTENTS</w:t>
      </w:r>
    </w:p>
    <w:tbl>
      <w:tblPr>
        <w:tblW w:w="10205" w:type="dxa"/>
        <w:jc w:val="left"/>
        <w:tblInd w:w="0" w:type="dxa"/>
        <w:tblLayout w:type="fixed"/>
        <w:tblCellMar>
          <w:top w:w="28" w:type="dxa"/>
          <w:left w:w="28" w:type="dxa"/>
          <w:bottom w:w="28" w:type="dxa"/>
          <w:right w:w="28" w:type="dxa"/>
        </w:tblCellMar>
      </w:tblPr>
      <w:tblGrid>
        <w:gridCol w:w="9364"/>
        <w:gridCol w:w="841"/>
      </w:tblGrid>
      <w:tr>
        <w:trPr/>
        <w:tc>
          <w:tcPr>
            <w:tcW w:w="936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40" w:after="283"/>
              <w:jc w:val="center"/>
              <w:rPr>
                <w:rFonts w:ascii="Arial" w:hAnsi="Arial"/>
                <w:b/>
                <w:color w:val="000000"/>
                <w:sz w:val="19"/>
              </w:rPr>
            </w:pPr>
            <w:r>
              <w:rPr>
                <w:rFonts w:ascii="Arial" w:hAnsi="Arial"/>
                <w:b/>
                <w:color w:val="000000"/>
                <w:sz w:val="19"/>
              </w:rPr>
              <w:t>Page</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questions_and_answers_about_the_annual_m">
              <w:r>
                <w:rPr>
                  <w:rStyle w:val="InternetLink"/>
                  <w:rFonts w:ascii="Arial" w:hAnsi="Arial"/>
                  <w:color w:val="0000FF"/>
                  <w:sz w:val="19"/>
                  <w:u w:val="single"/>
                </w:rPr>
                <w:t>QUESTIONS AND ANSWERS ABOUT THE ANNUAL MEETING</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1</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board_of_directors_and_corporate_governa">
              <w:r>
                <w:rPr>
                  <w:rStyle w:val="InternetLink"/>
                  <w:rFonts w:ascii="Arial" w:hAnsi="Arial"/>
                  <w:color w:val="0000FF"/>
                  <w:sz w:val="19"/>
                  <w:u w:val="single"/>
                </w:rPr>
                <w:t>BOARD OF DIRECTORS AND CORPORATE GOVERNANCE</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9</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director_nominees">
              <w:r>
                <w:rPr>
                  <w:rStyle w:val="InternetLink"/>
                  <w:rFonts w:ascii="Arial" w:hAnsi="Arial"/>
                  <w:color w:val="0000FF"/>
                  <w:sz w:val="19"/>
                  <w:u w:val="single"/>
                </w:rPr>
                <w:t>Director Nominees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9</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ntinuing_directors">
              <w:r>
                <w:rPr>
                  <w:rStyle w:val="InternetLink"/>
                  <w:rFonts w:ascii="Arial" w:hAnsi="Arial"/>
                  <w:color w:val="0000FF"/>
                  <w:sz w:val="19"/>
                  <w:u w:val="single"/>
                </w:rPr>
                <w:t>Continuing Directors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11</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family_relationships">
              <w:r>
                <w:rPr>
                  <w:rStyle w:val="InternetLink"/>
                  <w:rFonts w:ascii="Arial" w:hAnsi="Arial"/>
                  <w:color w:val="0000FF"/>
                  <w:sz w:val="19"/>
                  <w:u w:val="single"/>
                </w:rPr>
                <w:t>Family Relationships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11</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director_independence">
              <w:r>
                <w:rPr>
                  <w:rStyle w:val="InternetLink"/>
                  <w:rFonts w:ascii="Arial" w:hAnsi="Arial"/>
                  <w:color w:val="0000FF"/>
                  <w:sz w:val="19"/>
                  <w:u w:val="single"/>
                </w:rPr>
                <w:t>Director Independence</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11</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board_leadership_structure">
              <w:r>
                <w:rPr>
                  <w:rStyle w:val="InternetLink"/>
                  <w:rFonts w:ascii="Arial" w:hAnsi="Arial"/>
                  <w:color w:val="0000FF"/>
                  <w:sz w:val="19"/>
                  <w:u w:val="single"/>
                </w:rPr>
                <w:t>Board Leadership Structure</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13</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mmittees_of_our_board_of_directors">
              <w:r>
                <w:rPr>
                  <w:rStyle w:val="InternetLink"/>
                  <w:rFonts w:ascii="Arial" w:hAnsi="Arial"/>
                  <w:color w:val="0000FF"/>
                  <w:sz w:val="19"/>
                  <w:u w:val="single"/>
                </w:rPr>
                <w:t>Committees of our Board of Directors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13</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attendance_at_board_and_stockholder_meet">
              <w:r>
                <w:rPr>
                  <w:rStyle w:val="InternetLink"/>
                  <w:rFonts w:ascii="Arial" w:hAnsi="Arial"/>
                  <w:color w:val="0000FF"/>
                  <w:sz w:val="19"/>
                  <w:u w:val="single"/>
                </w:rPr>
                <w:t>Attendance at Board and Stockholder Meetings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15</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mpensation_committee_interlocks_and_in">
              <w:r>
                <w:rPr>
                  <w:rStyle w:val="InternetLink"/>
                  <w:rFonts w:ascii="Arial" w:hAnsi="Arial"/>
                  <w:color w:val="0000FF"/>
                  <w:sz w:val="19"/>
                  <w:u w:val="single"/>
                </w:rPr>
                <w:t>Talent and Compensation Committee Interlocks and Insider Participation</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15</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nsiderations_in_evaluating_director_no">
              <w:r>
                <w:rPr>
                  <w:rStyle w:val="InternetLink"/>
                  <w:rFonts w:ascii="Arial" w:hAnsi="Arial"/>
                  <w:color w:val="0000FF"/>
                  <w:sz w:val="19"/>
                  <w:u w:val="single"/>
                </w:rPr>
                <w:t>Considerations in Evaluating Director Nominees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16</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stockholder_recommendations_for_nominati">
              <w:r>
                <w:rPr>
                  <w:rStyle w:val="InternetLink"/>
                  <w:rFonts w:ascii="Arial" w:hAnsi="Arial"/>
                  <w:color w:val="0000FF"/>
                  <w:sz w:val="19"/>
                  <w:u w:val="single"/>
                </w:rPr>
                <w:t>Stockholder Recommendations for Nominations to the Board of Directors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16</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mmunications_with_the_board_of_directo">
              <w:r>
                <w:rPr>
                  <w:rStyle w:val="InternetLink"/>
                  <w:rFonts w:ascii="Arial" w:hAnsi="Arial"/>
                  <w:color w:val="0000FF"/>
                  <w:sz w:val="19"/>
                  <w:u w:val="single"/>
                </w:rPr>
                <w:t>Communications with the Board of Directors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17</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management_and_board_diversity">
              <w:r>
                <w:rPr>
                  <w:rStyle w:val="InternetLink"/>
                  <w:rFonts w:ascii="Arial" w:hAnsi="Arial"/>
                  <w:color w:val="0000FF"/>
                  <w:sz w:val="19"/>
                  <w:u w:val="single"/>
                </w:rPr>
                <w:t>Management and Board Diversity</w:t>
              </w:r>
            </w:hyperlink>
            <w:hyperlink w:anchor="management_and_board_diversity">
              <w:r>
                <w:rPr>
                  <w:rStyle w:val="InternetLink"/>
                  <w:rFonts w:ascii="Times New Roman" w:hAnsi="Times New Roman"/>
                  <w:color w:val="0000FF"/>
                  <w:sz w:val="19"/>
                </w:rPr>
                <w:t xml:space="preserve"> </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17</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rporate_governance_guidelines_and_code">
              <w:r>
                <w:rPr>
                  <w:rStyle w:val="InternetLink"/>
                  <w:rFonts w:ascii="Arial" w:hAnsi="Arial"/>
                  <w:color w:val="0000FF"/>
                  <w:sz w:val="19"/>
                  <w:u w:val="single"/>
                </w:rPr>
                <w:t>Corporate Governance Guidelines and Code of Business Conduct and Ethics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18</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role_of_the_board_in_risk_oversight">
              <w:r>
                <w:rPr>
                  <w:rStyle w:val="InternetLink"/>
                  <w:rFonts w:ascii="Arial" w:hAnsi="Arial"/>
                  <w:color w:val="0000FF"/>
                  <w:sz w:val="19"/>
                  <w:u w:val="single"/>
                </w:rPr>
                <w:t>Role of the Board in Risk Oversight</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18</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director_compensation">
              <w:r>
                <w:rPr>
                  <w:rStyle w:val="InternetLink"/>
                  <w:rFonts w:ascii="Arial" w:hAnsi="Arial"/>
                  <w:color w:val="0000FF"/>
                  <w:sz w:val="19"/>
                  <w:u w:val="single"/>
                </w:rPr>
                <w:t>Director Compensation</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19</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proposal_no_1">
              <w:r>
                <w:rPr>
                  <w:rStyle w:val="InternetLink"/>
                  <w:rFonts w:ascii="Arial" w:hAnsi="Arial"/>
                  <w:color w:val="0000FF"/>
                  <w:sz w:val="19"/>
                  <w:u w:val="single"/>
                </w:rPr>
                <w:t>PROPOSAL NO. 1 - ELECTION OF DIRECTORS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23</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nominees">
              <w:r>
                <w:rPr>
                  <w:rStyle w:val="InternetLink"/>
                  <w:rFonts w:ascii="Arial" w:hAnsi="Arial"/>
                  <w:color w:val="0000FF"/>
                  <w:sz w:val="19"/>
                  <w:u w:val="single"/>
                </w:rPr>
                <w:t>Nominees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23</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vote_required_1">
              <w:r>
                <w:rPr>
                  <w:rStyle w:val="InternetLink"/>
                  <w:rFonts w:ascii="Arial" w:hAnsi="Arial"/>
                  <w:color w:val="0000FF"/>
                  <w:sz w:val="19"/>
                  <w:u w:val="single"/>
                </w:rPr>
                <w:t>Vote Required</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23</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proposal_no_2">
              <w:r>
                <w:rPr>
                  <w:rStyle w:val="InternetLink"/>
                  <w:rFonts w:ascii="Arial" w:hAnsi="Arial"/>
                  <w:color w:val="0000FF"/>
                  <w:sz w:val="19"/>
                  <w:u w:val="single"/>
                </w:rPr>
                <w:t>PROPOSAL NO. 2 - RATIFICATION OF APPOINTMENT OF INDEPENDENT REGISTERED PUBLIC ACCOUNTING FIRM</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24</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fees_paid_to_the_independent_registered_">
              <w:r>
                <w:rPr>
                  <w:rStyle w:val="InternetLink"/>
                  <w:rFonts w:ascii="Arial" w:hAnsi="Arial"/>
                  <w:color w:val="0000FF"/>
                  <w:sz w:val="19"/>
                  <w:u w:val="single"/>
                </w:rPr>
                <w:t>Fees Paid to the Independent Registered Public Accounting Firm</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24</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auditor_independence">
              <w:r>
                <w:rPr>
                  <w:rStyle w:val="InternetLink"/>
                  <w:rFonts w:ascii="Arial" w:hAnsi="Arial"/>
                  <w:color w:val="0000FF"/>
                  <w:sz w:val="19"/>
                  <w:u w:val="single"/>
                </w:rPr>
                <w:t>Auditor Independence</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24</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audit_committee_policy_on_pre_approval">
              <w:r>
                <w:rPr>
                  <w:rStyle w:val="InternetLink"/>
                  <w:rFonts w:ascii="Arial" w:hAnsi="Arial"/>
                  <w:color w:val="0000FF"/>
                  <w:sz w:val="19"/>
                  <w:u w:val="single"/>
                </w:rPr>
                <w:t>Audit Committee Policy on Pre-Approval of Audit and Permissible Non-Audit Services of Independent</w:t>
              </w:r>
            </w:hyperlink>
            <w:r>
              <w:rPr>
                <w:rFonts w:ascii="Times New Roman" w:hAnsi="Times New Roman"/>
                <w:color w:val="000000"/>
                <w:sz w:val="19"/>
              </w:rPr>
              <w:t xml:space="preserve"> </w:t>
            </w:r>
            <w:hyperlink w:anchor="audit_committee_policy_on_pre_approval">
              <w:r>
                <w:rPr>
                  <w:rStyle w:val="InternetLink"/>
                  <w:rFonts w:ascii="Arial" w:hAnsi="Arial"/>
                  <w:color w:val="0000FF"/>
                  <w:sz w:val="19"/>
                  <w:u w:val="single"/>
                </w:rPr>
                <w:t>Registered Public Accounting Firm</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24</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vote_required_2">
              <w:r>
                <w:rPr>
                  <w:rStyle w:val="InternetLink"/>
                  <w:rFonts w:ascii="Arial" w:hAnsi="Arial"/>
                  <w:color w:val="0000FF"/>
                  <w:sz w:val="19"/>
                  <w:u w:val="single"/>
                </w:rPr>
                <w:t>Vote Required</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25</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audit_committee_report">
              <w:r>
                <w:rPr>
                  <w:rStyle w:val="InternetLink"/>
                  <w:rFonts w:ascii="Arial" w:hAnsi="Arial"/>
                  <w:color w:val="0000FF"/>
                  <w:sz w:val="19"/>
                  <w:u w:val="single"/>
                </w:rPr>
                <w:t>AUDIT COMMITTEE REPORT</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26</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executive_officers">
              <w:r>
                <w:rPr>
                  <w:rStyle w:val="InternetLink"/>
                  <w:rFonts w:ascii="Arial" w:hAnsi="Arial"/>
                  <w:color w:val="0000FF"/>
                  <w:sz w:val="19"/>
                  <w:u w:val="single"/>
                </w:rPr>
                <w:t>EXECUTIVE OFFICERS</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27</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executive_compensation">
              <w:r>
                <w:rPr>
                  <w:rStyle w:val="InternetLink"/>
                  <w:rFonts w:ascii="Arial" w:hAnsi="Arial"/>
                  <w:color w:val="0000FF"/>
                  <w:sz w:val="19"/>
                  <w:u w:val="single"/>
                </w:rPr>
                <w:t>EXECUTIVE COMPENSATION</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27</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summary_compensation_table">
              <w:r>
                <w:rPr>
                  <w:rStyle w:val="InternetLink"/>
                  <w:rFonts w:ascii="Arial" w:hAnsi="Arial"/>
                  <w:color w:val="0000FF"/>
                  <w:sz w:val="19"/>
                  <w:u w:val="single"/>
                </w:rPr>
                <w:t>Summary Compensation Table</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27</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outstanding_equity_awards_2023_ye">
              <w:r>
                <w:rPr>
                  <w:rStyle w:val="InternetLink"/>
                  <w:rFonts w:ascii="Arial" w:hAnsi="Arial"/>
                  <w:color w:val="0000FF"/>
                  <w:sz w:val="19"/>
                  <w:u w:val="single"/>
                </w:rPr>
                <w:t>Outstanding Equity Awards at 2023 Year-End</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28</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potential_payments_upon_termination_or_c">
              <w:r>
                <w:rPr>
                  <w:rStyle w:val="InternetLink"/>
                  <w:rFonts w:ascii="Arial" w:hAnsi="Arial"/>
                  <w:color w:val="0000FF"/>
                  <w:sz w:val="19"/>
                  <w:u w:val="single"/>
                </w:rPr>
                <w:t>Potential Payments Upon Termination or Change in Control</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29</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key_executive_change_in_control_and_seve">
              <w:r>
                <w:rPr>
                  <w:rStyle w:val="InternetLink"/>
                  <w:rFonts w:ascii="Arial" w:hAnsi="Arial"/>
                  <w:color w:val="0000FF"/>
                  <w:sz w:val="19"/>
                  <w:u w:val="single"/>
                </w:rPr>
                <w:t>Key Executive Change in Control and Severance Plan</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32</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equity_compensation_plan_information">
              <w:r>
                <w:rPr>
                  <w:rStyle w:val="InternetLink"/>
                  <w:rFonts w:ascii="Arial" w:hAnsi="Arial"/>
                  <w:color w:val="0000FF"/>
                  <w:sz w:val="19"/>
                  <w:u w:val="single"/>
                </w:rPr>
                <w:t>Equity Compensation Plan Information</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37</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pay_versus_performance_">
              <w:r>
                <w:rPr>
                  <w:rStyle w:val="InternetLink"/>
                  <w:rFonts w:ascii="Arial" w:hAnsi="Arial"/>
                  <w:color w:val="0000FF"/>
                  <w:sz w:val="19"/>
                  <w:u w:val="single"/>
                </w:rPr>
                <w:t>PAY VERSUS PERFORMANCE</w:t>
              </w:r>
            </w:hyperlink>
            <w:hyperlink w:anchor="pay_versus_performance_">
              <w:r>
                <w:rPr>
                  <w:rStyle w:val="InternetLink"/>
                  <w:rFonts w:ascii="Times New Roman" w:hAnsi="Times New Roman"/>
                  <w:color w:val="0000FF"/>
                  <w:sz w:val="19"/>
                </w:rPr>
                <w:t xml:space="preserve"> </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38</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named_executive_officer_comp_overview">
              <w:r>
                <w:rPr>
                  <w:rStyle w:val="InternetLink"/>
                  <w:rFonts w:ascii="Arial" w:hAnsi="Arial"/>
                  <w:color w:val="0000FF"/>
                  <w:sz w:val="19"/>
                  <w:u w:val="single"/>
                </w:rPr>
                <w:t>NAMED EXECUTIVE OFFICER COMPENSATION OVERVIEW</w:t>
              </w:r>
            </w:hyperlink>
            <w:hyperlink w:anchor="named_executive_officer_comp_overview">
              <w:r>
                <w:rPr>
                  <w:rStyle w:val="InternetLink"/>
                  <w:rFonts w:ascii="Times New Roman" w:hAnsi="Times New Roman"/>
                  <w:color w:val="0000FF"/>
                  <w:sz w:val="19"/>
                </w:rPr>
                <w:t xml:space="preserve"> </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42</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executive_summary">
              <w:r>
                <w:rPr>
                  <w:rStyle w:val="InternetLink"/>
                  <w:rFonts w:ascii="Arial" w:hAnsi="Arial"/>
                  <w:color w:val="0000FF"/>
                  <w:sz w:val="19"/>
                  <w:u w:val="single"/>
                </w:rPr>
                <w:t>Executive Summary</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43</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mpensation_philosophy_and_objectives">
              <w:r>
                <w:rPr>
                  <w:rStyle w:val="InternetLink"/>
                  <w:rFonts w:ascii="Arial" w:hAnsi="Arial"/>
                  <w:color w:val="0000FF"/>
                  <w:sz w:val="19"/>
                  <w:u w:val="single"/>
                </w:rPr>
                <w:t>Compensation Philosophy and Objectives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44</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compensation_determination_process">
              <w:r>
                <w:rPr>
                  <w:rStyle w:val="InternetLink"/>
                  <w:rFonts w:ascii="Arial" w:hAnsi="Arial"/>
                  <w:color w:val="0000FF"/>
                  <w:sz w:val="19"/>
                  <w:u w:val="single"/>
                </w:rPr>
                <w:t>Compensation Determination Process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45</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key_components_compensation_program">
              <w:r>
                <w:rPr>
                  <w:rStyle w:val="InternetLink"/>
                  <w:rFonts w:ascii="Arial" w:hAnsi="Arial"/>
                  <w:color w:val="0000FF"/>
                  <w:sz w:val="19"/>
                  <w:u w:val="single"/>
                </w:rPr>
                <w:t>Key Components of our Compensation Program</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50</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additional_comp_policies_procedures">
              <w:r>
                <w:rPr>
                  <w:rStyle w:val="InternetLink"/>
                  <w:rFonts w:ascii="Arial" w:hAnsi="Arial"/>
                  <w:color w:val="0000FF"/>
                  <w:sz w:val="19"/>
                  <w:u w:val="single"/>
                </w:rPr>
                <w:t>Additional Compensation Policies and Practices</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54</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security_ownership_of_certain_beneficial">
              <w:r>
                <w:rPr>
                  <w:rStyle w:val="InternetLink"/>
                  <w:rFonts w:ascii="Arial" w:hAnsi="Arial"/>
                  <w:color w:val="0000FF"/>
                  <w:sz w:val="19"/>
                  <w:u w:val="single"/>
                </w:rPr>
                <w:t>SECURITY OWNERSHIP OF CERTAIN BENEFICIAL OWNERS AND MANAGEMENT</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57</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certain_relationships_related_party_and">
              <w:r>
                <w:rPr>
                  <w:rStyle w:val="InternetLink"/>
                  <w:rFonts w:ascii="Arial" w:hAnsi="Arial"/>
                  <w:color w:val="0000FF"/>
                  <w:sz w:val="19"/>
                  <w:u w:val="single"/>
                </w:rPr>
                <w:t>CERTAIN RELATIONSHIPS, RELATED PARTY AND OTHER TRANSACTIONS</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61</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environmental_social_responsibility_and">
              <w:r>
                <w:rPr>
                  <w:rStyle w:val="InternetLink"/>
                  <w:rFonts w:ascii="Arial" w:hAnsi="Arial"/>
                  <w:color w:val="0000FF"/>
                  <w:sz w:val="19"/>
                  <w:u w:val="single"/>
                </w:rPr>
                <w:t>ENVIRONMENTAL, SOCIAL RESPONSIBILITY AND GOVERNANCE MATTERS</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62</w:t>
            </w:r>
          </w:p>
        </w:tc>
      </w:tr>
      <w:tr>
        <w:trPr/>
        <w:tc>
          <w:tcPr>
            <w:tcW w:w="9364" w:type="dxa"/>
            <w:tcBorders/>
            <w:tcMar>
              <w:top w:w="0" w:type="dxa"/>
              <w:left w:w="0" w:type="dxa"/>
              <w:bottom w:w="0" w:type="dxa"/>
              <w:right w:w="0" w:type="dxa"/>
            </w:tcMar>
            <w:vAlign w:val="center"/>
          </w:tcPr>
          <w:p>
            <w:pPr>
              <w:pStyle w:val="TableContents"/>
              <w:bidi w:val="0"/>
              <w:spacing w:before="40" w:after="283"/>
              <w:jc w:val="left"/>
              <w:rPr/>
            </w:pPr>
            <w:hyperlink w:anchor="other_matters">
              <w:r>
                <w:rPr>
                  <w:rStyle w:val="InternetLink"/>
                  <w:rFonts w:ascii="Arial" w:hAnsi="Arial"/>
                  <w:color w:val="0000FF"/>
                  <w:sz w:val="19"/>
                  <w:u w:val="single"/>
                </w:rPr>
                <w:t>OTHER MATTERS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64</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delinquent_section_16a_reports">
              <w:r>
                <w:rPr>
                  <w:rStyle w:val="InternetLink"/>
                  <w:rFonts w:ascii="Arial" w:hAnsi="Arial"/>
                  <w:color w:val="0000FF"/>
                  <w:sz w:val="19"/>
                  <w:u w:val="single"/>
                </w:rPr>
                <w:t>Delinquent Section 16(a) Reports</w:t>
              </w:r>
            </w:hyperlink>
          </w:p>
        </w:tc>
        <w:tc>
          <w:tcPr>
            <w:tcW w:w="841" w:type="dxa"/>
            <w:tcBorders/>
            <w:tcMar>
              <w:top w:w="0" w:type="dxa"/>
              <w:left w:w="0" w:type="dxa"/>
              <w:bottom w:w="0" w:type="dxa"/>
              <w:right w:w="0" w:type="dxa"/>
            </w:tcMar>
            <w:vAlign w:val="center"/>
          </w:tcPr>
          <w:p>
            <w:pPr>
              <w:pStyle w:val="TableContents"/>
              <w:bidi w:val="0"/>
              <w:spacing w:before="40" w:after="283"/>
              <w:ind w:left="0" w:right="0" w:firstLine="480"/>
              <w:jc w:val="center"/>
              <w:rPr>
                <w:rFonts w:ascii="Arial" w:hAnsi="Arial"/>
                <w:color w:val="000000"/>
                <w:sz w:val="19"/>
              </w:rPr>
            </w:pPr>
            <w:r>
              <w:rPr>
                <w:rFonts w:ascii="Arial" w:hAnsi="Arial"/>
                <w:color w:val="000000"/>
                <w:sz w:val="19"/>
              </w:rPr>
              <w:t>64</w:t>
            </w:r>
          </w:p>
        </w:tc>
      </w:tr>
      <w:tr>
        <w:trPr/>
        <w:tc>
          <w:tcPr>
            <w:tcW w:w="9364" w:type="dxa"/>
            <w:tcBorders/>
            <w:tcMar>
              <w:top w:w="0" w:type="dxa"/>
              <w:left w:w="0" w:type="dxa"/>
              <w:bottom w:w="0" w:type="dxa"/>
              <w:right w:w="0" w:type="dxa"/>
            </w:tcMar>
            <w:vAlign w:val="center"/>
          </w:tcPr>
          <w:p>
            <w:pPr>
              <w:pStyle w:val="TableContents"/>
              <w:bidi w:val="0"/>
              <w:spacing w:before="40" w:after="283"/>
              <w:ind w:left="480" w:right="0" w:firstLine="480"/>
              <w:jc w:val="left"/>
              <w:rPr/>
            </w:pPr>
            <w:hyperlink w:anchor="fiscal_year_2022_annual_report_and_sec_f">
              <w:r>
                <w:rPr>
                  <w:rStyle w:val="InternetLink"/>
                  <w:rFonts w:ascii="Arial" w:hAnsi="Arial"/>
                  <w:color w:val="0000FF"/>
                  <w:sz w:val="19"/>
                  <w:u w:val="single"/>
                </w:rPr>
                <w:t>Fiscal Year 2023 Annual Report and SEC Filings</w:t>
              </w:r>
            </w:hyperlink>
          </w:p>
        </w:tc>
        <w:tc>
          <w:tcPr>
            <w:tcW w:w="8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9"/>
              </w:rPr>
            </w:pPr>
            <w:r>
              <w:rPr>
                <w:rFonts w:ascii="Arial" w:hAnsi="Arial"/>
                <w:color w:val="000000"/>
                <w:sz w:val="19"/>
              </w:rPr>
              <w:t>64</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SEER, INC.</w:t>
      </w:r>
    </w:p>
    <w:p>
      <w:pPr>
        <w:pStyle w:val="TextBody"/>
        <w:bidi w:val="0"/>
        <w:spacing w:before="0" w:after="240"/>
        <w:jc w:val="center"/>
        <w:rPr>
          <w:rFonts w:ascii="Arial" w:hAnsi="Arial"/>
          <w:b/>
          <w:color w:val="000000"/>
          <w:sz w:val="20"/>
        </w:rPr>
      </w:pPr>
      <w:r>
        <w:rPr>
          <w:rFonts w:ascii="Arial" w:hAnsi="Arial"/>
          <w:b/>
          <w:color w:val="000000"/>
          <w:sz w:val="20"/>
        </w:rPr>
        <w:t>PROXY STATEMENT</w:t>
      </w:r>
    </w:p>
    <w:p>
      <w:pPr>
        <w:pStyle w:val="TextBody"/>
        <w:bidi w:val="0"/>
        <w:jc w:val="center"/>
        <w:rPr>
          <w:rFonts w:ascii="Arial" w:hAnsi="Arial"/>
          <w:b/>
          <w:color w:val="000000"/>
          <w:sz w:val="20"/>
        </w:rPr>
      </w:pPr>
      <w:r>
        <w:rPr>
          <w:rFonts w:ascii="Arial" w:hAnsi="Arial"/>
          <w:b/>
          <w:color w:val="000000"/>
          <w:sz w:val="20"/>
        </w:rPr>
        <w:t>FOR THE 2024 ANNUAL MEETING OF STOCKHOLDERS</w:t>
      </w:r>
    </w:p>
    <w:p>
      <w:pPr>
        <w:pStyle w:val="TextBody"/>
        <w:bidi w:val="0"/>
        <w:jc w:val="center"/>
        <w:rPr>
          <w:rFonts w:ascii="Arial" w:hAnsi="Arial"/>
          <w:b/>
          <w:color w:val="000000"/>
          <w:sz w:val="20"/>
        </w:rPr>
      </w:pPr>
      <w:r>
        <w:rPr>
          <w:rFonts w:ascii="Arial" w:hAnsi="Arial"/>
          <w:b/>
          <w:color w:val="000000"/>
          <w:sz w:val="20"/>
        </w:rPr>
        <w:t>To Be Held at 1:00 p.m. Pacific Time on Wednesday, June 12, 2024</w:t>
      </w:r>
    </w:p>
    <w:p>
      <w:pPr>
        <w:pStyle w:val="TextBody"/>
        <w:bidi w:val="0"/>
        <w:spacing w:before="240" w:after="283"/>
        <w:jc w:val="left"/>
        <w:rPr>
          <w:rFonts w:ascii="Arial" w:hAnsi="Arial"/>
          <w:color w:val="000000"/>
          <w:sz w:val="20"/>
        </w:rPr>
      </w:pPr>
      <w:r>
        <w:rPr>
          <w:rFonts w:ascii="Arial" w:hAnsi="Arial"/>
          <w:color w:val="000000"/>
          <w:sz w:val="20"/>
        </w:rPr>
        <w:t>This proxy statement and the enclosed form of proxy are furnished in connection with the solicitation of proxies by our board of directors for use at the 2024 annual meeting of stockholders of Seer, Inc. (the Annual Meeting), and any postponements, adjournments or continuations thereof. The Annual Meeting will be held on Wednesday, June 12, 2024 at 1:00 p.m. Pacific Time virtually via live webcast. You will be able to attend the Annual Meeting virtually by visiting www.virtualshareholdermeeting.com/SEER2024, where you will be able to listen to the meeting live, submit questions and vote online by entering the control number on your proxy card.</w:t>
      </w:r>
    </w:p>
    <w:p>
      <w:pPr>
        <w:pStyle w:val="TextBody"/>
        <w:bidi w:val="0"/>
        <w:spacing w:before="360" w:after="283"/>
        <w:jc w:val="center"/>
        <w:rPr>
          <w:rFonts w:ascii="Arial" w:hAnsi="Arial"/>
          <w:b/>
          <w:color w:val="000000"/>
          <w:sz w:val="20"/>
        </w:rPr>
      </w:pPr>
      <w:bookmarkStart w:id="3" w:name="questions_and_answers_about_the_annual_m"/>
      <w:bookmarkEnd w:id="3"/>
      <w:r>
        <w:rPr>
          <w:rFonts w:ascii="Arial" w:hAnsi="Arial"/>
          <w:b/>
          <w:color w:val="000000"/>
          <w:sz w:val="20"/>
        </w:rPr>
        <w:t>QUESTIONS AND ANSWERS ABOUT THE ANNUAL MEETING</w:t>
      </w:r>
    </w:p>
    <w:p>
      <w:pPr>
        <w:pStyle w:val="TextBody"/>
        <w:bidi w:val="0"/>
        <w:spacing w:before="240" w:after="283"/>
        <w:jc w:val="left"/>
        <w:rPr>
          <w:rFonts w:ascii="Arial" w:hAnsi="Arial"/>
          <w:color w:val="000000"/>
          <w:sz w:val="20"/>
        </w:rPr>
      </w:pPr>
      <w:r>
        <w:rPr>
          <w:rFonts w:ascii="Arial" w:hAnsi="Arial"/>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before="240" w:after="283"/>
        <w:jc w:val="left"/>
        <w:rPr>
          <w:rFonts w:ascii="Arial" w:hAnsi="Arial"/>
          <w:b/>
          <w:color w:val="000000"/>
          <w:sz w:val="20"/>
        </w:rPr>
      </w:pPr>
      <w:r>
        <w:rPr>
          <w:rFonts w:ascii="Arial" w:hAnsi="Arial"/>
          <w:b/>
          <w:color w:val="000000"/>
          <w:sz w:val="20"/>
        </w:rPr>
        <w:t>Why am I receiving these materials?</w:t>
      </w:r>
    </w:p>
    <w:p>
      <w:pPr>
        <w:pStyle w:val="TextBody"/>
        <w:bidi w:val="0"/>
        <w:spacing w:before="240" w:after="283"/>
        <w:jc w:val="left"/>
        <w:rPr>
          <w:rFonts w:ascii="Arial" w:hAnsi="Arial"/>
          <w:color w:val="000000"/>
          <w:sz w:val="20"/>
        </w:rPr>
      </w:pPr>
      <w:r>
        <w:rPr>
          <w:rFonts w:ascii="Arial" w:hAnsi="Arial"/>
          <w:color w:val="000000"/>
          <w:sz w:val="20"/>
        </w:rPr>
        <w:t>Our board of directors is providing these proxy materials to you in connection with its solicitation of proxies for use at the Annual Meeting, which will take place on June 12, 2024. Stockholders are invited to attend the Annual Meeting and are requested to vote on the proposals described in this proxy statement. This proxy statement and the accompanying proxy card are being mailed on or about May 3, 2024 in connection with the solicitation of proxies on behalf of our board of directors. All stockholders will have the ability to access via the Internet this proxy statement, and our Annual Report as filed with the Securities and Exchange Commission (the SEC) on March 4, 2024.</w:t>
      </w:r>
    </w:p>
    <w:p>
      <w:pPr>
        <w:pStyle w:val="TextBody"/>
        <w:bidi w:val="0"/>
        <w:spacing w:before="240" w:after="283"/>
        <w:jc w:val="left"/>
        <w:rPr>
          <w:rFonts w:ascii="Arial" w:hAnsi="Arial"/>
          <w:b/>
          <w:color w:val="000000"/>
          <w:sz w:val="20"/>
        </w:rPr>
      </w:pPr>
      <w:r>
        <w:rPr>
          <w:rFonts w:ascii="Arial" w:hAnsi="Arial"/>
          <w:b/>
          <w:color w:val="000000"/>
          <w:sz w:val="20"/>
        </w:rPr>
        <w:t>What proposals will be voted on at the Annual Meeting?</w:t>
      </w:r>
    </w:p>
    <w:p>
      <w:pPr>
        <w:pStyle w:val="TextBody"/>
        <w:bidi w:val="0"/>
        <w:spacing w:before="240" w:after="283"/>
        <w:jc w:val="left"/>
        <w:rPr>
          <w:rFonts w:ascii="Arial" w:hAnsi="Arial"/>
          <w:color w:val="000000"/>
          <w:sz w:val="20"/>
        </w:rPr>
      </w:pPr>
      <w:r>
        <w:rPr>
          <w:rFonts w:ascii="Arial" w:hAnsi="Arial"/>
          <w:color w:val="000000"/>
          <w:sz w:val="20"/>
        </w:rPr>
        <w:t>There are two proposals scheduled to be voted on at the Annual Meeting:</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election of Omid Farokhzad, M.D., Meeta Gulyani, David Hallal and Terrance McGuire as directors to serve until the 2025 annual meeting of stockholders or until their successors are duly elected and qualified;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ratification of the appointment of Deloitte &amp; Touche LLP as our independent registered public accounting firm for our fiscal year ending December 31, 2024;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to transact such other business as may properly come before the Annual Meeting or any adjournments or postponements thereof.</w:t>
      </w:r>
    </w:p>
    <w:p>
      <w:pPr>
        <w:pStyle w:val="TextBody"/>
        <w:bidi w:val="0"/>
        <w:spacing w:before="240" w:after="283"/>
        <w:jc w:val="left"/>
        <w:rPr>
          <w:rFonts w:ascii="Arial" w:hAnsi="Arial"/>
          <w:color w:val="000000"/>
          <w:sz w:val="20"/>
        </w:rPr>
      </w:pPr>
      <w:r>
        <w:rPr>
          <w:rFonts w:ascii="Arial" w:hAnsi="Arial"/>
          <w:color w:val="000000"/>
          <w:sz w:val="20"/>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How does our board of directors recommend that I vote?</w:t>
      </w:r>
    </w:p>
    <w:p>
      <w:pPr>
        <w:pStyle w:val="TextBody"/>
        <w:bidi w:val="0"/>
        <w:spacing w:before="240" w:after="283"/>
        <w:jc w:val="left"/>
        <w:rPr>
          <w:rFonts w:ascii="Arial" w:hAnsi="Arial"/>
          <w:color w:val="000000"/>
          <w:sz w:val="20"/>
        </w:rPr>
      </w:pPr>
      <w:r>
        <w:rPr>
          <w:rFonts w:ascii="Arial" w:hAnsi="Arial"/>
          <w:color w:val="000000"/>
          <w:sz w:val="20"/>
        </w:rPr>
        <w:t>Our board of directors recommends that you vote: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the election of each of Dr. Farokhzad, Ms. Gulyani, Mr. Hallal and Mr. McGuire as directors;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the ratification of the appointment of Deloitte &amp; Touche LLP as our independent registered public accounting firm for our fiscal year ending December 31, 2024.</w:t>
      </w:r>
    </w:p>
    <w:p>
      <w:pPr>
        <w:pStyle w:val="TextBody"/>
        <w:bidi w:val="0"/>
        <w:spacing w:before="240" w:after="283"/>
        <w:jc w:val="left"/>
        <w:rPr>
          <w:rFonts w:ascii="Arial" w:hAnsi="Arial"/>
          <w:b/>
          <w:color w:val="000000"/>
          <w:sz w:val="20"/>
        </w:rPr>
      </w:pPr>
      <w:r>
        <w:rPr>
          <w:rFonts w:ascii="Arial" w:hAnsi="Arial"/>
          <w:b/>
          <w:color w:val="000000"/>
          <w:sz w:val="20"/>
        </w:rPr>
        <w:t>Who is entitled to vote at the Annual Meeting?</w:t>
      </w:r>
    </w:p>
    <w:p>
      <w:pPr>
        <w:pStyle w:val="TextBody"/>
        <w:bidi w:val="0"/>
        <w:spacing w:before="240" w:after="283"/>
        <w:jc w:val="left"/>
        <w:rPr>
          <w:rFonts w:ascii="Arial" w:hAnsi="Arial"/>
          <w:color w:val="000000"/>
          <w:sz w:val="20"/>
        </w:rPr>
      </w:pPr>
      <w:r>
        <w:rPr>
          <w:rFonts w:ascii="Arial" w:hAnsi="Arial"/>
          <w:color w:val="000000"/>
          <w:sz w:val="20"/>
        </w:rPr>
        <w:t>Holders of our common stock at the close of business on April 18, 2024, the record date for the Annual Meeting (the Record Date), are entitled to notice of and to vote at the Annual Meeting. Each stockholder is entitled to one vote for each share of our Class A common stock and ten votes for each share of our Class B common stock held as of the Record Date. As of the Record Date, there were 60,891,711 shares of Class A common stock and 4,044,969 shares of Class B common stock outstanding and entitled to vote. Stockholders are not permitted to cumulate votes with respect to the election of directors.</w:t>
      </w:r>
    </w:p>
    <w:p>
      <w:pPr>
        <w:pStyle w:val="TextBody"/>
        <w:bidi w:val="0"/>
        <w:spacing w:before="240" w:after="283"/>
        <w:jc w:val="left"/>
        <w:rPr>
          <w:rFonts w:ascii="Times New Roman" w:hAnsi="Times New Roman"/>
          <w:sz w:val="20"/>
        </w:rPr>
      </w:pPr>
      <w:r>
        <w:rPr>
          <w:rFonts w:ascii="Arial" w:hAnsi="Arial"/>
          <w:i/>
          <w:color w:val="000000"/>
          <w:sz w:val="20"/>
        </w:rPr>
        <w:t>Stockholders of Record – Shares Registered in Your Name.</w:t>
      </w:r>
      <w:r>
        <w:rPr>
          <w:rFonts w:ascii="Times New Roman" w:hAnsi="Times New Roman"/>
          <w:color w:val="000000"/>
          <w:sz w:val="20"/>
        </w:rPr>
        <w:t xml:space="preserve"> </w:t>
      </w:r>
      <w:r>
        <w:rPr>
          <w:rFonts w:ascii="Arial" w:hAnsi="Arial"/>
          <w:color w:val="000000"/>
          <w:sz w:val="20"/>
        </w:rPr>
        <w:t>If, at the close of business on the Record Date, your shares were registered 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pStyle w:val="TextBody"/>
        <w:bidi w:val="0"/>
        <w:spacing w:before="240" w:after="283"/>
        <w:jc w:val="left"/>
        <w:rPr>
          <w:rFonts w:ascii="Times New Roman" w:hAnsi="Times New Roman"/>
          <w:sz w:val="20"/>
        </w:rPr>
      </w:pPr>
      <w:r>
        <w:rPr>
          <w:rFonts w:ascii="Arial" w:hAnsi="Arial"/>
          <w:i/>
          <w:color w:val="000000"/>
          <w:sz w:val="20"/>
        </w:rPr>
        <w:t>Street Name Stockholders – Shares Registered in the Name of a Broker, Bank or Other Nominee.</w:t>
      </w:r>
      <w:r>
        <w:rPr>
          <w:rFonts w:ascii="Times New Roman" w:hAnsi="Times New Roman"/>
          <w:color w:val="000000"/>
          <w:sz w:val="20"/>
        </w:rPr>
        <w:t xml:space="preserve"> </w:t>
      </w:r>
      <w:r>
        <w:rPr>
          <w:rFonts w:ascii="Arial" w:hAnsi="Arial"/>
          <w:color w:val="000000"/>
          <w:sz w:val="20"/>
        </w:rPr>
        <w:t>If, at the close of business on the 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p>
    <w:p>
      <w:pPr>
        <w:pStyle w:val="TextBody"/>
        <w:bidi w:val="0"/>
        <w:spacing w:before="240" w:after="283"/>
        <w:jc w:val="left"/>
        <w:rPr>
          <w:rFonts w:ascii="Arial" w:hAnsi="Arial"/>
          <w:b/>
          <w:color w:val="000000"/>
          <w:sz w:val="20"/>
        </w:rPr>
      </w:pPr>
      <w:r>
        <w:rPr>
          <w:rFonts w:ascii="Arial" w:hAnsi="Arial"/>
          <w:b/>
          <w:color w:val="000000"/>
          <w:sz w:val="20"/>
        </w:rPr>
        <w:t>How many votes are needed for approval of each proposal?</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i/>
          <w:color w:val="000000"/>
          <w:sz w:val="20"/>
        </w:rPr>
        <w:t xml:space="preserve">Proposal No. 1: </w:t>
      </w:r>
      <w:r>
        <w:rPr>
          <w:rFonts w:ascii="Arial" w:hAnsi="Arial"/>
          <w:color w:val="000000"/>
          <w:sz w:val="20"/>
        </w:rPr>
        <w:t>The election of each director requires a plurality of the votes of the shares of our common stock present in person (including virtually) or represented by proxy at the Annual Meeting and entitled to vote thereon to be approved. “Plurality” means that the four nominees who receive the most votes cast FOR will be elected as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the proposal.</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i/>
          <w:color w:val="000000"/>
          <w:sz w:val="20"/>
        </w:rPr>
        <w:t xml:space="preserve">Proposal No. 2: </w:t>
      </w:r>
      <w:r>
        <w:rPr>
          <w:rFonts w:ascii="Arial" w:hAnsi="Arial"/>
          <w:color w:val="000000"/>
          <w:sz w:val="20"/>
        </w:rPr>
        <w:t>The ratification of the appointment of Deloitte &amp; Touche LLP as our independent registered public accounting firm for our fiscal year ending December 31, 2024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w:t>
      </w:r>
    </w:p>
    <w:p>
      <w:pPr>
        <w:pStyle w:val="TextBody"/>
        <w:bidi w:val="0"/>
        <w:spacing w:before="240" w:after="283"/>
        <w:jc w:val="left"/>
        <w:rPr>
          <w:rFonts w:ascii="Arial" w:hAnsi="Arial"/>
          <w:b/>
          <w:color w:val="000000"/>
          <w:sz w:val="20"/>
        </w:rPr>
      </w:pPr>
      <w:r>
        <w:rPr>
          <w:rFonts w:ascii="Arial" w:hAnsi="Arial"/>
          <w:b/>
          <w:color w:val="000000"/>
          <w:sz w:val="20"/>
        </w:rPr>
        <w:t>What is a quorum?</w:t>
      </w:r>
    </w:p>
    <w:p>
      <w:pPr>
        <w:pStyle w:val="TextBody"/>
        <w:bidi w:val="0"/>
        <w:spacing w:before="240" w:after="283"/>
        <w:jc w:val="left"/>
        <w:rPr>
          <w:rFonts w:ascii="Arial" w:hAnsi="Arial"/>
          <w:color w:val="000000"/>
          <w:sz w:val="20"/>
        </w:rPr>
      </w:pPr>
      <w:r>
        <w:rPr>
          <w:rFonts w:ascii="Arial" w:hAnsi="Arial"/>
          <w:color w:val="000000"/>
          <w:sz w:val="20"/>
        </w:rPr>
        <w:t>A quorum is the minimum number of shares required to be present at the Annual Meeting for the annual meeting of stockholders to be properly held under our amended and restated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pStyle w:val="TextBody"/>
        <w:bidi w:val="0"/>
        <w:spacing w:before="240" w:after="283"/>
        <w:jc w:val="left"/>
        <w:rPr>
          <w:rFonts w:ascii="Arial" w:hAnsi="Arial"/>
          <w:b/>
          <w:color w:val="000000"/>
          <w:sz w:val="20"/>
        </w:rPr>
      </w:pPr>
      <w:r>
        <w:rPr>
          <w:rFonts w:ascii="Arial" w:hAnsi="Arial"/>
          <w:b/>
          <w:color w:val="000000"/>
          <w:sz w:val="20"/>
        </w:rPr>
        <w:t>What do I need to do to attend the Annual Meeting?</w:t>
      </w:r>
    </w:p>
    <w:p>
      <w:pPr>
        <w:pStyle w:val="TextBody"/>
        <w:bidi w:val="0"/>
        <w:spacing w:before="240" w:after="283"/>
        <w:jc w:val="left"/>
        <w:rPr>
          <w:rFonts w:ascii="Arial" w:hAnsi="Arial"/>
          <w:color w:val="000000"/>
          <w:sz w:val="20"/>
        </w:rPr>
      </w:pPr>
      <w:r>
        <w:rPr>
          <w:rFonts w:ascii="Arial" w:hAnsi="Arial"/>
          <w:color w:val="000000"/>
          <w:sz w:val="20"/>
        </w:rPr>
        <w:t>You will be able to attend the Annual Meeting virtually, submit your questions during the meeting and vote your shares electronically at the meeting by visiting www.virtualshareholdermeeting.com/SEER2024.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pStyle w:val="TextBody"/>
        <w:bidi w:val="0"/>
        <w:spacing w:before="240" w:after="283"/>
        <w:jc w:val="left"/>
        <w:rPr>
          <w:rFonts w:ascii="Arial" w:hAnsi="Arial"/>
          <w:b/>
          <w:color w:val="000000"/>
          <w:sz w:val="20"/>
        </w:rPr>
      </w:pPr>
      <w:r>
        <w:rPr>
          <w:rFonts w:ascii="Arial" w:hAnsi="Arial"/>
          <w:b/>
          <w:color w:val="000000"/>
          <w:sz w:val="20"/>
        </w:rPr>
        <w:t>How do I vote and what are the voting deadlines?</w:t>
      </w:r>
    </w:p>
    <w:p>
      <w:pPr>
        <w:pStyle w:val="TextBody"/>
        <w:bidi w:val="0"/>
        <w:spacing w:before="240" w:after="283"/>
        <w:jc w:val="left"/>
        <w:rPr>
          <w:rFonts w:ascii="Times New Roman" w:hAnsi="Times New Roman"/>
          <w:sz w:val="20"/>
        </w:rPr>
      </w:pPr>
      <w:r>
        <w:rPr>
          <w:rFonts w:ascii="Arial" w:hAnsi="Arial"/>
          <w:i/>
          <w:color w:val="000000"/>
          <w:sz w:val="20"/>
        </w:rPr>
        <w:t>Stockholders of Record.</w:t>
      </w:r>
      <w:r>
        <w:rPr>
          <w:rFonts w:ascii="Times New Roman" w:hAnsi="Times New Roman"/>
          <w:color w:val="000000"/>
          <w:sz w:val="20"/>
        </w:rPr>
        <w:t xml:space="preserve"> </w:t>
      </w:r>
      <w:r>
        <w:rPr>
          <w:rFonts w:ascii="Arial" w:hAnsi="Arial"/>
          <w:color w:val="000000"/>
          <w:sz w:val="20"/>
        </w:rPr>
        <w:t>If you are a stockholder of record, you can vote in one of the following ways: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0"/>
        </w:rPr>
        <w:t>You may vote via the Internet.</w:t>
      </w:r>
      <w:r>
        <w:rPr>
          <w:color w:val="000000"/>
        </w:rPr>
        <w:t xml:space="preserve"> </w:t>
      </w:r>
      <w:r>
        <w:rPr>
          <w:rFonts w:ascii="Arial" w:hAnsi="Arial"/>
          <w:color w:val="000000"/>
          <w:sz w:val="20"/>
        </w:rPr>
        <w:t>To vote via the Internet prior to the Annual Meeting, go to www.proxyvote.com to complete an electronic proxy card. You will be asked to provide the control number from the proxy card you receive. Your vote must be received by 11:59 p.m. Eastern Time on June 11, 2024 to be counted. If you vote via the Internet prior to the Annual Meeting, you do not need to return a proxy card by mail.</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0"/>
        </w:rPr>
        <w:t xml:space="preserve">You may vote by telephone. </w:t>
      </w:r>
      <w:r>
        <w:rPr>
          <w:rFonts w:ascii="Arial" w:hAnsi="Arial"/>
          <w:color w:val="000000"/>
          <w:sz w:val="20"/>
        </w:rPr>
        <w:t>To vote by telephone, dial 1-800-579-1639 (toll-free in the United States and Canada; toll charges apply to calls from other countries) and follow the recorded instructions. You will be asked to provide the control number from the proxy card. Your vote must be received by 11:59 p.m. Eastern Time on June 11, 2024 to be counted. If you vote by telephone, you do not need to return a proxy card by mail.</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0"/>
        </w:rPr>
        <w:t>You may vote by mail.</w:t>
      </w:r>
      <w:r>
        <w:rPr>
          <w:color w:val="000000"/>
        </w:rPr>
        <w:t xml:space="preserve"> </w:t>
      </w:r>
      <w:r>
        <w:rPr>
          <w:rFonts w:ascii="Arial" w:hAnsi="Arial"/>
          <w:color w:val="000000"/>
          <w:sz w:val="20"/>
        </w:rPr>
        <w:t>To vote by mail, you need to complete, date and sign the proxy card that accompanies this proxy statement and return it promptly by mail so that it is received no later than June 11, 2024.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0"/>
        </w:rPr>
        <w:t>You may vote virtually during the Annual Meeting.</w:t>
      </w:r>
      <w:r>
        <w:rPr>
          <w:color w:val="000000"/>
        </w:rPr>
        <w:t xml:space="preserve"> </w:t>
      </w:r>
      <w:r>
        <w:rPr>
          <w:rFonts w:ascii="Arial" w:hAnsi="Arial"/>
          <w:color w:val="000000"/>
          <w:sz w:val="20"/>
        </w:rPr>
        <w:t>If you plan to attend the Annual Meeting by visiting www.virtualshareholdermeeting.com/SEER2024, you may vote electronically and submit questions during the meeting. Please have your proxy card in hand when you visit the website.</w:t>
      </w:r>
    </w:p>
    <w:p>
      <w:pPr>
        <w:pStyle w:val="TextBody"/>
        <w:bidi w:val="0"/>
        <w:spacing w:before="240" w:after="283"/>
        <w:jc w:val="left"/>
        <w:rPr>
          <w:rFonts w:ascii="Arial" w:hAnsi="Arial"/>
          <w:color w:val="000000"/>
          <w:sz w:val="20"/>
        </w:rPr>
      </w:pPr>
      <w:r>
        <w:rPr>
          <w:rFonts w:ascii="Arial" w:hAnsi="Arial"/>
          <w:color w:val="000000"/>
          <w:sz w:val="20"/>
        </w:rPr>
        <w:t>Even if you plan to attend the Annual Meeting, we recommend that you also vote by proxy so that your vote will be counted if you later decide not to attend the Annual Meeting.</w:t>
      </w:r>
    </w:p>
    <w:p>
      <w:pPr>
        <w:pStyle w:val="TextBody"/>
        <w:bidi w:val="0"/>
        <w:spacing w:before="240" w:after="283"/>
        <w:jc w:val="left"/>
        <w:rPr>
          <w:rFonts w:ascii="Times New Roman" w:hAnsi="Times New Roman"/>
          <w:sz w:val="20"/>
        </w:rPr>
      </w:pPr>
      <w:r>
        <w:rPr>
          <w:rFonts w:ascii="Arial" w:hAnsi="Arial"/>
          <w:i/>
          <w:color w:val="000000"/>
          <w:sz w:val="20"/>
        </w:rPr>
        <w:t>Street Name Stockholders.</w:t>
      </w:r>
      <w:r>
        <w:rPr>
          <w:rFonts w:ascii="Times New Roman" w:hAnsi="Times New Roman"/>
          <w:color w:val="000000"/>
          <w:sz w:val="20"/>
        </w:rPr>
        <w:t xml:space="preserve"> </w:t>
      </w:r>
      <w:r>
        <w:rPr>
          <w:rFonts w:ascii="Arial" w:hAnsi="Arial"/>
          <w:color w:val="000000"/>
          <w:sz w:val="20"/>
        </w:rPr>
        <w:t xml:space="preserve">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 w:hAnsi="Arial"/>
          <w:b/>
          <w:color w:val="000000"/>
          <w:sz w:val="20"/>
        </w:rPr>
        <w:t>As discussed above, if you are a street name stockholder, you may not vote your shares live at the Annual Meeting unless you obtain a legal proxy from your broker, bank or other nominee.</w:t>
      </w:r>
    </w:p>
    <w:p>
      <w:pPr>
        <w:pStyle w:val="TextBody"/>
        <w:bidi w:val="0"/>
        <w:spacing w:before="240" w:after="283"/>
        <w:jc w:val="left"/>
        <w:rPr>
          <w:rFonts w:ascii="Arial" w:hAnsi="Arial"/>
          <w:b/>
          <w:color w:val="000000"/>
          <w:sz w:val="20"/>
        </w:rPr>
      </w:pPr>
      <w:r>
        <w:rPr>
          <w:rFonts w:ascii="Arial" w:hAnsi="Arial"/>
          <w:b/>
          <w:color w:val="000000"/>
          <w:sz w:val="20"/>
        </w:rPr>
        <w:t>Can I change my vote or revoke my proxy?</w:t>
      </w:r>
    </w:p>
    <w:p>
      <w:pPr>
        <w:pStyle w:val="TextBody"/>
        <w:bidi w:val="0"/>
        <w:spacing w:before="240" w:after="283"/>
        <w:jc w:val="left"/>
        <w:rPr>
          <w:rFonts w:ascii="Times New Roman" w:hAnsi="Times New Roman"/>
          <w:sz w:val="20"/>
        </w:rPr>
      </w:pPr>
      <w:r>
        <w:rPr>
          <w:rFonts w:ascii="Arial" w:hAnsi="Arial"/>
          <w:i/>
          <w:color w:val="000000"/>
          <w:sz w:val="20"/>
        </w:rPr>
        <w:t xml:space="preserve">Stockholders of Record. </w:t>
      </w:r>
      <w:r>
        <w:rPr>
          <w:rFonts w:ascii="Arial" w:hAnsi="Arial"/>
          <w:color w:val="000000"/>
          <w:sz w:val="20"/>
        </w:rPr>
        <w:t>If you are a stockholder of record, you may revoke your proxy or change your proxy instructions at any time before your proxy is voted at the Annual Meeting by:</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entering a new vote by Internet or telephone;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signing and returning a new proxy card with a later date;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delivering a written revocation to our Chief Legal Officer at Seer, Inc., 3800 Bridge Parkway, Suite 102, Redwood City, California 94065, by 11:59 p.m. Eastern Time on June 11, 2024; or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attending the Annual Meeting and voting in person (including virtually).</w:t>
      </w:r>
    </w:p>
    <w:p>
      <w:pPr>
        <w:pStyle w:val="TextBody"/>
        <w:bidi w:val="0"/>
        <w:spacing w:before="240" w:after="283"/>
        <w:jc w:val="left"/>
        <w:rPr>
          <w:rFonts w:ascii="Times New Roman" w:hAnsi="Times New Roman"/>
          <w:sz w:val="20"/>
        </w:rPr>
      </w:pPr>
      <w:r>
        <w:rPr>
          <w:rFonts w:ascii="Arial" w:hAnsi="Arial"/>
          <w:i/>
          <w:color w:val="000000"/>
          <w:sz w:val="20"/>
        </w:rPr>
        <w:t>Street Name Stockholders.</w:t>
      </w:r>
      <w:r>
        <w:rPr>
          <w:rFonts w:ascii="Times New Roman" w:hAnsi="Times New Roman"/>
          <w:color w:val="000000"/>
          <w:sz w:val="20"/>
        </w:rPr>
        <w:t xml:space="preserve"> </w:t>
      </w:r>
      <w:r>
        <w:rPr>
          <w:rFonts w:ascii="Arial" w:hAnsi="Arial"/>
          <w:color w:val="000000"/>
          <w:sz w:val="20"/>
        </w:rPr>
        <w:t>If you are a street name stockholder, you must contact the broker, bank or other nominee holding your shares and follow their instructions to change your vote or revoke your proxy.</w:t>
      </w:r>
    </w:p>
    <w:p>
      <w:pPr>
        <w:pStyle w:val="TextBody"/>
        <w:bidi w:val="0"/>
        <w:spacing w:before="240" w:after="283"/>
        <w:jc w:val="left"/>
        <w:rPr>
          <w:rFonts w:ascii="Arial" w:hAnsi="Arial"/>
          <w:b/>
          <w:color w:val="000000"/>
          <w:sz w:val="20"/>
        </w:rPr>
      </w:pPr>
      <w:r>
        <w:rPr>
          <w:rFonts w:ascii="Arial" w:hAnsi="Arial"/>
          <w:b/>
          <w:color w:val="000000"/>
          <w:sz w:val="20"/>
        </w:rPr>
        <w:t>What is the effect of giving a proxy?</w:t>
      </w:r>
    </w:p>
    <w:p>
      <w:pPr>
        <w:pStyle w:val="TextBody"/>
        <w:bidi w:val="0"/>
        <w:spacing w:before="240" w:after="283"/>
        <w:jc w:val="left"/>
        <w:rPr>
          <w:rFonts w:ascii="Arial" w:hAnsi="Arial"/>
          <w:color w:val="000000"/>
          <w:sz w:val="20"/>
        </w:rPr>
      </w:pPr>
      <w:r>
        <w:rPr>
          <w:rFonts w:ascii="Arial" w:hAnsi="Arial"/>
          <w:color w:val="000000"/>
          <w:sz w:val="20"/>
        </w:rPr>
        <w:t>Proxies are solicited by and on behalf of our board of directors. David Horn and Elona Kogan have been designated as the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 can vote your shares on the new meeting date, unless you have properly revoked your proxy, as described above.</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What if I do not specify how my shares are to be voted?</w:t>
      </w:r>
    </w:p>
    <w:p>
      <w:pPr>
        <w:pStyle w:val="TextBody"/>
        <w:bidi w:val="0"/>
        <w:spacing w:before="240" w:after="283"/>
        <w:jc w:val="left"/>
        <w:rPr>
          <w:rFonts w:ascii="Times New Roman" w:hAnsi="Times New Roman"/>
          <w:sz w:val="20"/>
        </w:rPr>
      </w:pPr>
      <w:r>
        <w:rPr>
          <w:rFonts w:ascii="Arial" w:hAnsi="Arial"/>
          <w:i/>
          <w:color w:val="000000"/>
          <w:sz w:val="20"/>
        </w:rPr>
        <w:t>Stockholders of Record.</w:t>
      </w:r>
      <w:r>
        <w:rPr>
          <w:rFonts w:ascii="Times New Roman" w:hAnsi="Times New Roman"/>
          <w:color w:val="000000"/>
          <w:sz w:val="20"/>
        </w:rPr>
        <w:t xml:space="preserve"> </w:t>
      </w:r>
      <w:r>
        <w:rPr>
          <w:rFonts w:ascii="Arial" w:hAnsi="Arial"/>
          <w:color w:val="000000"/>
          <w:sz w:val="20"/>
        </w:rPr>
        <w:t>If you are a stockholder of record and you submit a proxy but you do not provide voting instructions, your shares will be voted: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FOR the election of each of the four directors nominated by our board of directors and named in this proxy statement (Proposal No. 1);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the ratification of the appointment of Deloitte &amp; Touche LLP as our independent registered public accounting firm for our fiscal year ending December 31, 2024 (Proposal No. 2);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In the discretion of the named proxy holder regarding any other matters properly presented for a vote at the Annual Meeting.</w:t>
      </w:r>
    </w:p>
    <w:p>
      <w:pPr>
        <w:pStyle w:val="TextBody"/>
        <w:bidi w:val="0"/>
        <w:spacing w:before="240" w:after="283"/>
        <w:jc w:val="left"/>
        <w:rPr>
          <w:rFonts w:ascii="Times New Roman" w:hAnsi="Times New Roman"/>
          <w:sz w:val="20"/>
        </w:rPr>
      </w:pPr>
      <w:r>
        <w:rPr>
          <w:rFonts w:ascii="Arial" w:hAnsi="Arial"/>
          <w:i/>
          <w:color w:val="000000"/>
          <w:sz w:val="20"/>
        </w:rPr>
        <w:t>Street Name Stockholders.</w:t>
      </w:r>
      <w:r>
        <w:rPr>
          <w:rFonts w:ascii="Times New Roman" w:hAnsi="Times New Roman"/>
          <w:color w:val="000000"/>
          <w:sz w:val="20"/>
        </w:rPr>
        <w:t xml:space="preserve"> </w:t>
      </w:r>
      <w:r>
        <w:rPr>
          <w:rFonts w:ascii="Arial" w:hAnsi="Arial"/>
          <w:color w:val="000000"/>
          <w:sz w:val="20"/>
        </w:rPr>
        <w:t>If you are a street name stockholder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is a non-routine matter,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which would result in a “broker non-vote,” but may, in its discretion, vote your shares with respect to Proposal No. 2. For additional information regarding broker non-votes, see “What are the effects of abstentions and broker non-votes?” below.</w:t>
      </w:r>
    </w:p>
    <w:p>
      <w:pPr>
        <w:pStyle w:val="TextBody"/>
        <w:bidi w:val="0"/>
        <w:spacing w:before="240" w:after="283"/>
        <w:jc w:val="left"/>
        <w:rPr>
          <w:rFonts w:ascii="Arial" w:hAnsi="Arial"/>
          <w:b/>
          <w:color w:val="000000"/>
          <w:sz w:val="20"/>
        </w:rPr>
      </w:pPr>
      <w:r>
        <w:rPr>
          <w:rFonts w:ascii="Arial" w:hAnsi="Arial"/>
          <w:b/>
          <w:color w:val="000000"/>
          <w:sz w:val="20"/>
        </w:rPr>
        <w:t>What are the effects of abstentions and broker non-votes?</w:t>
      </w:r>
    </w:p>
    <w:p>
      <w:pPr>
        <w:pStyle w:val="TextBody"/>
        <w:bidi w:val="0"/>
        <w:spacing w:before="240" w:after="283"/>
        <w:jc w:val="left"/>
        <w:rPr>
          <w:rFonts w:ascii="Arial" w:hAnsi="Arial"/>
          <w:color w:val="000000"/>
          <w:sz w:val="20"/>
        </w:rPr>
      </w:pPr>
      <w:r>
        <w:rPr>
          <w:rFonts w:ascii="Arial" w:hAnsi="Arial"/>
          <w:color w:val="000000"/>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(e.g., Proposal No. 2). However, because the outcome of Proposal No. 1 (election of directors) will be determined by a plurality vote, there is no required vote that would constitute approval, abstentions will have no impact on the outcome of such proposals as long as a quorum exists.</w:t>
      </w:r>
    </w:p>
    <w:p>
      <w:pPr>
        <w:pStyle w:val="TextBody"/>
        <w:bidi w:val="0"/>
        <w:spacing w:before="240" w:after="283"/>
        <w:jc w:val="left"/>
        <w:rPr>
          <w:rFonts w:ascii="Arial" w:hAnsi="Arial"/>
          <w:color w:val="000000"/>
          <w:sz w:val="20"/>
        </w:rPr>
      </w:pPr>
      <w:r>
        <w:rPr>
          <w:rFonts w:ascii="Arial" w:hAnsi="Arial"/>
          <w:color w:val="000000"/>
          <w:sz w:val="20"/>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How are proxies solicited for the Annual Meeting and who is paying for such solicitation?</w:t>
      </w:r>
    </w:p>
    <w:p>
      <w:pPr>
        <w:pStyle w:val="TextBody"/>
        <w:bidi w:val="0"/>
        <w:spacing w:before="240" w:after="283"/>
        <w:jc w:val="left"/>
        <w:rPr>
          <w:rFonts w:ascii="Arial" w:hAnsi="Arial"/>
          <w:color w:val="000000"/>
          <w:sz w:val="20"/>
        </w:rPr>
      </w:pPr>
      <w:r>
        <w:rPr>
          <w:rFonts w:ascii="Arial" w:hAnsi="Arial"/>
          <w:color w:val="000000"/>
          <w:sz w:val="20"/>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pStyle w:val="TextBody"/>
        <w:bidi w:val="0"/>
        <w:spacing w:before="240" w:after="283"/>
        <w:jc w:val="left"/>
        <w:rPr>
          <w:rFonts w:ascii="Arial" w:hAnsi="Arial"/>
          <w:color w:val="000000"/>
          <w:sz w:val="20"/>
        </w:rPr>
      </w:pPr>
      <w:r>
        <w:rPr>
          <w:rFonts w:ascii="Arial" w:hAnsi="Arial"/>
          <w:color w:val="000000"/>
          <w:sz w:val="20"/>
        </w:rPr>
        <w:t>If you choose to access the proxy materials and/or vote over the Internet, you are responsible for Internet access charges you may incur. If you choose to vote by telephone, you are responsible for telephone charges you may incur.</w:t>
      </w:r>
    </w:p>
    <w:p>
      <w:pPr>
        <w:pStyle w:val="TextBody"/>
        <w:bidi w:val="0"/>
        <w:spacing w:before="240" w:after="283"/>
        <w:jc w:val="left"/>
        <w:rPr>
          <w:rFonts w:ascii="Arial" w:hAnsi="Arial"/>
          <w:b/>
          <w:color w:val="000000"/>
          <w:sz w:val="20"/>
        </w:rPr>
      </w:pPr>
      <w:r>
        <w:rPr>
          <w:rFonts w:ascii="Arial" w:hAnsi="Arial"/>
          <w:b/>
          <w:color w:val="000000"/>
          <w:sz w:val="20"/>
        </w:rPr>
        <w:t>What does it mean if I received more than one Notice?</w:t>
      </w:r>
    </w:p>
    <w:p>
      <w:pPr>
        <w:pStyle w:val="TextBody"/>
        <w:bidi w:val="0"/>
        <w:spacing w:before="240" w:after="283"/>
        <w:jc w:val="left"/>
        <w:rPr>
          <w:rFonts w:ascii="Arial" w:hAnsi="Arial"/>
          <w:color w:val="000000"/>
          <w:sz w:val="20"/>
        </w:rPr>
      </w:pPr>
      <w:r>
        <w:rPr>
          <w:rFonts w:ascii="Arial" w:hAnsi="Arial"/>
          <w:color w:val="000000"/>
          <w:sz w:val="20"/>
        </w:rPr>
        <w:t>If you receive more than one Notice, your shares may be registered in more than one name or in different accounts. Please follow the voting instructions on each Notice to ensure that all of your shares are voted.</w:t>
      </w:r>
    </w:p>
    <w:p>
      <w:pPr>
        <w:pStyle w:val="TextBody"/>
        <w:bidi w:val="0"/>
        <w:spacing w:before="240" w:after="283"/>
        <w:jc w:val="left"/>
        <w:rPr>
          <w:rFonts w:ascii="Arial" w:hAnsi="Arial"/>
          <w:b/>
          <w:color w:val="000000"/>
          <w:sz w:val="20"/>
        </w:rPr>
      </w:pPr>
      <w:r>
        <w:rPr>
          <w:rFonts w:ascii="Arial" w:hAnsi="Arial"/>
          <w:b/>
          <w:color w:val="000000"/>
          <w:sz w:val="20"/>
        </w:rPr>
        <w:t>Is my vote confidential?</w:t>
      </w:r>
    </w:p>
    <w:p>
      <w:pPr>
        <w:pStyle w:val="TextBody"/>
        <w:bidi w:val="0"/>
        <w:spacing w:before="240" w:after="283"/>
        <w:jc w:val="left"/>
        <w:rPr>
          <w:rFonts w:ascii="Arial" w:hAnsi="Arial"/>
          <w:color w:val="000000"/>
          <w:sz w:val="20"/>
        </w:rPr>
      </w:pPr>
      <w:r>
        <w:rPr>
          <w:rFonts w:ascii="Arial" w:hAnsi="Arial"/>
          <w:color w:val="000000"/>
          <w:sz w:val="20"/>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pStyle w:val="TextBody"/>
        <w:bidi w:val="0"/>
        <w:spacing w:before="240" w:after="283"/>
        <w:jc w:val="left"/>
        <w:rPr>
          <w:rFonts w:ascii="Arial" w:hAnsi="Arial"/>
          <w:b/>
          <w:color w:val="000000"/>
          <w:sz w:val="20"/>
        </w:rPr>
      </w:pPr>
      <w:r>
        <w:rPr>
          <w:rFonts w:ascii="Arial" w:hAnsi="Arial"/>
          <w:b/>
          <w:color w:val="000000"/>
          <w:sz w:val="20"/>
        </w:rPr>
        <w:t>I share an address with another stockholder, and we received only one paper copy of the proxy materials. How may I obtain an additional copy of the proxy materials?</w:t>
      </w:r>
    </w:p>
    <w:p>
      <w:pPr>
        <w:pStyle w:val="TextBody"/>
        <w:bidi w:val="0"/>
        <w:spacing w:before="240" w:after="283"/>
        <w:jc w:val="left"/>
        <w:rPr>
          <w:rFonts w:ascii="Arial" w:hAnsi="Arial"/>
          <w:color w:val="000000"/>
          <w:sz w:val="20"/>
        </w:rPr>
      </w:pPr>
      <w:r>
        <w:rPr>
          <w:rFonts w:ascii="Arial" w:hAnsi="Arial"/>
          <w:color w:val="000000"/>
          <w:sz w:val="20"/>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pStyle w:val="TextBody"/>
        <w:bidi w:val="0"/>
        <w:spacing w:before="240" w:after="283"/>
        <w:jc w:val="center"/>
        <w:rPr>
          <w:rFonts w:ascii="Arial" w:hAnsi="Arial"/>
          <w:color w:val="000000"/>
          <w:sz w:val="20"/>
        </w:rPr>
      </w:pPr>
      <w:r>
        <w:rPr>
          <w:rFonts w:ascii="Arial" w:hAnsi="Arial"/>
          <w:color w:val="000000"/>
          <w:sz w:val="20"/>
        </w:rPr>
        <w:t>Seer, Inc.</w:t>
      </w:r>
    </w:p>
    <w:p>
      <w:pPr>
        <w:pStyle w:val="TextBody"/>
        <w:bidi w:val="0"/>
        <w:jc w:val="center"/>
        <w:rPr>
          <w:rFonts w:ascii="Arial" w:hAnsi="Arial"/>
          <w:color w:val="000000"/>
          <w:sz w:val="20"/>
        </w:rPr>
      </w:pPr>
      <w:r>
        <w:rPr>
          <w:rFonts w:ascii="Arial" w:hAnsi="Arial"/>
          <w:color w:val="000000"/>
          <w:sz w:val="20"/>
        </w:rPr>
        <w:t>Attention: Chief Legal Officer</w:t>
      </w:r>
    </w:p>
    <w:p>
      <w:pPr>
        <w:pStyle w:val="TextBody"/>
        <w:bidi w:val="0"/>
        <w:jc w:val="center"/>
        <w:rPr>
          <w:rFonts w:ascii="Arial" w:hAnsi="Arial"/>
          <w:color w:val="000000"/>
          <w:sz w:val="20"/>
        </w:rPr>
      </w:pPr>
      <w:r>
        <w:rPr>
          <w:rFonts w:ascii="Arial" w:hAnsi="Arial"/>
          <w:color w:val="000000"/>
          <w:sz w:val="20"/>
        </w:rPr>
        <w:t>3800 Bridge Parkway, Suite 102</w:t>
      </w:r>
    </w:p>
    <w:p>
      <w:pPr>
        <w:pStyle w:val="TextBody"/>
        <w:bidi w:val="0"/>
        <w:jc w:val="center"/>
        <w:rPr>
          <w:rFonts w:ascii="Arial" w:hAnsi="Arial"/>
          <w:color w:val="000000"/>
          <w:sz w:val="20"/>
        </w:rPr>
      </w:pPr>
      <w:r>
        <w:rPr>
          <w:rFonts w:ascii="Arial" w:hAnsi="Arial"/>
          <w:color w:val="000000"/>
          <w:sz w:val="20"/>
        </w:rPr>
        <w:t>Redwood City, California 94065</w:t>
      </w:r>
    </w:p>
    <w:p>
      <w:pPr>
        <w:pStyle w:val="TextBody"/>
        <w:bidi w:val="0"/>
        <w:jc w:val="center"/>
        <w:rPr>
          <w:rFonts w:ascii="Arial" w:hAnsi="Arial"/>
          <w:color w:val="000000"/>
          <w:sz w:val="20"/>
        </w:rPr>
      </w:pPr>
      <w:r>
        <w:rPr>
          <w:rFonts w:ascii="Arial" w:hAnsi="Arial"/>
          <w:color w:val="000000"/>
          <w:sz w:val="20"/>
        </w:rPr>
        <w:t>(650) 453-0000</w:t>
      </w:r>
    </w:p>
    <w:p>
      <w:pPr>
        <w:pStyle w:val="TextBody"/>
        <w:bidi w:val="0"/>
        <w:spacing w:before="240" w:after="283"/>
        <w:jc w:val="left"/>
        <w:rPr>
          <w:rFonts w:ascii="Arial" w:hAnsi="Arial"/>
          <w:color w:val="000000"/>
          <w:sz w:val="20"/>
        </w:rPr>
      </w:pPr>
      <w:r>
        <w:rPr>
          <w:rFonts w:ascii="Arial" w:hAnsi="Arial"/>
          <w:color w:val="000000"/>
          <w:sz w:val="20"/>
        </w:rPr>
        <w:t>Stockholders who hold shares in street name may contact their brokerage firm, bank, broker-dealer or other nominee to request information about householding.</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How can I find out the results of the voting at the Annual Meeting?</w:t>
      </w:r>
    </w:p>
    <w:p>
      <w:pPr>
        <w:pStyle w:val="TextBody"/>
        <w:bidi w:val="0"/>
        <w:spacing w:before="240" w:after="283"/>
        <w:jc w:val="left"/>
        <w:rPr>
          <w:rFonts w:ascii="Arial" w:hAnsi="Arial"/>
          <w:color w:val="000000"/>
          <w:sz w:val="20"/>
        </w:rPr>
      </w:pPr>
      <w:r>
        <w:rPr>
          <w:rFonts w:ascii="Arial" w:hAnsi="Arial"/>
          <w:color w:val="000000"/>
          <w:sz w:val="20"/>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pStyle w:val="TextBody"/>
        <w:bidi w:val="0"/>
        <w:spacing w:before="240" w:after="283"/>
        <w:jc w:val="left"/>
        <w:rPr>
          <w:rFonts w:ascii="Arial" w:hAnsi="Arial"/>
          <w:b/>
          <w:color w:val="000000"/>
          <w:sz w:val="20"/>
        </w:rPr>
      </w:pPr>
      <w:r>
        <w:rPr>
          <w:rFonts w:ascii="Arial" w:hAnsi="Arial"/>
          <w:b/>
          <w:color w:val="000000"/>
          <w:sz w:val="20"/>
        </w:rPr>
        <w:t>What is the deadline to propose actions for consideration at next year’s annual meeting of stockholders or to nominate individuals to serve as directors?</w:t>
      </w:r>
    </w:p>
    <w:p>
      <w:pPr>
        <w:pStyle w:val="TextBody"/>
        <w:bidi w:val="0"/>
        <w:spacing w:before="240" w:after="283"/>
        <w:jc w:val="left"/>
        <w:rPr>
          <w:rFonts w:ascii="Arial" w:hAnsi="Arial"/>
          <w:i/>
          <w:color w:val="000000"/>
          <w:sz w:val="20"/>
        </w:rPr>
      </w:pPr>
      <w:r>
        <w:rPr>
          <w:rFonts w:ascii="Arial" w:hAnsi="Arial"/>
          <w:i/>
          <w:color w:val="000000"/>
          <w:sz w:val="20"/>
        </w:rPr>
        <w:t>Stockholder Proposals</w:t>
      </w:r>
    </w:p>
    <w:p>
      <w:pPr>
        <w:pStyle w:val="TextBody"/>
        <w:bidi w:val="0"/>
        <w:spacing w:before="240" w:after="283"/>
        <w:jc w:val="left"/>
        <w:rPr>
          <w:rFonts w:ascii="Arial" w:hAnsi="Arial"/>
          <w:color w:val="000000"/>
          <w:sz w:val="20"/>
        </w:rPr>
      </w:pPr>
      <w:r>
        <w:rPr>
          <w:rFonts w:ascii="Arial" w:hAnsi="Arial"/>
          <w:color w:val="000000"/>
          <w:sz w:val="20"/>
        </w:rPr>
        <w:t>Stockholders may present proper proposals for inclusion in our proxy statement and for consideration at next year’s annual meeting of stockholders by submitting their proposals in writing to our Chief Legal Officer in a timely manner. For a stockholder proposal to be considered for inclusion in our proxy statement for our 2025 annual meeting of stockholders, our Chief Legal Officer must receive the written proposal at our principal executive office not later than December 20, 2024.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pStyle w:val="TextBody"/>
        <w:bidi w:val="0"/>
        <w:spacing w:before="240" w:after="283"/>
        <w:jc w:val="center"/>
        <w:rPr>
          <w:rFonts w:ascii="Arial" w:hAnsi="Arial"/>
          <w:color w:val="000000"/>
          <w:sz w:val="20"/>
        </w:rPr>
      </w:pPr>
      <w:r>
        <w:rPr>
          <w:rFonts w:ascii="Arial" w:hAnsi="Arial"/>
          <w:color w:val="000000"/>
          <w:sz w:val="20"/>
        </w:rPr>
        <w:t>Seer, Inc.</w:t>
      </w:r>
    </w:p>
    <w:p>
      <w:pPr>
        <w:pStyle w:val="TextBody"/>
        <w:bidi w:val="0"/>
        <w:jc w:val="center"/>
        <w:rPr>
          <w:rFonts w:ascii="Arial" w:hAnsi="Arial"/>
          <w:color w:val="000000"/>
          <w:sz w:val="20"/>
        </w:rPr>
      </w:pPr>
      <w:r>
        <w:rPr>
          <w:rFonts w:ascii="Arial" w:hAnsi="Arial"/>
          <w:color w:val="000000"/>
          <w:sz w:val="20"/>
        </w:rPr>
        <w:t>Attention: Chief Legal Officer</w:t>
      </w:r>
    </w:p>
    <w:p>
      <w:pPr>
        <w:pStyle w:val="TextBody"/>
        <w:bidi w:val="0"/>
        <w:jc w:val="center"/>
        <w:rPr>
          <w:rFonts w:ascii="Arial" w:hAnsi="Arial"/>
          <w:color w:val="000000"/>
          <w:sz w:val="20"/>
        </w:rPr>
      </w:pPr>
      <w:r>
        <w:rPr>
          <w:rFonts w:ascii="Arial" w:hAnsi="Arial"/>
          <w:color w:val="000000"/>
          <w:sz w:val="20"/>
        </w:rPr>
        <w:t>3800 Bridge Parkway, Suite 102</w:t>
      </w:r>
    </w:p>
    <w:p>
      <w:pPr>
        <w:pStyle w:val="TextBody"/>
        <w:bidi w:val="0"/>
        <w:jc w:val="center"/>
        <w:rPr>
          <w:rFonts w:ascii="Arial" w:hAnsi="Arial"/>
          <w:color w:val="000000"/>
          <w:sz w:val="20"/>
        </w:rPr>
      </w:pPr>
      <w:r>
        <w:rPr>
          <w:rFonts w:ascii="Arial" w:hAnsi="Arial"/>
          <w:color w:val="000000"/>
          <w:sz w:val="20"/>
        </w:rPr>
        <w:t>Redwood City, California 94065</w:t>
      </w:r>
    </w:p>
    <w:p>
      <w:pPr>
        <w:pStyle w:val="TextBody"/>
        <w:bidi w:val="0"/>
        <w:spacing w:before="240" w:after="283"/>
        <w:jc w:val="left"/>
        <w:rPr>
          <w:rFonts w:ascii="Arial" w:hAnsi="Arial"/>
          <w:color w:val="000000"/>
          <w:sz w:val="20"/>
        </w:rPr>
      </w:pPr>
      <w:r>
        <w:rPr>
          <w:rFonts w:ascii="Arial" w:hAnsi="Arial"/>
          <w:color w:val="000000"/>
          <w:sz w:val="20"/>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Chief Legal Officer, which notice must contain the information specified in our bylaws. To be timely for our 2025 annual meeting of stockholders, our Chief Legal Officer must receive the written notice at our principal executive office: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not earlier than February 3, 2025;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not later than March 5, 2025.</w:t>
      </w:r>
    </w:p>
    <w:p>
      <w:pPr>
        <w:pStyle w:val="TextBody"/>
        <w:bidi w:val="0"/>
        <w:spacing w:before="240" w:after="283"/>
        <w:jc w:val="left"/>
        <w:rPr>
          <w:rFonts w:ascii="Arial" w:hAnsi="Arial"/>
          <w:color w:val="000000"/>
          <w:sz w:val="20"/>
        </w:rPr>
      </w:pPr>
      <w:r>
        <w:rPr>
          <w:rFonts w:ascii="Arial" w:hAnsi="Arial"/>
          <w:color w:val="000000"/>
          <w:sz w:val="20"/>
        </w:rPr>
        <w:t>In the event that we hold our 2025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90th day prior to such annual meeting; or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10th day following the day on which public announcement of the date of such annual meeting is first made.</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pStyle w:val="TextBody"/>
        <w:bidi w:val="0"/>
        <w:spacing w:before="240" w:after="283"/>
        <w:jc w:val="left"/>
        <w:rPr>
          <w:rFonts w:ascii="Arial" w:hAnsi="Arial"/>
          <w:color w:val="000000"/>
          <w:sz w:val="20"/>
        </w:rPr>
      </w:pPr>
      <w:r>
        <w:rPr>
          <w:rFonts w:ascii="Arial" w:hAnsi="Arial"/>
          <w:color w:val="000000"/>
          <w:sz w:val="20"/>
        </w:rPr>
        <w:t>Stockholders who, among other things, hold continuously (i) 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 (iii) at least $25,000 in market value of the outstanding shares of our common stock for at least one year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Chief Legal Officer at the address set forth above. For additional information regarding stockholder recommendations for director candidates, see the section titled “Board of Directors and Corporate Governance—Stockholder Recommendations for Nominations to the Board of Directors.”</w:t>
      </w:r>
    </w:p>
    <w:p>
      <w:pPr>
        <w:pStyle w:val="TextBody"/>
        <w:bidi w:val="0"/>
        <w:spacing w:before="240" w:after="283"/>
        <w:jc w:val="left"/>
        <w:rPr>
          <w:rFonts w:ascii="Arial" w:hAnsi="Arial"/>
          <w:color w:val="000000"/>
          <w:sz w:val="20"/>
        </w:rPr>
      </w:pPr>
      <w:r>
        <w:rPr>
          <w:rFonts w:ascii="Arial" w:hAnsi="Arial"/>
          <w:color w:val="000000"/>
          <w:sz w:val="20"/>
        </w:rPr>
        <w:t>In addition, our bylaws permit stockholders to nominate directors for election at an annual meeting of stockholders. To nominate a director, the stockholder must provide the information required by our bylaws. In addition, the stockholder must give timely notice to our Chief Legal Officer in accordance with our bylaws, which, in general, require that the notice be received by our Chief Legal Officer within the time period described above under “Stockholder Proposals” for stockholder proposals that are not intended to be included in a proxy statement.</w:t>
      </w:r>
    </w:p>
    <w:p>
      <w:pPr>
        <w:pStyle w:val="TextBody"/>
        <w:bidi w:val="0"/>
        <w:spacing w:before="240" w:after="283"/>
        <w:jc w:val="left"/>
        <w:rPr>
          <w:rFonts w:ascii="Arial" w:hAnsi="Arial"/>
          <w:color w:val="000000"/>
          <w:sz w:val="20"/>
        </w:rPr>
      </w:pPr>
      <w:r>
        <w:rPr>
          <w:rFonts w:ascii="Arial" w:hAnsi="Arial"/>
          <w:color w:val="000000"/>
          <w:sz w:val="20"/>
        </w:rPr>
        <w:t>In addition to satisfying the requirements of our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April 13, 2025.</w:t>
      </w:r>
    </w:p>
    <w:p>
      <w:pPr>
        <w:pStyle w:val="TextBody"/>
        <w:bidi w:val="0"/>
        <w:spacing w:before="240" w:after="283"/>
        <w:jc w:val="left"/>
        <w:rPr>
          <w:rFonts w:ascii="Arial" w:hAnsi="Arial"/>
          <w:i/>
          <w:color w:val="000000"/>
          <w:sz w:val="20"/>
        </w:rPr>
      </w:pPr>
      <w:r>
        <w:rPr>
          <w:rFonts w:ascii="Arial" w:hAnsi="Arial"/>
          <w:i/>
          <w:color w:val="000000"/>
          <w:sz w:val="20"/>
        </w:rPr>
        <w:t>Availability of Bylaws</w:t>
      </w:r>
    </w:p>
    <w:p>
      <w:pPr>
        <w:pStyle w:val="TextBody"/>
        <w:bidi w:val="0"/>
        <w:spacing w:before="240" w:after="283"/>
        <w:jc w:val="left"/>
        <w:rPr>
          <w:rFonts w:ascii="Arial" w:hAnsi="Arial"/>
          <w:color w:val="000000"/>
          <w:sz w:val="20"/>
        </w:rPr>
      </w:pPr>
      <w:r>
        <w:rPr>
          <w:rFonts w:ascii="Arial" w:hAnsi="Arial"/>
          <w:color w:val="000000"/>
          <w:sz w:val="20"/>
        </w:rPr>
        <w:t>A copy of our amended and restated bylaws may be obtained by accessing our public filings on the SEC’s website at www.sec.gov. You may also contact our Chief Legal Officer at our principal executive office for a copy of the relevant bylaw provisions regarding the requirements for making stockholder proposals and nominating director candidates.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4" w:name="board_of_directors_and_corporate_governa"/>
      <w:bookmarkEnd w:id="4"/>
      <w:r>
        <w:rPr>
          <w:rFonts w:ascii="Arial" w:hAnsi="Arial"/>
          <w:b/>
          <w:color w:val="000000"/>
          <w:sz w:val="20"/>
        </w:rPr>
        <w:t>BOARD OF DIRECTORS AND CORPORATE GOVERNANCE</w:t>
      </w:r>
    </w:p>
    <w:p>
      <w:pPr>
        <w:pStyle w:val="TextBody"/>
        <w:bidi w:val="0"/>
        <w:spacing w:before="240" w:after="283"/>
        <w:jc w:val="left"/>
        <w:rPr>
          <w:rFonts w:ascii="Times New Roman" w:hAnsi="Times New Roman"/>
          <w:sz w:val="20"/>
        </w:rPr>
      </w:pPr>
      <w:r>
        <w:rPr>
          <w:rFonts w:ascii="Arial" w:hAnsi="Arial"/>
          <w:color w:val="000000"/>
          <w:sz w:val="20"/>
        </w:rPr>
        <w:t>Our business affairs are managed under the direction of our board of directors, which currently consists of seven (7) members. Our board of directors has affirmatively determined that five (5) of our seven (7) directors qualify as “independent” within the meaning of the listing standards of the Nasdaq Stock Market LLC (Nasdaq). Our board of directors is currently divided into two classes with staggered terms. Following the Annual Meeting, our board of directors will consist of one class, with all directors having terms that will expire at our 2025 annual meeting of stockholders.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Upon the recommendation of our corporate governance and nominating committee, we are nominating Dr. Farokhzad, Ms. Gulyani, Mr. Hallal and Mr. McGuire as directors at the Annual Meeting to serve for a one-year term until our 2025 annual meeting of stockholders.</w:t>
      </w:r>
    </w:p>
    <w:p>
      <w:pPr>
        <w:pStyle w:val="TextBody"/>
        <w:bidi w:val="0"/>
        <w:spacing w:before="240" w:after="283"/>
        <w:jc w:val="left"/>
        <w:rPr>
          <w:rFonts w:ascii="Arial" w:hAnsi="Arial"/>
          <w:color w:val="000000"/>
          <w:sz w:val="20"/>
        </w:rPr>
      </w:pPr>
      <w:r>
        <w:rPr>
          <w:rFonts w:ascii="Arial" w:hAnsi="Arial"/>
          <w:color w:val="000000"/>
          <w:sz w:val="20"/>
        </w:rPr>
        <w:t>The following table sets forth the names and ages as of March 31, 2024 and certain other information for each of the directors with terms expiring at the Annual Meeting (who are also nominees for election as a director at the Annual Meeting), and for each of the continuing directors: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1"/>
        <w:gridCol w:w="146"/>
        <w:gridCol w:w="146"/>
        <w:gridCol w:w="316"/>
        <w:gridCol w:w="146"/>
        <w:gridCol w:w="146"/>
        <w:gridCol w:w="2617"/>
        <w:gridCol w:w="146"/>
        <w:gridCol w:w="908"/>
        <w:gridCol w:w="146"/>
        <w:gridCol w:w="1093"/>
        <w:gridCol w:w="146"/>
        <w:gridCol w:w="540"/>
        <w:gridCol w:w="1285"/>
        <w:gridCol w:w="473"/>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Director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Current Term Expires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 of Term For Which Nominated</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 Nominees</w:t>
            </w:r>
          </w:p>
        </w:tc>
        <w:tc>
          <w:tcPr>
            <w:tcW w:w="146" w:type="dxa"/>
            <w:tcBorders/>
            <w:shd w:fill="CFF0FC" w:val="clear"/>
            <w:vAlign w:val="center"/>
          </w:tcPr>
          <w:p>
            <w:pPr>
              <w:pStyle w:val="TableContents"/>
              <w:bidi w:val="0"/>
              <w:spacing w:before="0" w:after="283"/>
              <w:jc w:val="left"/>
              <w:rPr/>
            </w:pPr>
            <w:r>
              <w:rPr/>
              <w:t> </w:t>
            </w:r>
          </w:p>
        </w:tc>
        <w:tc>
          <w:tcPr>
            <w:tcW w:w="4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1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5" w:type="dxa"/>
            <w:gridSpan w:val="2"/>
            <w:tcBorders/>
            <w:shd w:fill="CFF0FC" w:val="clear"/>
            <w:vAlign w:val="center"/>
          </w:tcPr>
          <w:p>
            <w:pPr>
              <w:pStyle w:val="TableContents"/>
              <w:bidi w:val="0"/>
              <w:spacing w:before="0" w:after="283"/>
              <w:jc w:val="right"/>
              <w:rPr/>
            </w:pPr>
            <w:r>
              <w:rPr/>
              <w:t> </w:t>
            </w:r>
          </w:p>
        </w:tc>
        <w:tc>
          <w:tcPr>
            <w:tcW w:w="473" w:type="dxa"/>
            <w:tcBorders/>
            <w:shd w:fill="CFF0FC" w:val="clear"/>
            <w:vAlign w:val="center"/>
          </w:tcPr>
          <w:p>
            <w:pPr>
              <w:pStyle w:val="TableContents"/>
              <w:bidi w:val="0"/>
              <w:spacing w:before="0" w:after="283"/>
              <w:ind w:left="0" w:right="0" w:firstLine="280"/>
              <w:jc w:val="right"/>
              <w:rPr/>
            </w:pPr>
            <w:r>
              <w:rPr/>
              <w:t> </w:t>
            </w:r>
          </w:p>
        </w:tc>
      </w:tr>
      <w:tr>
        <w:trPr/>
        <w:tc>
          <w:tcPr>
            <w:tcW w:w="19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Omid Farokhzad,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 and Chair of the Board of Directors</w:t>
            </w:r>
          </w:p>
        </w:tc>
        <w:tc>
          <w:tcPr>
            <w:tcW w:w="146"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2017</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825"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473" w:type="dxa"/>
            <w:tcBorders/>
            <w:shd w:fill="FFFFFF" w:val="clear"/>
            <w:vAlign w:val="center"/>
          </w:tcPr>
          <w:p>
            <w:pPr>
              <w:pStyle w:val="TableContents"/>
              <w:bidi w:val="0"/>
              <w:spacing w:before="0" w:after="283"/>
              <w:ind w:left="0" w:right="0" w:firstLine="280"/>
              <w:jc w:val="right"/>
              <w:rPr/>
            </w:pPr>
            <w:r>
              <w:rPr/>
              <w:t> </w:t>
            </w:r>
          </w:p>
        </w:tc>
      </w:tr>
      <w:tr>
        <w:trPr/>
        <w:tc>
          <w:tcPr>
            <w:tcW w:w="1951"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Meeta Gulyani</w:t>
            </w:r>
            <w:r>
              <w:rPr>
                <w:rFonts w:ascii="Times New Roman" w:hAnsi="Times New Roman"/>
                <w:color w:val="000000"/>
                <w:sz w:val="20"/>
              </w:rPr>
              <w:t> </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1825"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473" w:type="dxa"/>
            <w:tcBorders/>
            <w:shd w:fill="CFF0FC" w:val="clear"/>
            <w:vAlign w:val="center"/>
          </w:tcPr>
          <w:p>
            <w:pPr>
              <w:pStyle w:val="TableContents"/>
              <w:bidi w:val="0"/>
              <w:spacing w:before="0" w:after="283"/>
              <w:ind w:left="0" w:right="0" w:firstLine="280"/>
              <w:jc w:val="right"/>
              <w:rPr/>
            </w:pPr>
            <w:r>
              <w:rPr/>
              <w:t> </w:t>
            </w:r>
          </w:p>
        </w:tc>
      </w:tr>
      <w:tr>
        <w:trPr/>
        <w:tc>
          <w:tcPr>
            <w:tcW w:w="1951"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David Hallal </w:t>
            </w:r>
            <w:r>
              <w:rPr>
                <w:rFonts w:ascii="Arial" w:hAnsi="Arial"/>
                <w:color w:val="000000"/>
                <w:sz w:val="13"/>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Lead Independent Director</w:t>
            </w:r>
          </w:p>
        </w:tc>
        <w:tc>
          <w:tcPr>
            <w:tcW w:w="146"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2018</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825"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473" w:type="dxa"/>
            <w:tcBorders/>
            <w:shd w:fill="FFFFFF" w:val="clear"/>
            <w:vAlign w:val="center"/>
          </w:tcPr>
          <w:p>
            <w:pPr>
              <w:pStyle w:val="TableContents"/>
              <w:bidi w:val="0"/>
              <w:spacing w:before="0" w:after="283"/>
              <w:ind w:left="0" w:right="0" w:firstLine="280"/>
              <w:jc w:val="right"/>
              <w:rPr/>
            </w:pPr>
            <w:r>
              <w:rPr/>
              <w:t> </w:t>
            </w:r>
          </w:p>
        </w:tc>
      </w:tr>
      <w:tr>
        <w:trPr/>
        <w:tc>
          <w:tcPr>
            <w:tcW w:w="1951"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Terrance McGuire</w:t>
            </w:r>
            <w:r>
              <w:rPr>
                <w:rFonts w:ascii="Times New Roman" w:hAnsi="Times New Roman"/>
                <w:color w:val="000000"/>
                <w:sz w:val="20"/>
              </w:rPr>
              <w:t> </w:t>
            </w:r>
            <w:r>
              <w:rPr>
                <w:rFonts w:ascii="Arial" w:hAnsi="Arial"/>
                <w:color w:val="000000"/>
                <w:sz w:val="13"/>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2017</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1825"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473" w:type="dxa"/>
            <w:tcBorders/>
            <w:shd w:fill="CFF0FC" w:val="clear"/>
            <w:vAlign w:val="center"/>
          </w:tcPr>
          <w:p>
            <w:pPr>
              <w:pStyle w:val="TableContents"/>
              <w:bidi w:val="0"/>
              <w:spacing w:before="0" w:after="283"/>
              <w:jc w:val="right"/>
              <w:rPr/>
            </w:pPr>
            <w:r>
              <w:rPr/>
              <w:t> </w:t>
            </w:r>
          </w:p>
        </w:tc>
      </w:tr>
      <w:tr>
        <w:trPr/>
        <w:tc>
          <w:tcPr>
            <w:tcW w:w="195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Continuing Directors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2"/>
            <w:tcBorders/>
            <w:shd w:fill="FFFFFF" w:val="clear"/>
            <w:vAlign w:val="center"/>
          </w:tcPr>
          <w:p>
            <w:pPr>
              <w:pStyle w:val="TableContents"/>
              <w:bidi w:val="0"/>
              <w:spacing w:before="0" w:after="283"/>
              <w:jc w:val="right"/>
              <w:rPr/>
            </w:pPr>
            <w:r>
              <w:rPr/>
              <w:t> </w:t>
            </w:r>
          </w:p>
        </w:tc>
        <w:tc>
          <w:tcPr>
            <w:tcW w:w="473" w:type="dxa"/>
            <w:tcBorders/>
            <w:shd w:fill="FFFFFF" w:val="clear"/>
            <w:vAlign w:val="center"/>
          </w:tcPr>
          <w:p>
            <w:pPr>
              <w:pStyle w:val="TableContents"/>
              <w:bidi w:val="0"/>
              <w:spacing w:before="0" w:after="283"/>
              <w:ind w:left="0" w:right="0" w:firstLine="280"/>
              <w:jc w:val="right"/>
              <w:rPr/>
            </w:pPr>
            <w:r>
              <w:rPr/>
              <w:t> </w:t>
            </w:r>
          </w:p>
        </w:tc>
      </w:tr>
      <w:tr>
        <w:trPr/>
        <w:tc>
          <w:tcPr>
            <w:tcW w:w="1951"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Robert Langer, Sc.D.</w:t>
            </w:r>
            <w:r>
              <w:rPr>
                <w:rFonts w:ascii="Arial" w:hAnsi="Arial"/>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2017</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left"/>
              <w:rPr/>
            </w:pPr>
            <w:r>
              <w:rPr/>
              <w:t> </w:t>
            </w:r>
          </w:p>
        </w:tc>
        <w:tc>
          <w:tcPr>
            <w:tcW w:w="1285" w:type="dxa"/>
            <w:tcBorders/>
            <w:shd w:fill="CFF0FC" w:val="clear"/>
            <w:vAlign w:val="center"/>
          </w:tcPr>
          <w:p>
            <w:pPr>
              <w:pStyle w:val="TableContents"/>
              <w:bidi w:val="0"/>
              <w:spacing w:before="0" w:after="283"/>
              <w:jc w:val="right"/>
              <w:rPr>
                <w:color w:val="000000"/>
              </w:rPr>
            </w:pPr>
            <w:r>
              <w:rPr>
                <w:color w:val="000000"/>
              </w:rPr>
              <w:t>—</w:t>
            </w:r>
          </w:p>
        </w:tc>
        <w:tc>
          <w:tcPr>
            <w:tcW w:w="473" w:type="dxa"/>
            <w:tcBorders/>
            <w:shd w:fill="CFF0FC" w:val="clear"/>
            <w:vAlign w:val="center"/>
          </w:tcPr>
          <w:p>
            <w:pPr>
              <w:pStyle w:val="TableContents"/>
              <w:bidi w:val="0"/>
              <w:spacing w:before="0" w:after="283"/>
              <w:ind w:left="0" w:right="0" w:firstLine="280"/>
              <w:jc w:val="left"/>
              <w:rPr/>
            </w:pPr>
            <w:r>
              <w:rPr/>
              <w:t> </w:t>
            </w:r>
          </w:p>
        </w:tc>
      </w:tr>
      <w:tr>
        <w:trPr/>
        <w:tc>
          <w:tcPr>
            <w:tcW w:w="1951"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Rachel Haurwitz, Ph.D. </w:t>
            </w:r>
            <w:r>
              <w:rPr>
                <w:rFonts w:ascii="Arial" w:hAnsi="Arial"/>
                <w:color w:val="000000"/>
                <w:sz w:val="13"/>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color w:val="000000"/>
              </w:rPr>
            </w:pPr>
            <w:r>
              <w:rPr>
                <w:color w:val="000000"/>
              </w:rPr>
              <w:t>—</w:t>
            </w:r>
          </w:p>
        </w:tc>
        <w:tc>
          <w:tcPr>
            <w:tcW w:w="473" w:type="dxa"/>
            <w:tcBorders/>
            <w:shd w:fill="FFFFFF" w:val="clear"/>
            <w:vAlign w:val="center"/>
          </w:tcPr>
          <w:p>
            <w:pPr>
              <w:pStyle w:val="TableContents"/>
              <w:bidi w:val="0"/>
              <w:spacing w:before="0" w:after="283"/>
              <w:ind w:left="0" w:right="0" w:firstLine="280"/>
              <w:jc w:val="left"/>
              <w:rPr/>
            </w:pPr>
            <w:r>
              <w:rPr/>
              <w:t> </w:t>
            </w:r>
          </w:p>
        </w:tc>
      </w:tr>
      <w:tr>
        <w:trPr/>
        <w:tc>
          <w:tcPr>
            <w:tcW w:w="1951"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Dipchand (Deep) Nishar</w:t>
            </w:r>
            <w:r>
              <w:rPr>
                <w:rFonts w:ascii="Times New Roman" w:hAnsi="Times New Roman"/>
                <w:color w:val="000000"/>
                <w:sz w:val="20"/>
              </w:rPr>
              <w:t> </w:t>
            </w:r>
            <w:r>
              <w:rPr>
                <w:rFonts w:ascii="Arial" w:hAnsi="Arial"/>
                <w:color w:val="000000"/>
                <w:sz w:val="13"/>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left"/>
              <w:rPr/>
            </w:pPr>
            <w:r>
              <w:rPr/>
              <w:t> </w:t>
            </w:r>
          </w:p>
        </w:tc>
        <w:tc>
          <w:tcPr>
            <w:tcW w:w="1285" w:type="dxa"/>
            <w:tcBorders/>
            <w:shd w:fill="CFF0FC" w:val="clear"/>
            <w:vAlign w:val="center"/>
          </w:tcPr>
          <w:p>
            <w:pPr>
              <w:pStyle w:val="TableContents"/>
              <w:bidi w:val="0"/>
              <w:spacing w:before="0" w:after="283"/>
              <w:jc w:val="right"/>
              <w:rPr>
                <w:color w:val="000000"/>
              </w:rPr>
            </w:pPr>
            <w:r>
              <w:rPr>
                <w:color w:val="000000"/>
              </w:rPr>
              <w:t>—</w:t>
            </w:r>
          </w:p>
        </w:tc>
        <w:tc>
          <w:tcPr>
            <w:tcW w:w="473"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Member of our audit committee</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Member of our talent and compensation committee</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spacing w:before="0" w:after="0"/>
        <w:jc w:val="left"/>
        <w:rPr>
          <w:rFonts w:ascii="Arial" w:hAnsi="Arial"/>
          <w:color w:val="000000"/>
          <w:sz w:val="18"/>
        </w:rPr>
      </w:pPr>
      <w:r>
        <w:rPr>
          <w:rFonts w:ascii="Arial" w:hAnsi="Arial"/>
          <w:color w:val="000000"/>
          <w:sz w:val="18"/>
        </w:rPr>
        <w:t>Member of our corporate governance and nominating committee</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jc w:val="left"/>
        <w:rPr>
          <w:rFonts w:ascii="Arial" w:hAnsi="Arial"/>
          <w:color w:val="000000"/>
          <w:sz w:val="18"/>
        </w:rPr>
      </w:pPr>
      <w:r>
        <w:rPr>
          <w:rFonts w:ascii="Arial" w:hAnsi="Arial"/>
          <w:color w:val="000000"/>
          <w:sz w:val="18"/>
        </w:rPr>
        <w:t xml:space="preserve">Member of our science and technology committee </w:t>
      </w:r>
    </w:p>
    <w:p>
      <w:pPr>
        <w:pStyle w:val="TextBody"/>
        <w:bidi w:val="0"/>
        <w:spacing w:before="240" w:after="283"/>
        <w:jc w:val="left"/>
        <w:rPr>
          <w:rFonts w:ascii="Arial" w:hAnsi="Arial"/>
          <w:b/>
          <w:color w:val="000000"/>
          <w:sz w:val="20"/>
        </w:rPr>
      </w:pPr>
      <w:bookmarkStart w:id="5" w:name="director_nominees"/>
      <w:bookmarkEnd w:id="5"/>
      <w:r>
        <w:rPr>
          <w:rFonts w:ascii="Arial" w:hAnsi="Arial"/>
          <w:b/>
          <w:color w:val="000000"/>
          <w:sz w:val="20"/>
        </w:rPr>
        <w:t>Director Nominees</w:t>
      </w:r>
    </w:p>
    <w:p>
      <w:pPr>
        <w:pStyle w:val="TextBody"/>
        <w:bidi w:val="0"/>
        <w:spacing w:before="240" w:after="283"/>
        <w:jc w:val="left"/>
        <w:rPr>
          <w:rFonts w:ascii="Times New Roman" w:hAnsi="Times New Roman"/>
          <w:sz w:val="20"/>
        </w:rPr>
      </w:pPr>
      <w:r>
        <w:rPr>
          <w:rFonts w:ascii="Arial" w:hAnsi="Arial"/>
          <w:b/>
          <w:i/>
          <w:color w:val="000000"/>
          <w:sz w:val="20"/>
        </w:rPr>
        <w:t xml:space="preserve">Omid Farokhzad, M.D. </w:t>
      </w:r>
      <w:r>
        <w:rPr>
          <w:rFonts w:ascii="Arial" w:hAnsi="Arial"/>
          <w:color w:val="000000"/>
          <w:sz w:val="20"/>
        </w:rPr>
        <w:t>co-founded our Company and has served as our Chief Executive Officer since February 2018, and as a member of our board of directors since March 2017, serving as the Chair since September 2020, and as President of the Company from September 2022 until November 2023. He served as the executive chair of Dynamics Special Purpose Corp., a blank check company, from May 2021 until June 2022.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Senti Biosciences and of several privately-held companies and previously served as a director of Selecta Biosciences and BIND Therapeutics. He holds an M.A. and M.D. from Boston University and an M.B.A. from Massachusetts Institute of Technology Sloan School of Management.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pStyle w:val="TextBody"/>
        <w:bidi w:val="0"/>
        <w:spacing w:before="240" w:after="283"/>
        <w:jc w:val="left"/>
        <w:rPr>
          <w:rFonts w:ascii="Times New Roman" w:hAnsi="Times New Roman"/>
          <w:sz w:val="20"/>
        </w:rPr>
      </w:pPr>
      <w:r>
        <w:rPr>
          <w:rFonts w:ascii="Arial" w:hAnsi="Arial"/>
          <w:b/>
          <w:i/>
          <w:color w:val="000000"/>
          <w:sz w:val="20"/>
        </w:rPr>
        <w:t xml:space="preserve">Meeta Gulyani </w:t>
      </w:r>
      <w:r>
        <w:rPr>
          <w:rFonts w:ascii="Arial" w:hAnsi="Arial"/>
          <w:color w:val="000000"/>
          <w:sz w:val="20"/>
        </w:rPr>
        <w:t>has served as a member of our board of directors since November 2021. Ms. Gulyani is a member of Novo Advisory Group, a management advisory firm assisting both healthy companies and those facing financial difficulty, since October 2023. From January 2016 to August 2023, she served as Executive Vice President, Head of Strategy, Business Development and Transformation at the Life Science business of Merck KGaA, Darmstadt, Germany, a global life science and technology company, which operates as MilliporeSigma in U.S. and Canada. From May 2014 to December 2015, she served as Executive Vice President, Head of Global Strategy and Franchises at the Pharmaceutical business of Merck KGaA, Darmstadt, Germany, which operates as EMD Serono, Inc. in U.S. and Canada. From January 2012 to April 2014, Ms. Gulyani served as General Manager, India Management Center at Roche Pharmaceuticals, division of Roche Holding AG, a healthcare company. Ms. Gulyani holds a M.B.A. from the Asian Institute of Management, Philippines, accompanied by an exchange program at the Wharton School of the University of Pennsylvania. She earned a bachelor’s degree in economics from the Shri Ram College of Commerce at Delhi University in India.</w:t>
      </w:r>
    </w:p>
    <w:p>
      <w:pPr>
        <w:pStyle w:val="TextBody"/>
        <w:bidi w:val="0"/>
        <w:spacing w:before="240" w:after="283"/>
        <w:jc w:val="left"/>
        <w:rPr>
          <w:rFonts w:ascii="Times New Roman" w:hAnsi="Times New Roman"/>
          <w:sz w:val="20"/>
        </w:rPr>
      </w:pPr>
      <w:r>
        <w:rPr>
          <w:rFonts w:ascii="Arial" w:hAnsi="Arial"/>
          <w:color w:val="000000"/>
          <w:sz w:val="20"/>
        </w:rPr>
        <w:t>We believe Ms. Gulyani is qualified to serve on our board of directors because of her extensive experience in the life sciences industry and experience across markets, including Asia.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 xml:space="preserve">David Hallal </w:t>
      </w:r>
      <w:r>
        <w:rPr>
          <w:rFonts w:ascii="Arial" w:hAnsi="Arial"/>
          <w:color w:val="000000"/>
          <w:sz w:val="20"/>
        </w:rPr>
        <w:t>has served as a member of our board of directors since February 2018 and as Lead Independent Director since September 2020. Mr. Hallal has served as Chief Executive Officer of ElevateBio LLC, a biotechnology company he co-founded, since December 2017. Mr. Hallal had served as Chief Executive Officer of AlloVir, Inc., a late clinical-stage cell therapy company from September 2018 to March 2021. Prior to that, from June 2006 to December 2016, Mr. Hallal served in executive roles of increasing responsibility at Alexion Pharmaceuticals, Inc., a pharmaceutical company, most recently serving as Chief Executive Officer from April 2015 to December 2016, Chief Operating Officer from September 2014 to April 2015 and Chief Commercial Officer, Head of Commercial Operations from July 2006 to September 2014, as well as a member of the Board of Directors from September 2014 to December 2016. Mr. Hallal currently serves as Chairman of the board at AlloVir, ElevateBio, Scholar Rock Holding Corp. and iTeos Therapeutics S.A. He holds a B.A. in Psychology from the University of New Hampshire.</w:t>
      </w:r>
    </w:p>
    <w:p>
      <w:pPr>
        <w:pStyle w:val="TextBody"/>
        <w:bidi w:val="0"/>
        <w:spacing w:before="240" w:after="283"/>
        <w:jc w:val="left"/>
        <w:rPr>
          <w:rFonts w:ascii="Arial" w:hAnsi="Arial"/>
          <w:color w:val="000000"/>
          <w:sz w:val="20"/>
        </w:rPr>
      </w:pPr>
      <w:r>
        <w:rPr>
          <w:rFonts w:ascii="Arial" w:hAnsi="Arial"/>
          <w:color w:val="000000"/>
          <w:sz w:val="20"/>
        </w:rPr>
        <w:t>We believe Mr. Hallal is qualified to serve on our board of directors because of his extensive business experience and knowledge of company operations, and his experience working with companies in the life sciences industry.</w:t>
      </w:r>
    </w:p>
    <w:p>
      <w:pPr>
        <w:pStyle w:val="TextBody"/>
        <w:bidi w:val="0"/>
        <w:spacing w:before="240" w:after="283"/>
        <w:jc w:val="left"/>
        <w:rPr>
          <w:rFonts w:ascii="Times New Roman" w:hAnsi="Times New Roman"/>
          <w:sz w:val="20"/>
        </w:rPr>
      </w:pPr>
      <w:r>
        <w:rPr>
          <w:rFonts w:ascii="Arial" w:hAnsi="Arial"/>
          <w:b/>
          <w:i/>
          <w:color w:val="000000"/>
          <w:sz w:val="20"/>
        </w:rPr>
        <w:t xml:space="preserve">Terrance McGuire </w:t>
      </w:r>
      <w:r>
        <w:rPr>
          <w:rFonts w:ascii="Arial" w:hAnsi="Arial"/>
          <w:color w:val="000000"/>
          <w:sz w:val="20"/>
        </w:rPr>
        <w:t>has served as a member of our board of directors since December 2017. Mr. McGuire is a founding partner of Polaris Partners. Prior to starting Polaris Partners in 1996, Mr. McGuire spent seven years at Burr, Egan, Deleage &amp; Co., investing in early stage medical and information technology companies. He currently serves on the board of directors of Invivyd, Inc. (formerly Adagio Therapeutics, Inc.), Whitehead Institute, Alector, Inc. and Cyclerion, Inc., and previously served on the board of directors of Acceleron Pharma, Inc., Arsanis,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believe Mr. McGuire is qualified to serve on our board of directors because of his substantial corporate development and business strategy expertise gained in the venture capital industry.</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6" w:name="continuing_directors"/>
      <w:bookmarkEnd w:id="6"/>
      <w:r>
        <w:rPr>
          <w:rFonts w:ascii="Arial" w:hAnsi="Arial"/>
          <w:b/>
          <w:color w:val="000000"/>
          <w:sz w:val="20"/>
        </w:rPr>
        <w:t>Continuing</w:t>
      </w:r>
      <w:r>
        <w:rPr>
          <w:rFonts w:ascii="Times New Roman" w:hAnsi="Times New Roman"/>
          <w:color w:val="000000"/>
          <w:sz w:val="20"/>
        </w:rPr>
        <w:t xml:space="preserve"> </w:t>
      </w:r>
      <w:r>
        <w:rPr>
          <w:rFonts w:ascii="Arial" w:hAnsi="Arial"/>
          <w:b/>
          <w:color w:val="000000"/>
          <w:sz w:val="20"/>
        </w:rPr>
        <w:t>Directors</w:t>
      </w:r>
    </w:p>
    <w:p>
      <w:pPr>
        <w:pStyle w:val="TextBody"/>
        <w:bidi w:val="0"/>
        <w:spacing w:before="240" w:after="283"/>
        <w:jc w:val="left"/>
        <w:rPr>
          <w:rFonts w:ascii="Times New Roman" w:hAnsi="Times New Roman"/>
          <w:sz w:val="20"/>
        </w:rPr>
      </w:pPr>
      <w:r>
        <w:rPr>
          <w:rFonts w:ascii="Arial" w:hAnsi="Arial"/>
          <w:b/>
          <w:i/>
          <w:color w:val="000000"/>
          <w:sz w:val="20"/>
        </w:rPr>
        <w:t xml:space="preserve">Robert Langer, Sc.D. </w:t>
      </w:r>
      <w:r>
        <w:rPr>
          <w:rFonts w:ascii="Arial" w:hAnsi="Arial"/>
          <w:color w:val="000000"/>
          <w:sz w:val="20"/>
        </w:rPr>
        <w:t>has served as a member of our board of directors since December 2017. Dr. Langer has served as an Institute Professor at the 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believe Dr. Langer is qualified to serve on our board of directors because of his pioneering academic work, extensive medical and scientific knowledge, and experience serving on public company board of directors.</w:t>
      </w:r>
    </w:p>
    <w:p>
      <w:pPr>
        <w:pStyle w:val="TextBody"/>
        <w:bidi w:val="0"/>
        <w:spacing w:before="240" w:after="283"/>
        <w:jc w:val="left"/>
        <w:rPr>
          <w:rFonts w:ascii="Times New Roman" w:hAnsi="Times New Roman"/>
          <w:sz w:val="20"/>
        </w:rPr>
      </w:pPr>
      <w:r>
        <w:rPr>
          <w:rFonts w:ascii="Arial" w:hAnsi="Arial"/>
          <w:b/>
          <w:i/>
          <w:color w:val="000000"/>
          <w:sz w:val="20"/>
        </w:rPr>
        <w:t xml:space="preserve">Rachel Haurwitz, Ph.D. </w:t>
      </w:r>
      <w:r>
        <w:rPr>
          <w:rFonts w:ascii="Arial" w:hAnsi="Arial"/>
          <w:color w:val="000000"/>
          <w:sz w:val="20"/>
        </w:rPr>
        <w:t>has served as a member of our board of directors since November 2021. Dr. Haurwitz is a co-founder of Caribou Biosciences, Inc. and has served as its President and Chief Executive Officer and a director since October 2011. Dr. Haurwitz is an inventor on patents and patent applications covering multiple CRISPR-based technologies and has co-authored several scientific papers characterizing CRISPR-Cas systems including in Science. Dr. Haurwitz holds an A.B. degree in Biological Sciences from Harvard College and a Ph.D. in Molecular Cell Biology from the University of California, Berkeley. Dr. Haurwitz currently serves as a member of the board of directors of the Biotechnology Innovation Organization and Edge Animal Health.</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believe Dr. Haurwitz is qualified to serve on our board of directors due to her operational and management expertise and experience in leadership positions of a publicly traded biotechnology company.</w:t>
      </w:r>
    </w:p>
    <w:p>
      <w:pPr>
        <w:pStyle w:val="TextBody"/>
        <w:bidi w:val="0"/>
        <w:spacing w:before="240" w:after="283"/>
        <w:jc w:val="left"/>
        <w:rPr>
          <w:rFonts w:ascii="Times New Roman" w:hAnsi="Times New Roman"/>
          <w:sz w:val="20"/>
        </w:rPr>
      </w:pPr>
      <w:r>
        <w:rPr>
          <w:rFonts w:ascii="Arial" w:hAnsi="Arial"/>
          <w:b/>
          <w:i/>
          <w:color w:val="000000"/>
          <w:sz w:val="20"/>
        </w:rPr>
        <w:t>Dipchand (Deep) Nishar</w:t>
      </w:r>
      <w:r>
        <w:rPr>
          <w:rFonts w:ascii="Times New Roman" w:hAnsi="Times New Roman"/>
          <w:color w:val="000000"/>
          <w:sz w:val="20"/>
        </w:rPr>
        <w:t xml:space="preserve"> </w:t>
      </w:r>
      <w:r>
        <w:rPr>
          <w:rFonts w:ascii="Arial" w:hAnsi="Arial"/>
          <w:color w:val="000000"/>
          <w:sz w:val="20"/>
        </w:rPr>
        <w:t>has served as a member of our board of directors since February 2021. Mr. Nishar has been a Managing Director at General Catalyst since January 2022. From June 2015 to December 2021, he served as a Senior Managing Partner of SoftBank Investment Advisers (US) Inc., a private equity company.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Mr. Nishar served on the board of directors of Dynamics Special Purpose Corp., from May 2021 until June 2022, and Vir Biotechnology, Inc., from August 2017 until June 2022. Mr. Nishar previously served on the board of directors of Guardant Health, Inc., from October 2018 until June 2020, Relay Therapeutics, Inc., from June 2019 until December 2021, TripAdvisor, Inc., from August 2013 until June 2019, and Zymergen Inc., from October 2016 until September 2020. Mr. Nishar holds a B. Tech from the Indian Institute of Technology, an M.S. in Electrical Engineering from the University of Illinois, Urbana-Champaign and an M.B.A. from Harvard Business School.</w:t>
      </w:r>
    </w:p>
    <w:p>
      <w:pPr>
        <w:pStyle w:val="TextBody"/>
        <w:bidi w:val="0"/>
        <w:spacing w:before="240" w:after="283"/>
        <w:jc w:val="left"/>
        <w:rPr>
          <w:rFonts w:ascii="Arial" w:hAnsi="Arial"/>
          <w:color w:val="000000"/>
          <w:sz w:val="20"/>
        </w:rPr>
      </w:pPr>
      <w:r>
        <w:rPr>
          <w:rFonts w:ascii="Arial" w:hAnsi="Arial"/>
          <w:color w:val="000000"/>
          <w:sz w:val="20"/>
        </w:rPr>
        <w:t>We believe Mr. Nishar is qualified to serve on our board of directors due to his extensive background in the technology industry and his investment activities in the life science sector.</w:t>
      </w:r>
    </w:p>
    <w:p>
      <w:pPr>
        <w:pStyle w:val="TextBody"/>
        <w:bidi w:val="0"/>
        <w:spacing w:before="240" w:after="283"/>
        <w:jc w:val="left"/>
        <w:rPr>
          <w:rFonts w:ascii="Arial" w:hAnsi="Arial"/>
          <w:b/>
          <w:color w:val="000000"/>
          <w:sz w:val="20"/>
        </w:rPr>
      </w:pPr>
      <w:bookmarkStart w:id="7" w:name="family_relationships"/>
      <w:bookmarkEnd w:id="7"/>
      <w:r>
        <w:rPr>
          <w:rFonts w:ascii="Arial" w:hAnsi="Arial"/>
          <w:b/>
          <w:color w:val="000000"/>
          <w:sz w:val="20"/>
        </w:rPr>
        <w:t>Family Relationships</w:t>
      </w:r>
    </w:p>
    <w:p>
      <w:pPr>
        <w:pStyle w:val="TextBody"/>
        <w:bidi w:val="0"/>
        <w:spacing w:before="240" w:after="283"/>
        <w:jc w:val="left"/>
        <w:rPr>
          <w:rFonts w:ascii="Arial" w:hAnsi="Arial"/>
          <w:color w:val="000000"/>
          <w:sz w:val="20"/>
        </w:rPr>
      </w:pPr>
      <w:r>
        <w:rPr>
          <w:rFonts w:ascii="Arial" w:hAnsi="Arial"/>
          <w:color w:val="000000"/>
          <w:sz w:val="20"/>
        </w:rPr>
        <w:t>There are no family relationships among any of our directors or executive officers.</w:t>
      </w:r>
    </w:p>
    <w:p>
      <w:pPr>
        <w:pStyle w:val="TextBody"/>
        <w:bidi w:val="0"/>
        <w:spacing w:before="240" w:after="283"/>
        <w:jc w:val="left"/>
        <w:rPr>
          <w:rFonts w:ascii="Arial" w:hAnsi="Arial"/>
          <w:b/>
          <w:color w:val="000000"/>
          <w:sz w:val="20"/>
        </w:rPr>
      </w:pPr>
      <w:bookmarkStart w:id="8" w:name="director_independence"/>
      <w:bookmarkEnd w:id="8"/>
      <w:r>
        <w:rPr>
          <w:rFonts w:ascii="Arial" w:hAnsi="Arial"/>
          <w:b/>
          <w:color w:val="000000"/>
          <w:sz w:val="20"/>
        </w:rPr>
        <w:t>Director Independence</w:t>
      </w:r>
    </w:p>
    <w:p>
      <w:pPr>
        <w:pStyle w:val="TextBody"/>
        <w:bidi w:val="0"/>
        <w:spacing w:before="240" w:after="283"/>
        <w:jc w:val="left"/>
        <w:rPr>
          <w:rFonts w:ascii="Times New Roman" w:hAnsi="Times New Roman"/>
          <w:sz w:val="20"/>
        </w:rPr>
      </w:pPr>
      <w:r>
        <w:rPr>
          <w:rFonts w:ascii="Arial" w:hAnsi="Arial"/>
          <w:color w:val="000000"/>
          <w:sz w:val="20"/>
        </w:rPr>
        <w:t>Our common stock is listed on the Nasdaq Global Select Market. Under the listing standards of Nasdaq, independent directors must comprise a majority of a listed company’s board of directors within one year of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completion of our initial public offering. In addition, the listing standards of Nasdaq require that, subject to specified exceptions, each member of a listed company’s audit, compensation and corporate governance and nominating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240" w:after="283"/>
        <w:jc w:val="left"/>
        <w:rPr>
          <w:rFonts w:ascii="Arial" w:hAnsi="Arial"/>
          <w:color w:val="000000"/>
          <w:sz w:val="20"/>
        </w:rPr>
      </w:pPr>
      <w:r>
        <w:rPr>
          <w:rFonts w:ascii="Arial" w:hAnsi="Arial"/>
          <w:color w:val="000000"/>
          <w:sz w:val="20"/>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before="240" w:after="283"/>
        <w:jc w:val="left"/>
        <w:rPr>
          <w:rFonts w:ascii="Arial" w:hAnsi="Arial"/>
          <w:color w:val="000000"/>
          <w:sz w:val="20"/>
        </w:rPr>
      </w:pPr>
      <w:r>
        <w:rPr>
          <w:rFonts w:ascii="Arial" w:hAnsi="Arial"/>
          <w:color w:val="000000"/>
          <w:sz w:val="20"/>
        </w:rPr>
        <w:t>To be considered independent for purposes of Rule 10C-1 and under the listing standards of Nasdaq, the board of directors must affirmatively determine that each member of the talent and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talent and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pStyle w:val="TextBody"/>
        <w:bidi w:val="0"/>
        <w:spacing w:before="240" w:after="283"/>
        <w:jc w:val="left"/>
        <w:rPr>
          <w:rFonts w:ascii="Arial" w:hAnsi="Arial"/>
          <w:color w:val="000000"/>
          <w:sz w:val="20"/>
        </w:rPr>
      </w:pPr>
      <w:r>
        <w:rPr>
          <w:rFonts w:ascii="Arial" w:hAnsi="Arial"/>
          <w:color w:val="000000"/>
          <w:sz w:val="20"/>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Meeta Gulyani, David Hallal, Rachel Haurwitz, Ph.D., Terrance McGuire and Dipchand (Deep) Nishar, representing five of our seven directors, do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 compensation and corporate governance and nominating committees satisfy the independence standards for committee members established by applicable SEC rules and regulations and the listing standards of Nasdaq. Additionally, former director Catherine Friedman, who served on the board until December 2023, was independent during the period she served on our board of directors.</w:t>
      </w:r>
    </w:p>
    <w:p>
      <w:pPr>
        <w:pStyle w:val="TextBody"/>
        <w:bidi w:val="0"/>
        <w:spacing w:before="240" w:after="283"/>
        <w:jc w:val="left"/>
        <w:rPr>
          <w:rFonts w:ascii="Arial" w:hAnsi="Arial"/>
          <w:color w:val="000000"/>
          <w:sz w:val="20"/>
        </w:rPr>
      </w:pPr>
      <w:r>
        <w:rPr>
          <w:rFonts w:ascii="Arial" w:hAnsi="Arial"/>
          <w:color w:val="000000"/>
          <w:sz w:val="20"/>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bookmarkStart w:id="9" w:name="board_leadership_structure"/>
      <w:bookmarkEnd w:id="9"/>
      <w:r>
        <w:rPr>
          <w:rFonts w:ascii="Arial" w:hAnsi="Arial"/>
          <w:b/>
          <w:color w:val="000000"/>
          <w:sz w:val="20"/>
        </w:rPr>
        <w:t>Board Leadership Structure</w:t>
      </w:r>
    </w:p>
    <w:p>
      <w:pPr>
        <w:pStyle w:val="TextBody"/>
        <w:bidi w:val="0"/>
        <w:spacing w:before="240" w:after="283"/>
        <w:jc w:val="left"/>
        <w:rPr>
          <w:rFonts w:ascii="Arial" w:hAnsi="Arial"/>
          <w:color w:val="000000"/>
          <w:sz w:val="20"/>
        </w:rPr>
      </w:pPr>
      <w:r>
        <w:rPr>
          <w:rFonts w:ascii="Arial" w:hAnsi="Arial"/>
          <w:color w:val="000000"/>
          <w:sz w:val="20"/>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pStyle w:val="TextBody"/>
        <w:bidi w:val="0"/>
        <w:spacing w:before="240" w:after="283"/>
        <w:jc w:val="left"/>
        <w:rPr>
          <w:rFonts w:ascii="Arial" w:hAnsi="Arial"/>
          <w:b/>
          <w:color w:val="000000"/>
          <w:sz w:val="20"/>
        </w:rPr>
      </w:pPr>
      <w:bookmarkStart w:id="10" w:name="committees_of_our_board_of_directors"/>
      <w:bookmarkEnd w:id="10"/>
      <w:r>
        <w:rPr>
          <w:rFonts w:ascii="Arial" w:hAnsi="Arial"/>
          <w:b/>
          <w:color w:val="000000"/>
          <w:sz w:val="20"/>
        </w:rPr>
        <w:t>Committees of our Board of Directors</w:t>
      </w:r>
    </w:p>
    <w:p>
      <w:pPr>
        <w:pStyle w:val="TextBody"/>
        <w:bidi w:val="0"/>
        <w:spacing w:before="240" w:after="283"/>
        <w:jc w:val="left"/>
        <w:rPr>
          <w:rFonts w:ascii="Arial" w:hAnsi="Arial"/>
          <w:color w:val="000000"/>
          <w:sz w:val="20"/>
        </w:rPr>
      </w:pPr>
      <w:r>
        <w:rPr>
          <w:rFonts w:ascii="Arial" w:hAnsi="Arial"/>
          <w:color w:val="000000"/>
          <w:sz w:val="20"/>
        </w:rPr>
        <w:t>Our board of directors has established an audit committee, a talent and compensation committee, a corporate governance and nominating committee, and a science and technology committee. The composition, responsibilities and the number of meetings held during 2023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pStyle w:val="TextBody"/>
        <w:bidi w:val="0"/>
        <w:spacing w:before="240" w:after="283"/>
        <w:jc w:val="left"/>
        <w:rPr>
          <w:rFonts w:ascii="Arial" w:hAnsi="Arial"/>
          <w:i/>
          <w:color w:val="000000"/>
          <w:sz w:val="20"/>
        </w:rPr>
      </w:pPr>
      <w:r>
        <w:rPr>
          <w:rFonts w:ascii="Arial" w:hAnsi="Arial"/>
          <w:i/>
          <w:color w:val="000000"/>
          <w:sz w:val="20"/>
        </w:rPr>
        <w:t>Audit Committee</w:t>
      </w:r>
    </w:p>
    <w:p>
      <w:pPr>
        <w:pStyle w:val="TextBody"/>
        <w:bidi w:val="0"/>
        <w:spacing w:before="240" w:after="283"/>
        <w:jc w:val="left"/>
        <w:rPr>
          <w:rFonts w:ascii="Arial" w:hAnsi="Arial"/>
          <w:color w:val="000000"/>
          <w:sz w:val="20"/>
        </w:rPr>
      </w:pPr>
      <w:r>
        <w:rPr>
          <w:rFonts w:ascii="Arial" w:hAnsi="Arial"/>
          <w:color w:val="000000"/>
          <w:sz w:val="20"/>
        </w:rPr>
        <w:t>Our audit committee consists of Meeta Gulyani, Terrance McGuire and Rachel Haurwitz, Ph.D., with Ms. Gulyani serving as Chair. Our board of directors has determined that each of the members of our audit committee satisfies the independence requirements under the listing standards of Nasdaq and Rule 10A-3 of the Exchange Act. Our board of directors has determined that Dr. Haurwitz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pStyle w:val="TextBody"/>
        <w:bidi w:val="0"/>
        <w:spacing w:before="240" w:after="283"/>
        <w:jc w:val="left"/>
        <w:rPr>
          <w:rFonts w:ascii="Arial" w:hAnsi="Arial"/>
          <w:color w:val="000000"/>
          <w:sz w:val="20"/>
        </w:rPr>
      </w:pPr>
      <w:r>
        <w:rPr>
          <w:rFonts w:ascii="Arial" w:hAnsi="Arial"/>
          <w:color w:val="000000"/>
          <w:sz w:val="20"/>
        </w:rPr>
        <w:t>Our audit committee oversees our corporate accounting and financial reporting process and assists our board of directors in monitoring our financial systems. Our audit committee is also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selecting and hiring the independent registered public accounting firm to audit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helping to ensure the independence and performance of the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approving audit and non-audit services and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preparing the audit committee report that the SEC requires to be included in our annual proxy statement;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reports and communications from the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the adequacy and effectiveness of our internal controls and disclosure controls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our policies on risk assessment and risk management;</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and monitoring conflicts of interest situations, and approving or prohibiting any involvement in matters that may involve a conflict of interest or taking of a corporate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related party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establishing and overseeing procedures for the receipt, retention and treatment of accounting related complaints and the confidential submission by our employees of concerns regarding questionable accounting or auditing matters.</w:t>
      </w:r>
    </w:p>
    <w:p>
      <w:pPr>
        <w:pStyle w:val="TextBody"/>
        <w:bidi w:val="0"/>
        <w:spacing w:before="240" w:after="283"/>
        <w:jc w:val="left"/>
        <w:rPr>
          <w:rFonts w:ascii="Arial" w:hAnsi="Arial"/>
          <w:color w:val="000000"/>
          <w:sz w:val="20"/>
        </w:rPr>
      </w:pPr>
      <w:r>
        <w:rPr>
          <w:rFonts w:ascii="Arial" w:hAnsi="Arial"/>
          <w:color w:val="000000"/>
          <w:sz w:val="20"/>
        </w:rPr>
        <w:t>Our audit committee operates under a written charter that satisfies the applicable rules and regulations of the SEC and the listing standards of Nasdaq. A copy of the charter for our audit committee is available on our investor relations website at investor.seer.bio. In 2023, our audit committee held four meetings and acted by unanimous written consent once.</w:t>
      </w:r>
    </w:p>
    <w:p>
      <w:pPr>
        <w:pStyle w:val="TextBody"/>
        <w:bidi w:val="0"/>
        <w:spacing w:before="240" w:after="283"/>
        <w:jc w:val="left"/>
        <w:rPr>
          <w:rFonts w:ascii="Arial" w:hAnsi="Arial"/>
          <w:i/>
          <w:color w:val="000000"/>
          <w:sz w:val="20"/>
        </w:rPr>
      </w:pPr>
      <w:r>
        <w:rPr>
          <w:rFonts w:ascii="Arial" w:hAnsi="Arial"/>
          <w:i/>
          <w:color w:val="000000"/>
          <w:sz w:val="20"/>
        </w:rPr>
        <w:t>Talent and Compensation Committee</w:t>
      </w:r>
    </w:p>
    <w:p>
      <w:pPr>
        <w:pStyle w:val="TextBody"/>
        <w:bidi w:val="0"/>
        <w:spacing w:before="240" w:after="283"/>
        <w:jc w:val="left"/>
        <w:rPr>
          <w:rFonts w:ascii="Arial" w:hAnsi="Arial"/>
          <w:color w:val="000000"/>
          <w:sz w:val="20"/>
        </w:rPr>
      </w:pPr>
      <w:r>
        <w:rPr>
          <w:rFonts w:ascii="Arial" w:hAnsi="Arial"/>
          <w:color w:val="000000"/>
          <w:sz w:val="20"/>
        </w:rPr>
        <w:t>Our talent and compensation committee consists of David Hallal, Terrance McGuire and Rachel Haurwitz, Ph.D., with Mr. McGuire serving as Chair. Our board of directors has determined that each of the members of our talent and compensation committee is independent under the listing standards of Nasdaq and a “non-employee director” as defined in Rule 16b-3 under the Exchange Act.</w:t>
      </w:r>
    </w:p>
    <w:p>
      <w:pPr>
        <w:pStyle w:val="TextBody"/>
        <w:bidi w:val="0"/>
        <w:spacing w:before="240" w:after="283"/>
        <w:jc w:val="left"/>
        <w:rPr>
          <w:rFonts w:ascii="Arial" w:hAnsi="Arial"/>
          <w:color w:val="000000"/>
          <w:sz w:val="20"/>
        </w:rPr>
      </w:pPr>
      <w:r>
        <w:rPr>
          <w:rFonts w:ascii="Arial" w:hAnsi="Arial"/>
          <w:color w:val="000000"/>
          <w:sz w:val="20"/>
        </w:rPr>
        <w:t>Our talent and compensation committee oversees our compensation policies, plans, and benefits programs. The compensation committee is also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overseeing our overall compensation philosophy and compensation policies, plans and benefit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and approving, or recommending to the board of directors for approval, the compensation of our executive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preparing the talent and compensation committee report that the SEC requires to be included in our annual proxy statement,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administering our equity compensation plans.</w:t>
      </w:r>
    </w:p>
    <w:p>
      <w:pPr>
        <w:pStyle w:val="TextBody"/>
        <w:bidi w:val="0"/>
        <w:spacing w:before="240" w:after="283"/>
        <w:jc w:val="left"/>
        <w:rPr>
          <w:rFonts w:ascii="Arial" w:hAnsi="Arial"/>
          <w:color w:val="000000"/>
          <w:sz w:val="20"/>
        </w:rPr>
      </w:pPr>
      <w:r>
        <w:rPr>
          <w:rFonts w:ascii="Arial" w:hAnsi="Arial"/>
          <w:color w:val="000000"/>
          <w:sz w:val="20"/>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2023, our talent and compensation committee held five meetings and acted by unanimous written consent three times.</w:t>
      </w:r>
    </w:p>
    <w:p>
      <w:pPr>
        <w:pStyle w:val="TextBody"/>
        <w:bidi w:val="0"/>
        <w:spacing w:before="240" w:after="283"/>
        <w:jc w:val="left"/>
        <w:rPr>
          <w:rFonts w:ascii="Arial" w:hAnsi="Arial"/>
          <w:i/>
          <w:color w:val="000000"/>
          <w:sz w:val="20"/>
        </w:rPr>
      </w:pPr>
      <w:r>
        <w:rPr>
          <w:rFonts w:ascii="Arial" w:hAnsi="Arial"/>
          <w:i/>
          <w:color w:val="000000"/>
          <w:sz w:val="20"/>
        </w:rPr>
        <w:t>Corporate Governance and Nominating Committee</w:t>
      </w:r>
    </w:p>
    <w:p>
      <w:pPr>
        <w:pStyle w:val="TextBody"/>
        <w:bidi w:val="0"/>
        <w:spacing w:before="240" w:after="283"/>
        <w:jc w:val="left"/>
        <w:rPr>
          <w:rFonts w:ascii="Times New Roman" w:hAnsi="Times New Roman"/>
          <w:sz w:val="20"/>
        </w:rPr>
      </w:pPr>
      <w:r>
        <w:rPr>
          <w:rFonts w:ascii="Arial" w:hAnsi="Arial"/>
          <w:color w:val="000000"/>
          <w:sz w:val="20"/>
        </w:rPr>
        <w:t>Our corporate governance and nominating committee consists of David Hallal and Dipchand (Deep) Nishar, with Mr. Hallal serving as Chair. Our board of directors has determined that David Hallal and Dipchand (Deep) Nishar are independent under the listing standards of Nasdaq.</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corporate governance and nominating committee oversees and assists our board of directors in reviewing and recommending nominees for election as directors. The corporate governance and nominating committee is also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identifying, evaluating, and making recommendations to our board of directors regarding nominees for election to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considering and making recommendations to our board of directors regarding the composition of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developments in corporate governance practices;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evaluating the adequacy of our corporate governance practices and reporting;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evaluating the performance of our board of directors and of individual directors.</w:t>
      </w:r>
    </w:p>
    <w:p>
      <w:pPr>
        <w:pStyle w:val="TextBody"/>
        <w:bidi w:val="0"/>
        <w:spacing w:before="240" w:after="283"/>
        <w:jc w:val="left"/>
        <w:rPr>
          <w:rFonts w:ascii="Arial" w:hAnsi="Arial"/>
          <w:color w:val="000000"/>
          <w:sz w:val="20"/>
        </w:rPr>
      </w:pPr>
      <w:r>
        <w:rPr>
          <w:rFonts w:ascii="Arial" w:hAnsi="Arial"/>
          <w:color w:val="000000"/>
          <w:sz w:val="20"/>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2023, our corporate governance and nominating committee held four meetings.</w:t>
      </w:r>
    </w:p>
    <w:p>
      <w:pPr>
        <w:pStyle w:val="TextBody"/>
        <w:bidi w:val="0"/>
        <w:spacing w:before="240" w:after="283"/>
        <w:jc w:val="left"/>
        <w:rPr>
          <w:rFonts w:ascii="Times New Roman" w:hAnsi="Times New Roman"/>
          <w:sz w:val="20"/>
        </w:rPr>
      </w:pPr>
      <w:r>
        <w:rPr>
          <w:rFonts w:ascii="Arial" w:hAnsi="Arial"/>
          <w:i/>
          <w:color w:val="000000"/>
          <w:sz w:val="20"/>
        </w:rPr>
        <w:t>Science and Technology Committee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April 2021, our board of directors formed our science and technology committee. Our science and technology committee consists of Robert Langer, Sc.D., Dipchand (Deep) Nishar and Rachel Haurwitz, Ph.D., with Dr. Langer serving as Chair. Our science and technology committee oversees and assists our board of directors in its oversight of our scientific and technological strategies and research and development plans and goals. Our science and technology committee did not meet in 2023. The science and technology committee is also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and evaluating our performance relating to our research and development plans and goals;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reviewing and evaluating our scientific and technological strategies and research and development plans, and goals, including the competitive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identifying and discussing significant emerging science and technology issues and trends, including their potential impact on our scientific and technological strategies and research and development plans and goals;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conducting a periodic review of our intellectual property portfolio and strategy, including our overall competitiveness.</w:t>
      </w:r>
    </w:p>
    <w:p>
      <w:pPr>
        <w:pStyle w:val="TextBody"/>
        <w:bidi w:val="0"/>
        <w:spacing w:before="240" w:after="283"/>
        <w:jc w:val="left"/>
        <w:rPr>
          <w:rFonts w:ascii="Arial" w:hAnsi="Arial"/>
          <w:b/>
          <w:color w:val="000000"/>
          <w:sz w:val="20"/>
        </w:rPr>
      </w:pPr>
      <w:bookmarkStart w:id="11" w:name="attendance_at_board_and_stockholder_meet"/>
      <w:bookmarkEnd w:id="11"/>
      <w:r>
        <w:rPr>
          <w:rFonts w:ascii="Arial" w:hAnsi="Arial"/>
          <w:b/>
          <w:color w:val="000000"/>
          <w:sz w:val="20"/>
        </w:rPr>
        <w:t>Attendance at Board and Stockholder Meetings</w:t>
      </w:r>
    </w:p>
    <w:p>
      <w:pPr>
        <w:pStyle w:val="TextBody"/>
        <w:bidi w:val="0"/>
        <w:spacing w:before="240" w:after="283"/>
        <w:jc w:val="left"/>
        <w:rPr>
          <w:rFonts w:ascii="Arial" w:hAnsi="Arial"/>
          <w:color w:val="000000"/>
          <w:sz w:val="20"/>
        </w:rPr>
      </w:pPr>
      <w:r>
        <w:rPr>
          <w:rFonts w:ascii="Arial" w:hAnsi="Arial"/>
          <w:color w:val="000000"/>
          <w:sz w:val="20"/>
        </w:rPr>
        <w:t>During our fiscal year ended December 31, 2023, our board of directors held seven meetings (including regularly scheduled and special meetings) and acted by unanimous written consent four times,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pStyle w:val="TextBody"/>
        <w:bidi w:val="0"/>
        <w:spacing w:before="240" w:after="283"/>
        <w:jc w:val="left"/>
        <w:rPr>
          <w:rFonts w:ascii="Times New Roman" w:hAnsi="Times New Roman"/>
          <w:sz w:val="20"/>
        </w:rPr>
      </w:pPr>
      <w:r>
        <w:rPr>
          <w:rFonts w:ascii="Arial" w:hAnsi="Arial"/>
          <w:color w:val="000000"/>
          <w:sz w:val="20"/>
        </w:rPr>
        <w:t>Although we do not have a formal policy regarding attendance by members of our board of directors at annual meetings of stockholders, we strongly encourage, but do not require, our directors to attend. All of our then-serving directors attended our annual meeting of stockholders in 2023.</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bookmarkStart w:id="12" w:name="compensation_committee_interlocks_and_in"/>
      <w:bookmarkEnd w:id="12"/>
      <w:r>
        <w:rPr>
          <w:rFonts w:ascii="Arial" w:hAnsi="Arial"/>
          <w:b/>
          <w:color w:val="000000"/>
          <w:sz w:val="20"/>
        </w:rPr>
        <w:t>Talent and Compensation Committee Interlocks and Insider Participation</w:t>
      </w:r>
    </w:p>
    <w:p>
      <w:pPr>
        <w:pStyle w:val="TextBody"/>
        <w:bidi w:val="0"/>
        <w:spacing w:before="240" w:after="283"/>
        <w:jc w:val="left"/>
        <w:rPr>
          <w:rFonts w:ascii="Times New Roman" w:hAnsi="Times New Roman"/>
          <w:sz w:val="20"/>
        </w:rPr>
      </w:pPr>
      <w:r>
        <w:rPr>
          <w:rFonts w:ascii="Arial" w:hAnsi="Arial"/>
          <w:color w:val="000000"/>
          <w:sz w:val="20"/>
        </w:rPr>
        <w:t>During 2023, David Hallal, Rachel Haurwitz, Ph.D. and Terrance McGuire served on our talent and compensation committee.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compensation committee.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bookmarkStart w:id="13" w:name="considerations_in_evaluating_director_no"/>
      <w:bookmarkEnd w:id="13"/>
      <w:r>
        <w:rPr>
          <w:rFonts w:ascii="Arial" w:hAnsi="Arial"/>
          <w:b/>
          <w:color w:val="000000"/>
          <w:sz w:val="20"/>
        </w:rPr>
        <w:t>Considerations in Evaluating Director Nominees</w:t>
      </w:r>
    </w:p>
    <w:p>
      <w:pPr>
        <w:pStyle w:val="TextBody"/>
        <w:bidi w:val="0"/>
        <w:spacing w:before="240" w:after="283"/>
        <w:jc w:val="left"/>
        <w:rPr>
          <w:rFonts w:ascii="Arial" w:hAnsi="Arial"/>
          <w:color w:val="000000"/>
          <w:sz w:val="20"/>
        </w:rPr>
      </w:pPr>
      <w:r>
        <w:rPr>
          <w:rFonts w:ascii="Arial" w:hAnsi="Arial"/>
          <w:color w:val="000000"/>
          <w:sz w:val="20"/>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pStyle w:val="TextBody"/>
        <w:bidi w:val="0"/>
        <w:spacing w:before="240" w:after="283"/>
        <w:jc w:val="left"/>
        <w:rPr>
          <w:rFonts w:ascii="Arial" w:hAnsi="Arial"/>
          <w:color w:val="000000"/>
          <w:sz w:val="20"/>
        </w:rPr>
      </w:pPr>
      <w:r>
        <w:rPr>
          <w:rFonts w:ascii="Arial" w:hAnsi="Arial"/>
          <w:color w:val="000000"/>
          <w:sz w:val="20"/>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pStyle w:val="TextBody"/>
        <w:bidi w:val="0"/>
        <w:spacing w:before="240" w:after="283"/>
        <w:jc w:val="left"/>
        <w:rPr>
          <w:rFonts w:ascii="Arial" w:hAnsi="Arial"/>
          <w:b/>
          <w:color w:val="000000"/>
          <w:sz w:val="20"/>
        </w:rPr>
      </w:pPr>
      <w:bookmarkStart w:id="14" w:name="stockholder_recommendations_for_nominati"/>
      <w:bookmarkEnd w:id="14"/>
      <w:r>
        <w:rPr>
          <w:rFonts w:ascii="Arial" w:hAnsi="Arial"/>
          <w:b/>
          <w:color w:val="000000"/>
          <w:sz w:val="20"/>
        </w:rPr>
        <w:t>Stockholder Recommendations for Nominations to the Board of Directors</w:t>
      </w:r>
    </w:p>
    <w:p>
      <w:pPr>
        <w:pStyle w:val="TextBody"/>
        <w:bidi w:val="0"/>
        <w:spacing w:before="240" w:after="283"/>
        <w:jc w:val="left"/>
        <w:rPr>
          <w:rFonts w:ascii="Times New Roman" w:hAnsi="Times New Roman"/>
          <w:sz w:val="20"/>
        </w:rPr>
      </w:pPr>
      <w:r>
        <w:rPr>
          <w:rFonts w:ascii="Arial" w:hAnsi="Arial"/>
          <w:color w:val="000000"/>
          <w:sz w:val="20"/>
        </w:rPr>
        <w:t>Our corporate governance and nominating committee will consider director candidates recommended by stockholders holding continuously (i) 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 (iii) at least $25,000 in market value of the outstanding shares of our common stock for at least one year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Chief Legal Officer in writing.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corporate governance and nominating committee has discretion to decide which individuals to recommend for nomination as directors.</w:t>
      </w:r>
    </w:p>
    <w:p>
      <w:pPr>
        <w:pStyle w:val="TextBody"/>
        <w:bidi w:val="0"/>
        <w:spacing w:before="240" w:after="283"/>
        <w:jc w:val="left"/>
        <w:rPr>
          <w:rFonts w:ascii="Arial" w:hAnsi="Arial"/>
          <w:color w:val="000000"/>
          <w:sz w:val="20"/>
        </w:rPr>
      </w:pPr>
      <w:r>
        <w:rPr>
          <w:rFonts w:ascii="Arial" w:hAnsi="Arial"/>
          <w:color w:val="000000"/>
          <w:sz w:val="20"/>
        </w:rPr>
        <w:t>Under our amended and restated bylaws, stockholders may also directly nominate persons for election to our board of directors. Any nomination must comply with the requirements set forth in our amended and restated bylaws and should be sent in writing to our Chief Legal Officer at Seer, Inc., 3800 Bridge Parkway, Suite 102, Redwood City, California 94065. To be timely for an annual meeting of stockholders, nominations must be received by our Chief Legal Officer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30 days prior to or delayed by more than 60 days after the one-year anniversary of the date of the previous year’s annual meeting, then notice by the stockholder to be timely must be so received by our Chief Legal Officer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pStyle w:val="TextBody"/>
        <w:bidi w:val="0"/>
        <w:spacing w:before="240" w:after="283"/>
        <w:jc w:val="left"/>
        <w:rPr>
          <w:rFonts w:ascii="Arial" w:hAnsi="Arial"/>
          <w:b/>
          <w:color w:val="000000"/>
          <w:sz w:val="20"/>
        </w:rPr>
      </w:pPr>
      <w:bookmarkStart w:id="15" w:name="communications_with_the_board_of_directo"/>
      <w:bookmarkEnd w:id="15"/>
      <w:r>
        <w:rPr>
          <w:rFonts w:ascii="Arial" w:hAnsi="Arial"/>
          <w:b/>
          <w:color w:val="000000"/>
          <w:sz w:val="20"/>
        </w:rPr>
        <w:t>Communications with the Board of Directors</w:t>
      </w:r>
    </w:p>
    <w:p>
      <w:pPr>
        <w:pStyle w:val="TextBody"/>
        <w:bidi w:val="0"/>
        <w:spacing w:before="240" w:after="283"/>
        <w:jc w:val="left"/>
        <w:rPr>
          <w:rFonts w:ascii="Arial" w:hAnsi="Arial"/>
          <w:color w:val="000000"/>
          <w:sz w:val="20"/>
        </w:rPr>
      </w:pPr>
      <w:r>
        <w:rPr>
          <w:rFonts w:ascii="Arial" w:hAnsi="Arial"/>
          <w:color w:val="000000"/>
          <w:sz w:val="20"/>
        </w:rPr>
        <w:t>Interested parties wishing to communicate with non-management members of our board of directors may do so by writing and mailing the correspondence to our Chief Legal Officer at Seer, Inc., 3800 Bridge Parkway, Suite 102, Redwood City, California 94065. Our Chief Legal Officer monitors these communications and will provide a summary of all received bona fide messages to our board of directors at each regularly scheduled meeting of our board of directors. Where the nature of a communication warrants, our Chief Legal Officer may determine, in his or her judgment, to obtain the more immediate attention of the appropriate committee of the board of directors or non-management director, of independent advisors or of our management.</w:t>
      </w:r>
    </w:p>
    <w:p>
      <w:pPr>
        <w:pStyle w:val="TextBody"/>
        <w:bidi w:val="0"/>
        <w:spacing w:before="240" w:after="283"/>
        <w:jc w:val="left"/>
        <w:rPr>
          <w:rFonts w:ascii="Arial" w:hAnsi="Arial"/>
          <w:color w:val="000000"/>
          <w:sz w:val="20"/>
        </w:rPr>
      </w:pPr>
      <w:r>
        <w:rPr>
          <w:rFonts w:ascii="Arial" w:hAnsi="Arial"/>
          <w:color w:val="000000"/>
          <w:sz w:val="20"/>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pStyle w:val="TextBody"/>
        <w:bidi w:val="0"/>
        <w:spacing w:before="240" w:after="283"/>
        <w:jc w:val="left"/>
        <w:rPr>
          <w:rFonts w:ascii="Arial" w:hAnsi="Arial"/>
          <w:b/>
          <w:color w:val="000000"/>
          <w:sz w:val="20"/>
        </w:rPr>
      </w:pPr>
      <w:bookmarkStart w:id="16" w:name="management_and_board_diversity"/>
      <w:bookmarkEnd w:id="16"/>
      <w:r>
        <w:rPr>
          <w:rFonts w:ascii="Arial" w:hAnsi="Arial"/>
          <w:b/>
          <w:color w:val="000000"/>
          <w:sz w:val="20"/>
        </w:rPr>
        <w:t>Management and Board Diversity</w:t>
      </w:r>
    </w:p>
    <w:p>
      <w:pPr>
        <w:pStyle w:val="TextBody"/>
        <w:bidi w:val="0"/>
        <w:spacing w:before="240" w:after="283"/>
        <w:jc w:val="left"/>
        <w:rPr>
          <w:rFonts w:ascii="Arial" w:hAnsi="Arial"/>
          <w:color w:val="000000"/>
          <w:sz w:val="20"/>
        </w:rPr>
      </w:pPr>
      <w:r>
        <w:rPr>
          <w:rFonts w:ascii="Arial" w:hAnsi="Arial"/>
          <w:color w:val="000000"/>
          <w:sz w:val="20"/>
        </w:rPr>
        <w:t>Diversity is important to us, and we have always had diversity within our management team and across the company. We believe that our management and board of directors should be diverse, including a diversity of experience, competency in relevant fields, gender, race, ethnicity and age. In making determinations regarding nominations of directors, our corporate governance and nominating committee takes into account the benefits of diverse viewpoints. Our corporate governance and nominating committee will also consider these and other factors as it oversees the annual board of directors and committee evaluations.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 Our board of directors is also advancing our human capital management strategy to ensure more opportunities for diverse candidates, including new programs to recruit diverse candidates. Currently, 25% of our executive leadership team is comprised of women.</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1"/>
        <w:gridCol w:w="146"/>
        <w:gridCol w:w="146"/>
        <w:gridCol w:w="200"/>
        <w:gridCol w:w="476"/>
        <w:gridCol w:w="146"/>
        <w:gridCol w:w="146"/>
        <w:gridCol w:w="146"/>
        <w:gridCol w:w="146"/>
        <w:gridCol w:w="346"/>
        <w:gridCol w:w="146"/>
        <w:gridCol w:w="146"/>
        <w:gridCol w:w="146"/>
        <w:gridCol w:w="298"/>
        <w:gridCol w:w="708"/>
        <w:gridCol w:w="146"/>
        <w:gridCol w:w="146"/>
        <w:gridCol w:w="146"/>
        <w:gridCol w:w="583"/>
        <w:gridCol w:w="1388"/>
        <w:gridCol w:w="473"/>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9732" w:type="dxa"/>
            <w:gridSpan w:val="20"/>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Board Diversity Matrix (as of April 26, 2024)</w:t>
            </w:r>
          </w:p>
        </w:tc>
        <w:tc>
          <w:tcPr>
            <w:tcW w:w="47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Number of Directors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7</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Non-Binary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Did Not Disclose Gender</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9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 Gender Identity</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280"/>
              <w:jc w:val="right"/>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Directors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39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 Demographic Background</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280"/>
              <w:jc w:val="right"/>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African American or Black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39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Alaskan Native or Native American</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280"/>
              <w:jc w:val="left"/>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Asian</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39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Hispanic or Latin</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280"/>
              <w:jc w:val="left"/>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Native Hawaiian or Pacific Islander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39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White</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280"/>
              <w:jc w:val="left"/>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Two or More Races or Ethnicities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39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LGBTQ+</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59" w:type="dxa"/>
            <w:gridSpan w:val="17"/>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47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280"/>
              <w:jc w:val="center"/>
              <w:rPr/>
            </w:pPr>
            <w:r>
              <w:rPr/>
              <w:t> </w:t>
            </w:r>
          </w:p>
        </w:tc>
      </w:tr>
      <w:tr>
        <w:trPr/>
        <w:tc>
          <w:tcPr>
            <w:tcW w:w="39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Did Not Disclose Demographic Background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left"/>
        <w:rPr>
          <w:rFonts w:ascii="Arial" w:hAnsi="Arial"/>
          <w:b/>
          <w:color w:val="000000"/>
          <w:sz w:val="20"/>
        </w:rPr>
      </w:pPr>
      <w:bookmarkStart w:id="17" w:name="corporate_governance_guidelines_and_code"/>
      <w:bookmarkEnd w:id="17"/>
      <w:r>
        <w:rPr>
          <w:rFonts w:ascii="Arial" w:hAnsi="Arial"/>
          <w:b/>
          <w:color w:val="000000"/>
          <w:sz w:val="20"/>
        </w:rPr>
        <w:t>Corporate Governance Guidelines and Code of Business Conduct and Ethics</w:t>
      </w:r>
    </w:p>
    <w:p>
      <w:pPr>
        <w:pStyle w:val="TextBody"/>
        <w:bidi w:val="0"/>
        <w:spacing w:before="240" w:after="283"/>
        <w:jc w:val="left"/>
        <w:rPr>
          <w:rFonts w:ascii="Arial" w:hAnsi="Arial"/>
          <w:color w:val="000000"/>
          <w:sz w:val="20"/>
        </w:rPr>
      </w:pPr>
      <w:r>
        <w:rPr>
          <w:rFonts w:ascii="Arial" w:hAnsi="Arial"/>
          <w:color w:val="000000"/>
          <w:sz w:val="20"/>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President,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pStyle w:val="TextBody"/>
        <w:bidi w:val="0"/>
        <w:spacing w:before="240" w:after="283"/>
        <w:jc w:val="left"/>
        <w:rPr>
          <w:rFonts w:ascii="Arial" w:hAnsi="Arial"/>
          <w:b/>
          <w:color w:val="000000"/>
          <w:sz w:val="20"/>
        </w:rPr>
      </w:pPr>
      <w:bookmarkStart w:id="18" w:name="role_of_the_board_in_risk_oversight"/>
      <w:bookmarkEnd w:id="18"/>
      <w:r>
        <w:rPr>
          <w:rFonts w:ascii="Arial" w:hAnsi="Arial"/>
          <w:b/>
          <w:color w:val="000000"/>
          <w:sz w:val="20"/>
        </w:rPr>
        <w:t>Role of the Board in Risk Oversight</w:t>
      </w:r>
    </w:p>
    <w:p>
      <w:pPr>
        <w:pStyle w:val="TextBody"/>
        <w:bidi w:val="0"/>
        <w:spacing w:before="240" w:after="283"/>
        <w:jc w:val="left"/>
        <w:rPr>
          <w:rFonts w:ascii="Arial" w:hAnsi="Arial"/>
          <w:color w:val="000000"/>
          <w:sz w:val="20"/>
        </w:rPr>
      </w:pPr>
      <w:r>
        <w:rPr>
          <w:rFonts w:ascii="Arial" w:hAnsi="Arial"/>
          <w:color w:val="000000"/>
          <w:sz w:val="20"/>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and potential conflicts of interest.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the board of directors.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bookmarkStart w:id="19" w:name="director_compensation"/>
      <w:bookmarkEnd w:id="19"/>
      <w:r>
        <w:rPr>
          <w:rFonts w:ascii="Arial" w:hAnsi="Arial"/>
          <w:b/>
          <w:color w:val="000000"/>
          <w:sz w:val="20"/>
        </w:rPr>
        <w:t>Director Compensation</w:t>
      </w:r>
    </w:p>
    <w:p>
      <w:pPr>
        <w:pStyle w:val="TextBody"/>
        <w:bidi w:val="0"/>
        <w:spacing w:before="240" w:after="283"/>
        <w:jc w:val="left"/>
        <w:rPr>
          <w:rFonts w:ascii="Times New Roman" w:hAnsi="Times New Roman"/>
          <w:sz w:val="20"/>
        </w:rPr>
      </w:pPr>
      <w:r>
        <w:rPr>
          <w:rFonts w:ascii="Arial" w:hAnsi="Arial"/>
          <w:color w:val="000000"/>
          <w:sz w:val="20"/>
        </w:rPr>
        <w:t>In connection with our initial public offering, our board of directors adopted, and our stockholders approved, a compensation policy for our non-employee directors, which has since been amended from time to time, including most recently on February 28, 2024, and prior to that on February 16 , 2023. This policy was initially developed, and has generally been reviewed annually and updated periodically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pStyle w:val="TextBody"/>
        <w:bidi w:val="0"/>
        <w:spacing w:before="240" w:after="283"/>
        <w:jc w:val="left"/>
        <w:rPr>
          <w:rFonts w:ascii="Arial" w:hAnsi="Arial"/>
          <w:color w:val="000000"/>
          <w:sz w:val="20"/>
        </w:rPr>
      </w:pPr>
      <w:r>
        <w:rPr>
          <w:rFonts w:ascii="Arial" w:hAnsi="Arial"/>
          <w:color w:val="000000"/>
          <w:sz w:val="20"/>
        </w:rPr>
        <w:t>The director compensation policy and our 2020 Equity Incentive Plan (the 2020 Plan) includes a maximum annual limit of $750,000 or, in the first year of a non-employee director’s service on our board of directors as a non-employee director, $1,000,000, of equity awards granted and other compensation provided to a non-employee director in any fiscal year. For purposes of these limitations, the value of an equity award is based on its grant date fair value (determined in accordance with generally accepted accounting principles, or GAAP). Any equity awards granted or other compensation provided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pStyle w:val="TextBody"/>
        <w:bidi w:val="0"/>
        <w:spacing w:before="240" w:after="283"/>
        <w:jc w:val="left"/>
        <w:rPr>
          <w:rFonts w:ascii="Arial" w:hAnsi="Arial"/>
          <w:i/>
          <w:color w:val="000000"/>
          <w:sz w:val="20"/>
        </w:rPr>
      </w:pPr>
      <w:r>
        <w:rPr>
          <w:rFonts w:ascii="Arial" w:hAnsi="Arial"/>
          <w:i/>
          <w:color w:val="000000"/>
          <w:sz w:val="20"/>
        </w:rPr>
        <w:t>Cash Compensation</w:t>
      </w:r>
    </w:p>
    <w:p>
      <w:pPr>
        <w:pStyle w:val="TextBody"/>
        <w:bidi w:val="0"/>
        <w:spacing w:before="240" w:after="283"/>
        <w:jc w:val="left"/>
        <w:rPr>
          <w:rFonts w:ascii="Arial" w:hAnsi="Arial"/>
          <w:color w:val="000000"/>
          <w:sz w:val="20"/>
        </w:rPr>
      </w:pPr>
      <w:r>
        <w:rPr>
          <w:rFonts w:ascii="Arial" w:hAnsi="Arial"/>
          <w:color w:val="000000"/>
          <w:sz w:val="20"/>
        </w:rPr>
        <w:t>Our outside director compensation policy provides for the following cash compensation program for our non-employee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 service during 2023, $40,000 per year for service as a non-employee director, which has been increased to $42,500 for service during 2024;</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$25,000 per year for service as lead independent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$20,000 per year for service as Chair of the audit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$10,000 per year for service as a member of the audit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$15,000 per year for service as Chair of the talent and compensation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$7,500 per year for service as a member of the talent and compensation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$10,000 per year for service as Chair of the corporate governance and nominating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$5,000 per year for service as a member of the corporate governance and nominating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$10,000 per year for service as Chair of the science and technology committee;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$5,000 per year for service as a member of the science and technology committee.</w:t>
      </w:r>
    </w:p>
    <w:p>
      <w:pPr>
        <w:pStyle w:val="TextBody"/>
        <w:bidi w:val="0"/>
        <w:spacing w:before="240" w:after="283"/>
        <w:jc w:val="left"/>
        <w:rPr>
          <w:rFonts w:ascii="Arial" w:hAnsi="Arial"/>
          <w:color w:val="000000"/>
          <w:sz w:val="20"/>
        </w:rPr>
      </w:pPr>
      <w:r>
        <w:rPr>
          <w:rFonts w:ascii="Arial" w:hAnsi="Arial"/>
          <w:color w:val="000000"/>
          <w:sz w:val="20"/>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Equity Compensation</w:t>
      </w:r>
    </w:p>
    <w:p>
      <w:pPr>
        <w:pStyle w:val="TextBody"/>
        <w:bidi w:val="0"/>
        <w:spacing w:before="240" w:after="283"/>
        <w:jc w:val="left"/>
        <w:rPr>
          <w:rFonts w:ascii="Arial" w:hAnsi="Arial"/>
          <w:color w:val="000000"/>
          <w:sz w:val="20"/>
          <w:u w:val="single"/>
        </w:rPr>
      </w:pPr>
      <w:r>
        <w:rPr>
          <w:rFonts w:ascii="Arial" w:hAnsi="Arial"/>
          <w:color w:val="000000"/>
          <w:sz w:val="20"/>
          <w:u w:val="single"/>
        </w:rPr>
        <w:t>Initial Awards</w:t>
      </w:r>
    </w:p>
    <w:p>
      <w:pPr>
        <w:pStyle w:val="TextBody"/>
        <w:bidi w:val="0"/>
        <w:spacing w:before="240" w:after="240"/>
        <w:jc w:val="left"/>
        <w:rPr>
          <w:rFonts w:ascii="Arial" w:hAnsi="Arial"/>
          <w:color w:val="000000"/>
          <w:sz w:val="20"/>
        </w:rPr>
      </w:pPr>
      <w:r>
        <w:rPr>
          <w:rFonts w:ascii="Arial" w:hAnsi="Arial"/>
          <w:color w:val="000000"/>
          <w:sz w:val="20"/>
        </w:rPr>
        <w:t>Pursuant to our outside director compensation policy:</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 xml:space="preserve">As amended on February 7, 2023, each person who first became a non-employee director was entitled to receive, on the first trading day on or after the date that the person first became a non-employee director, an initial award of stock options to purchase shares of our common stock and an initial award of our restricted stock units (collectively, the Initial Award) together having an aggregate value of approximately $367,500 (with the shares covered by each award rounded down to the nearest whole share), with 50% of the value of the Initial Award in stock options to purchase shares of our common stock and the remaining 50% of the value of the Initial Award in our restricted stock units. No non-employee director received an initial award in 2023 prior to this amendment. </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As amended on February 28, 2024, each person who first becomes a non-employee director will receive, on the first trading day on or after the date that the person first becomes a non-employee director, an initial award of stock options to purchase 69,470 shares of our common stock and an initial award of 46,886 restricted stock units (collectively, the Initial Award).</w:t>
      </w:r>
    </w:p>
    <w:p>
      <w:pPr>
        <w:pStyle w:val="TextBody"/>
        <w:bidi w:val="0"/>
        <w:jc w:val="left"/>
        <w:rPr>
          <w:rFonts w:ascii="Arial" w:hAnsi="Arial"/>
          <w:color w:val="000000"/>
          <w:sz w:val="20"/>
        </w:rPr>
      </w:pPr>
      <w:r>
        <w:rPr>
          <w:rFonts w:ascii="Arial" w:hAnsi="Arial"/>
          <w:color w:val="000000"/>
          <w:sz w:val="20"/>
        </w:rPr>
        <w:t>The Initial Award vests in three equal annual installments following the director's start date, on the same day of the month as the start date, subject to continued services to us through the applicable vesting dates.</w:t>
      </w:r>
    </w:p>
    <w:p>
      <w:pPr>
        <w:pStyle w:val="TextBody"/>
        <w:bidi w:val="0"/>
        <w:spacing w:before="240" w:after="283"/>
        <w:jc w:val="left"/>
        <w:rPr>
          <w:rFonts w:ascii="Arial" w:hAnsi="Arial"/>
          <w:color w:val="000000"/>
          <w:sz w:val="20"/>
        </w:rPr>
      </w:pPr>
      <w:r>
        <w:rPr>
          <w:rFonts w:ascii="Arial" w:hAnsi="Arial"/>
          <w:color w:val="000000"/>
          <w:sz w:val="20"/>
        </w:rPr>
        <w:t>If the person was a member of our board of directors and also an employee, then becoming a non-employee director due to termination of employment will not entitle the person to an Initial Award.</w:t>
      </w:r>
    </w:p>
    <w:p>
      <w:pPr>
        <w:pStyle w:val="TextBody"/>
        <w:bidi w:val="0"/>
        <w:spacing w:before="240" w:after="283"/>
        <w:jc w:val="left"/>
        <w:rPr>
          <w:rFonts w:ascii="Arial" w:hAnsi="Arial"/>
          <w:color w:val="000000"/>
          <w:sz w:val="20"/>
          <w:u w:val="single"/>
        </w:rPr>
      </w:pPr>
      <w:r>
        <w:rPr>
          <w:rFonts w:ascii="Arial" w:hAnsi="Arial"/>
          <w:color w:val="000000"/>
          <w:sz w:val="20"/>
          <w:u w:val="single"/>
        </w:rPr>
        <w:t>Annual Awards</w:t>
      </w:r>
    </w:p>
    <w:p>
      <w:pPr>
        <w:pStyle w:val="TextBody"/>
        <w:bidi w:val="0"/>
        <w:spacing w:before="240" w:after="240"/>
        <w:jc w:val="left"/>
        <w:rPr>
          <w:rFonts w:ascii="Arial" w:hAnsi="Arial"/>
          <w:color w:val="000000"/>
          <w:sz w:val="20"/>
        </w:rPr>
      </w:pPr>
      <w:r>
        <w:rPr>
          <w:rFonts w:ascii="Arial" w:hAnsi="Arial"/>
          <w:color w:val="000000"/>
          <w:sz w:val="20"/>
        </w:rPr>
        <w:t>Pursuant to our outside director compensation policy:</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 xml:space="preserve">As amended on February 7, 2023, each non-employee director automatically was entitled to receive, on the date of each annual meeting of our stockholders (an Annual Meeting), an annual award of stock options to purchase shares of our common stock and an annual award of our restricted stock units (collectively, the Annual Award) together having an aggregate value of approximately $183,750 (with the shares covered by each award rounded down to the nearest whole share), with 50% of the value of the Annual Award in stock options to purchase shares of our common stock and the remaining 50% of the value of the Annual Award in our restricted stock units.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As amended on February 28, 2024, each non-employee director automatically will receive, on the date of each annual meeting of our stockholders (an Annual Meeting), an annual award of 58,178 restricted stock units (the Annual Award).</w:t>
      </w:r>
    </w:p>
    <w:p>
      <w:pPr>
        <w:pStyle w:val="TextBody"/>
        <w:bidi w:val="0"/>
        <w:spacing w:before="240" w:after="283"/>
        <w:jc w:val="left"/>
        <w:rPr>
          <w:rFonts w:ascii="Arial" w:hAnsi="Arial"/>
          <w:color w:val="000000"/>
          <w:sz w:val="20"/>
        </w:rPr>
      </w:pPr>
      <w:r>
        <w:rPr>
          <w:rFonts w:ascii="Arial" w:hAnsi="Arial"/>
          <w:color w:val="000000"/>
          <w:sz w:val="20"/>
        </w:rPr>
        <w:t>Under each of the above versions of our outside director compensation policy,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pStyle w:val="TextBody"/>
        <w:bidi w:val="0"/>
        <w:spacing w:before="240" w:after="283"/>
        <w:jc w:val="left"/>
        <w:rPr>
          <w:rFonts w:ascii="Times New Roman" w:hAnsi="Times New Roman"/>
          <w:sz w:val="20"/>
        </w:rPr>
      </w:pPr>
      <w:r>
        <w:rPr>
          <w:rFonts w:ascii="Arial" w:hAnsi="Arial"/>
          <w:color w:val="000000"/>
          <w:sz w:val="20"/>
          <w:u w:val="single"/>
        </w:rPr>
        <w:t>Change in Control</w:t>
      </w:r>
      <w:r>
        <w:rPr>
          <w:rFonts w:ascii="Arial" w:hAnsi="Arial"/>
          <w:color w:val="000000"/>
          <w:sz w:val="20"/>
        </w:rPr>
        <w:t>. In the event of our change in control, as defined in our 2020 Equity Incentive Plan, each non-employee director’s then outstanding equity awards covering shares of our common stock that were granted to him or her while a non-employee director will accelerate vesting in full, provided that he or she remains a non-employee director through the date of our change in control.</w:t>
      </w:r>
    </w:p>
    <w:p>
      <w:pPr>
        <w:pStyle w:val="TextBody"/>
        <w:bidi w:val="0"/>
        <w:spacing w:before="240" w:after="283"/>
        <w:jc w:val="left"/>
        <w:rPr>
          <w:rFonts w:ascii="Times New Roman" w:hAnsi="Times New Roman"/>
          <w:sz w:val="20"/>
        </w:rPr>
      </w:pPr>
      <w:r>
        <w:rPr>
          <w:rFonts w:ascii="Arial" w:hAnsi="Arial"/>
          <w:color w:val="000000"/>
          <w:sz w:val="20"/>
          <w:u w:val="single"/>
        </w:rPr>
        <w:t>Other Award Terms</w:t>
      </w:r>
      <w:r>
        <w:rPr>
          <w:rFonts w:ascii="Arial" w:hAnsi="Arial"/>
          <w:color w:val="000000"/>
          <w:sz w:val="20"/>
        </w:rPr>
        <w:t>. Each Initial Award and Annual Award will be granted under our 2020 Equity Incentive Plan (or its successor plan, as applicable) and cover shares of our Class A common stock, and are subject to the terms and conditions of such plan and form of award agreement thereunder. These awards will have a maximum term to expiration of ten years from their grant and a per share exercise price equal to 100% of the fair market value of a share of our common stock on the award’s grant date.</w:t>
      </w:r>
    </w:p>
    <w:p>
      <w:pPr>
        <w:pStyle w:val="TextBody"/>
        <w:bidi w:val="0"/>
        <w:spacing w:before="240" w:after="283"/>
        <w:jc w:val="left"/>
        <w:rPr>
          <w:rFonts w:ascii="Arial" w:hAnsi="Arial"/>
          <w:i/>
          <w:color w:val="000000"/>
          <w:sz w:val="20"/>
        </w:rPr>
      </w:pPr>
      <w:r>
        <w:rPr>
          <w:rFonts w:ascii="Arial" w:hAnsi="Arial"/>
          <w:i/>
          <w:color w:val="000000"/>
          <w:sz w:val="20"/>
        </w:rPr>
        <w:t>2023 Compensation</w:t>
      </w:r>
    </w:p>
    <w:p>
      <w:pPr>
        <w:pStyle w:val="TextBody"/>
        <w:bidi w:val="0"/>
        <w:spacing w:before="240" w:after="283"/>
        <w:jc w:val="left"/>
        <w:rPr>
          <w:rFonts w:ascii="Arial" w:hAnsi="Arial"/>
          <w:color w:val="000000"/>
          <w:sz w:val="20"/>
        </w:rPr>
      </w:pPr>
      <w:r>
        <w:rPr>
          <w:rFonts w:ascii="Arial" w:hAnsi="Arial"/>
          <w:color w:val="000000"/>
          <w:sz w:val="20"/>
        </w:rPr>
        <w:t>Directors who are also our employees receive no additional compensation for their service as directors. Omid Farokhzad, M.D., our Chief Executive Officer, was an employee director during 2023. See the section titled “Executive Compensation” for additional information about Dr. Farokhzad’s compensation.</w:t>
      </w:r>
    </w:p>
    <w:p>
      <w:pPr>
        <w:pStyle w:val="TextBody"/>
        <w:bidi w:val="0"/>
        <w:spacing w:before="240" w:after="283"/>
        <w:jc w:val="left"/>
        <w:rPr>
          <w:rFonts w:ascii="Arial" w:hAnsi="Arial"/>
          <w:color w:val="000000"/>
          <w:sz w:val="20"/>
        </w:rPr>
      </w:pPr>
      <w:r>
        <w:rPr>
          <w:rFonts w:ascii="Arial" w:hAnsi="Arial"/>
          <w:color w:val="000000"/>
          <w:sz w:val="20"/>
        </w:rPr>
        <w:t>The following table presents the total compensation each of our non-employee directors received during the year ended December 31, 2023. Other than as set forth in the table, we did not pay any compensation, make any equity awards or non-equity awards to or pay any other compensation to any of our non-employee directors in 2023.</w:t>
      </w:r>
    </w:p>
    <w:p>
      <w:pPr>
        <w:pStyle w:val="TextBody"/>
        <w:bidi w:val="0"/>
        <w:spacing w:before="240" w:after="283"/>
        <w:jc w:val="left"/>
        <w:rPr>
          <w:rFonts w:ascii="Arial" w:hAnsi="Arial"/>
          <w:b/>
          <w:color w:val="000000"/>
          <w:sz w:val="20"/>
          <w:u w:val="single"/>
        </w:rPr>
      </w:pPr>
      <w:r>
        <w:rPr>
          <w:rFonts w:ascii="Arial" w:hAnsi="Arial"/>
          <w:b/>
          <w:color w:val="000000"/>
          <w:sz w:val="20"/>
          <w:u w:val="single"/>
        </w:rPr>
        <w:t>Director Compensation for Fiscal Year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0"/>
        <w:gridCol w:w="146"/>
        <w:gridCol w:w="290"/>
        <w:gridCol w:w="1377"/>
        <w:gridCol w:w="146"/>
        <w:gridCol w:w="146"/>
        <w:gridCol w:w="193"/>
        <w:gridCol w:w="1057"/>
        <w:gridCol w:w="146"/>
        <w:gridCol w:w="146"/>
        <w:gridCol w:w="201"/>
        <w:gridCol w:w="1101"/>
        <w:gridCol w:w="146"/>
        <w:gridCol w:w="146"/>
        <w:gridCol w:w="303"/>
        <w:gridCol w:w="1441"/>
        <w:gridCol w:w="146"/>
        <w:gridCol w:w="248"/>
        <w:gridCol w:w="146"/>
        <w:gridCol w:w="146"/>
        <w:gridCol w:w="796"/>
        <w:gridCol w:w="198"/>
      </w:tblGrid>
      <w:tr>
        <w:trPr/>
        <w:tc>
          <w:tcPr>
            <w:tcW w:w="1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Fees Earned or Paid in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Stock Awards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Option Awards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 Other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David Hallal</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37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287,973</w:t>
            </w:r>
          </w:p>
        </w:tc>
        <w:tc>
          <w:tcPr>
            <w:tcW w:w="198" w:type="dxa"/>
            <w:tcBorders/>
            <w:shd w:fill="CFF0FC" w:val="clear"/>
            <w:vAlign w:val="center"/>
          </w:tcPr>
          <w:p>
            <w:pPr>
              <w:pStyle w:val="TableContents"/>
              <w:bidi w:val="0"/>
              <w:spacing w:before="0" w:after="283"/>
              <w:jc w:val="left"/>
              <w:rPr/>
            </w:pPr>
            <w:r>
              <w:rPr/>
              <w:t> </w:t>
            </w:r>
          </w:p>
        </w:tc>
      </w:tr>
      <w:tr>
        <w:trPr/>
        <w:tc>
          <w:tcPr>
            <w:tcW w:w="15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Robert Langer, Sc.D.</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101,508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75,000</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330,473</w:t>
            </w:r>
          </w:p>
        </w:tc>
        <w:tc>
          <w:tcPr>
            <w:tcW w:w="198" w:type="dxa"/>
            <w:tcBorders/>
            <w:shd w:fill="FFFFFF" w:val="clear"/>
            <w:vAlign w:val="center"/>
          </w:tcPr>
          <w:p>
            <w:pPr>
              <w:pStyle w:val="TableContents"/>
              <w:bidi w:val="0"/>
              <w:spacing w:before="0" w:after="283"/>
              <w:jc w:val="left"/>
              <w:rPr/>
            </w:pPr>
            <w:r>
              <w:rPr/>
              <w:t> </w:t>
            </w:r>
          </w:p>
        </w:tc>
      </w:tr>
      <w:tr>
        <w:trPr/>
        <w:tc>
          <w:tcPr>
            <w:tcW w:w="154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Terrance McGuire</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37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270,473</w:t>
            </w:r>
          </w:p>
        </w:tc>
        <w:tc>
          <w:tcPr>
            <w:tcW w:w="198" w:type="dxa"/>
            <w:tcBorders/>
            <w:shd w:fill="CFF0FC" w:val="clear"/>
            <w:vAlign w:val="center"/>
          </w:tcPr>
          <w:p>
            <w:pPr>
              <w:pStyle w:val="TableContents"/>
              <w:bidi w:val="0"/>
              <w:spacing w:before="0" w:after="283"/>
              <w:jc w:val="left"/>
              <w:rPr/>
            </w:pPr>
            <w:r>
              <w:rPr/>
              <w:t> </w:t>
            </w:r>
          </w:p>
        </w:tc>
      </w:tr>
      <w:tr>
        <w:trPr/>
        <w:tc>
          <w:tcPr>
            <w:tcW w:w="15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Rachel Haurwitz, Ph.D.</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101,508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253,727</w:t>
            </w:r>
          </w:p>
        </w:tc>
        <w:tc>
          <w:tcPr>
            <w:tcW w:w="198" w:type="dxa"/>
            <w:tcBorders/>
            <w:shd w:fill="FFFFFF" w:val="clear"/>
            <w:vAlign w:val="center"/>
          </w:tcPr>
          <w:p>
            <w:pPr>
              <w:pStyle w:val="TableContents"/>
              <w:bidi w:val="0"/>
              <w:spacing w:before="0" w:after="283"/>
              <w:jc w:val="left"/>
              <w:rPr/>
            </w:pPr>
            <w:r>
              <w:rPr/>
              <w:t> </w:t>
            </w:r>
          </w:p>
        </w:tc>
      </w:tr>
      <w:tr>
        <w:trPr/>
        <w:tc>
          <w:tcPr>
            <w:tcW w:w="154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Meeta Gulyani</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37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16,135</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271,904</w:t>
            </w:r>
          </w:p>
        </w:tc>
        <w:tc>
          <w:tcPr>
            <w:tcW w:w="198" w:type="dxa"/>
            <w:tcBorders/>
            <w:shd w:fill="CFF0FC" w:val="clear"/>
            <w:vAlign w:val="center"/>
          </w:tcPr>
          <w:p>
            <w:pPr>
              <w:pStyle w:val="TableContents"/>
              <w:bidi w:val="0"/>
              <w:spacing w:before="0" w:after="283"/>
              <w:jc w:val="left"/>
              <w:rPr/>
            </w:pPr>
            <w:r>
              <w:rPr/>
              <w:t> </w:t>
            </w:r>
          </w:p>
        </w:tc>
      </w:tr>
      <w:tr>
        <w:trPr/>
        <w:tc>
          <w:tcPr>
            <w:tcW w:w="15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Dipchand (Deep) Nishar</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101,508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255,473</w:t>
            </w:r>
          </w:p>
        </w:tc>
        <w:tc>
          <w:tcPr>
            <w:tcW w:w="198"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 xml:space="preserve">The amount in this column represents the aggregate grant-date fair value of the award as computed as of the grant date of each option awarded in fiscal 2023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4, 2024.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Dr. Langer received consulting fees for his service on our Scientific Advisory Board in 2023.</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jc w:val="left"/>
        <w:rPr>
          <w:rFonts w:ascii="Arial" w:hAnsi="Arial"/>
          <w:color w:val="000000"/>
          <w:sz w:val="18"/>
        </w:rPr>
      </w:pPr>
      <w:r>
        <w:rPr>
          <w:rFonts w:ascii="Arial" w:hAnsi="Arial"/>
          <w:color w:val="000000"/>
          <w:sz w:val="18"/>
        </w:rPr>
        <w:t xml:space="preserve">Represents reimbursement of educational courses taken related to Ms. Gulyani’s service as Audit Committee Chair.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following table lists all outstanding equity awards held by non-employee directors as of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
        <w:gridCol w:w="146"/>
        <w:gridCol w:w="504"/>
        <w:gridCol w:w="146"/>
        <w:gridCol w:w="197"/>
        <w:gridCol w:w="814"/>
        <w:gridCol w:w="197"/>
        <w:gridCol w:w="320"/>
        <w:gridCol w:w="146"/>
        <w:gridCol w:w="230"/>
        <w:gridCol w:w="829"/>
        <w:gridCol w:w="230"/>
        <w:gridCol w:w="357"/>
        <w:gridCol w:w="146"/>
        <w:gridCol w:w="195"/>
        <w:gridCol w:w="606"/>
        <w:gridCol w:w="146"/>
        <w:gridCol w:w="146"/>
        <w:gridCol w:w="254"/>
        <w:gridCol w:w="605"/>
        <w:gridCol w:w="146"/>
        <w:gridCol w:w="146"/>
        <w:gridCol w:w="231"/>
        <w:gridCol w:w="834"/>
        <w:gridCol w:w="146"/>
        <w:gridCol w:w="229"/>
        <w:gridCol w:w="146"/>
        <w:gridCol w:w="243"/>
        <w:gridCol w:w="875"/>
        <w:gridCol w:w="200"/>
      </w:tblGrid>
      <w:tr>
        <w:trPr/>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8"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 Awards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Market Value of Shares or Units of Stock That Have Not Vested ($)</w:t>
            </w:r>
            <w:r>
              <w:rPr>
                <w:rFonts w:ascii="Arial" w:hAnsi="Arial"/>
                <w:b/>
                <w:color w:val="000000"/>
                <w:sz w:val="9"/>
              </w:rPr>
              <w:t>(1)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David Hallal</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1/28/2020</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101,886</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(4)</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1/27/2030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7/28/2020</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51,753</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(5)</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7/27/2030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9/11/2020</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38,422</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(6)</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9/10/2030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12/3/2020</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18,691</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12/2/2030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6/17/2021</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15,000</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6/17/2031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6/15/2022</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29,640</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34,735</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6/14/2033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23,443</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45,479</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Robert Langer, Sc.D.</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5/18/2018</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104,048</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(7)</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5/17/2028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1/28/2020</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101,886</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(4)</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1/27/2030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7/28/2020</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121,562</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(5)</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7/27/2030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12/3/2020</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18,691</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12/2/2030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6/17/2021</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15,000</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6/17/2031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6/15/2022</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29,640</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34,735</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6/14/2033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23,443</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45,479</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Terrance McGuire</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1/28/2020</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101,886</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(4)</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1/27/2030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7/28/2020</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58,415</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(5)</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7/27/2030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12/3/2020</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18,691</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12/2/2030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6/17/2021</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15,000</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6/17/2031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6/15/2022</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29,640</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34,735</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6/14/2033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23,443</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45,479</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Rachel Haurwitz, Ph.D.</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11/9/2021</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20,833</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9,167</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(8)</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11/9/2031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6/15/2022</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17,865</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34,735</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6/14/2033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23,443</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45,479</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Meeta Gulyani</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11/29/2021</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20,833</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9,167</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(9)</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11/29/2031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6/15/2022</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16,159</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34,735</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6/14/2033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color w:val="000000"/>
              </w:rPr>
            </w:pPr>
            <w:r>
              <w:rPr>
                <w:color w:val="000000"/>
              </w:rPr>
              <w:t>—</w:t>
            </w:r>
          </w:p>
        </w:tc>
        <w:tc>
          <w:tcPr>
            <w:tcW w:w="23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23,443</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45,479</w:t>
            </w:r>
          </w:p>
        </w:tc>
        <w:tc>
          <w:tcPr>
            <w:tcW w:w="200" w:type="dxa"/>
            <w:tcBorders/>
            <w:shd w:fill="CFF0FC"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Dipchand (Deep) Nishar</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3/2/2022</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17,500</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12,500</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(11)</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13.84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3/2/2032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6/15/2022</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29,640</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6/15/2032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34,735</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9"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6/14/2033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6/14/2023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23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23,443</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45,479</w:t>
            </w:r>
          </w:p>
        </w:tc>
        <w:tc>
          <w:tcPr>
            <w:tcW w:w="200"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The amounts in this column are based upon the last reported price of our Class A common stock on the Nasdaq Global Select Market on December 29, 2023, which was $1.94.</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Shares subject to the option vest in 6 equal monthly installments beginning on January 3, 2021,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spacing w:before="0" w:after="0"/>
        <w:jc w:val="left"/>
        <w:rPr>
          <w:rFonts w:ascii="Arial" w:hAnsi="Arial"/>
          <w:color w:val="000000"/>
          <w:sz w:val="18"/>
        </w:rPr>
      </w:pPr>
      <w:r>
        <w:rPr>
          <w:rFonts w:ascii="Arial" w:hAnsi="Arial"/>
          <w:color w:val="000000"/>
          <w:sz w:val="18"/>
        </w:rPr>
        <w:t>Shares subject to the option vested in full on June 15, 2022.</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spacing w:before="0" w:after="0"/>
        <w:jc w:val="left"/>
        <w:rPr>
          <w:rFonts w:ascii="Arial" w:hAnsi="Arial"/>
          <w:color w:val="000000"/>
          <w:sz w:val="18"/>
        </w:rPr>
      </w:pPr>
      <w:r>
        <w:rPr>
          <w:rFonts w:ascii="Arial" w:hAnsi="Arial"/>
          <w:color w:val="000000"/>
          <w:sz w:val="18"/>
        </w:rPr>
        <w:t>Shares subject to the option vest in 48 equal monthly installments beginning on February 28, 2020,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spacing w:before="0" w:after="0"/>
        <w:jc w:val="left"/>
        <w:rPr>
          <w:rFonts w:ascii="Arial" w:hAnsi="Arial"/>
          <w:color w:val="000000"/>
          <w:sz w:val="18"/>
        </w:rPr>
      </w:pPr>
      <w:r>
        <w:rPr>
          <w:rFonts w:ascii="Arial" w:hAnsi="Arial"/>
          <w:color w:val="000000"/>
          <w:sz w:val="18"/>
        </w:rPr>
        <w:t>Shares subject to the option vest in 48 equal monthly installments beginning on August 28, 2020,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(6)</w:t>
      </w:r>
    </w:p>
    <w:p>
      <w:pPr>
        <w:pStyle w:val="TextBody"/>
        <w:bidi w:val="0"/>
        <w:spacing w:before="0" w:after="0"/>
        <w:jc w:val="left"/>
        <w:rPr>
          <w:rFonts w:ascii="Arial" w:hAnsi="Arial"/>
          <w:color w:val="000000"/>
          <w:sz w:val="18"/>
        </w:rPr>
      </w:pPr>
      <w:r>
        <w:rPr>
          <w:rFonts w:ascii="Arial" w:hAnsi="Arial"/>
          <w:color w:val="000000"/>
          <w:sz w:val="18"/>
        </w:rPr>
        <w:t>Shares subject to the option vest in 48 equal monthly installments beginning on October 11, 2020,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(7)</w:t>
      </w:r>
    </w:p>
    <w:p>
      <w:pPr>
        <w:pStyle w:val="TextBody"/>
        <w:bidi w:val="0"/>
        <w:spacing w:before="0" w:after="0"/>
        <w:jc w:val="left"/>
        <w:rPr>
          <w:rFonts w:ascii="Arial" w:hAnsi="Arial"/>
          <w:color w:val="000000"/>
          <w:sz w:val="18"/>
        </w:rPr>
      </w:pPr>
      <w:r>
        <w:rPr>
          <w:rFonts w:ascii="Arial" w:hAnsi="Arial"/>
          <w:color w:val="000000"/>
          <w:sz w:val="18"/>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(8)</w:t>
      </w:r>
    </w:p>
    <w:p>
      <w:pPr>
        <w:pStyle w:val="TextBody"/>
        <w:bidi w:val="0"/>
        <w:spacing w:before="0" w:after="0"/>
        <w:jc w:val="left"/>
        <w:rPr>
          <w:rFonts w:ascii="Arial" w:hAnsi="Arial"/>
          <w:color w:val="000000"/>
          <w:sz w:val="18"/>
        </w:rPr>
      </w:pPr>
      <w:r>
        <w:rPr>
          <w:rFonts w:ascii="Arial" w:hAnsi="Arial"/>
          <w:color w:val="000000"/>
          <w:sz w:val="18"/>
        </w:rPr>
        <w:t>Shares subject to the option vest in 36 equal monthly installments beginning on December 9, 2021,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(9)</w:t>
      </w:r>
    </w:p>
    <w:p>
      <w:pPr>
        <w:pStyle w:val="TextBody"/>
        <w:bidi w:val="0"/>
        <w:spacing w:before="0" w:after="0"/>
        <w:jc w:val="left"/>
        <w:rPr>
          <w:rFonts w:ascii="Arial" w:hAnsi="Arial"/>
          <w:color w:val="000000"/>
          <w:sz w:val="18"/>
        </w:rPr>
      </w:pPr>
      <w:r>
        <w:rPr>
          <w:rFonts w:ascii="Arial" w:hAnsi="Arial"/>
          <w:color w:val="000000"/>
          <w:sz w:val="18"/>
        </w:rPr>
        <w:t>Shares subject to the option vest in 36 equal monthly installments beginning on December 29, 2021,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(10)</w:t>
      </w:r>
    </w:p>
    <w:p>
      <w:pPr>
        <w:pStyle w:val="TextBody"/>
        <w:bidi w:val="0"/>
        <w:spacing w:before="0" w:after="0"/>
        <w:jc w:val="left"/>
        <w:rPr>
          <w:rFonts w:ascii="Arial" w:hAnsi="Arial"/>
          <w:color w:val="000000"/>
          <w:sz w:val="18"/>
        </w:rPr>
      </w:pPr>
      <w:r>
        <w:rPr>
          <w:rFonts w:ascii="Arial" w:hAnsi="Arial"/>
          <w:color w:val="000000"/>
          <w:sz w:val="18"/>
        </w:rPr>
        <w:t>Shares subject to the option vested in full on June 14, 2023.</w:t>
      </w:r>
    </w:p>
    <w:p>
      <w:pPr>
        <w:pStyle w:val="TextBody"/>
        <w:bidi w:val="0"/>
        <w:spacing w:before="0" w:after="0"/>
        <w:jc w:val="left"/>
        <w:rPr>
          <w:rFonts w:ascii="Arial" w:hAnsi="Arial"/>
          <w:color w:val="000000"/>
          <w:sz w:val="18"/>
        </w:rPr>
      </w:pPr>
      <w:r>
        <w:rPr>
          <w:rFonts w:ascii="Arial" w:hAnsi="Arial"/>
          <w:color w:val="000000"/>
          <w:sz w:val="18"/>
        </w:rPr>
        <w:t>(11)</w:t>
      </w:r>
    </w:p>
    <w:p>
      <w:pPr>
        <w:pStyle w:val="TextBody"/>
        <w:bidi w:val="0"/>
        <w:spacing w:before="0" w:after="0"/>
        <w:jc w:val="left"/>
        <w:rPr>
          <w:rFonts w:ascii="Arial" w:hAnsi="Arial"/>
          <w:color w:val="000000"/>
          <w:sz w:val="18"/>
        </w:rPr>
      </w:pPr>
      <w:r>
        <w:rPr>
          <w:rFonts w:ascii="Arial" w:hAnsi="Arial"/>
          <w:color w:val="000000"/>
          <w:sz w:val="18"/>
        </w:rPr>
        <w:t>Shares subject to the option vest in 36 equal monthly installments beginning on April 2, 2022,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(12)</w:t>
      </w:r>
    </w:p>
    <w:p>
      <w:pPr>
        <w:pStyle w:val="TextBody"/>
        <w:bidi w:val="0"/>
        <w:jc w:val="left"/>
        <w:rPr>
          <w:rFonts w:ascii="Arial" w:hAnsi="Arial"/>
          <w:color w:val="000000"/>
          <w:sz w:val="18"/>
        </w:rPr>
      </w:pPr>
      <w:r>
        <w:rPr>
          <w:rFonts w:ascii="Arial" w:hAnsi="Arial"/>
          <w:color w:val="000000"/>
          <w:sz w:val="18"/>
        </w:rPr>
        <w:t>Shares subject to the option or stock award vest in full on June 11, 2024.</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0" w:name="proposal_no_1"/>
      <w:bookmarkEnd w:id="20"/>
      <w:r>
        <w:rPr>
          <w:rFonts w:ascii="Arial" w:hAnsi="Arial"/>
          <w:b/>
          <w:color w:val="000000"/>
          <w:sz w:val="20"/>
        </w:rPr>
        <w:t>PROPOSAL NO. 1</w:t>
      </w:r>
    </w:p>
    <w:p>
      <w:pPr>
        <w:pStyle w:val="TextBody"/>
        <w:bidi w:val="0"/>
        <w:spacing w:before="240" w:after="283"/>
        <w:jc w:val="center"/>
        <w:rPr>
          <w:rFonts w:ascii="Arial" w:hAnsi="Arial"/>
          <w:b/>
          <w:color w:val="000000"/>
          <w:sz w:val="20"/>
        </w:rPr>
      </w:pPr>
      <w:r>
        <w:rPr>
          <w:rFonts w:ascii="Arial" w:hAnsi="Arial"/>
          <w:b/>
          <w:color w:val="000000"/>
          <w:sz w:val="20"/>
        </w:rPr>
        <w:t>ELECTION OF DIRECTORS</w:t>
      </w:r>
    </w:p>
    <w:p>
      <w:pPr>
        <w:pStyle w:val="TextBody"/>
        <w:bidi w:val="0"/>
        <w:spacing w:before="240" w:after="283"/>
        <w:jc w:val="left"/>
        <w:rPr>
          <w:rFonts w:ascii="Times New Roman" w:hAnsi="Times New Roman"/>
          <w:sz w:val="20"/>
        </w:rPr>
      </w:pPr>
      <w:r>
        <w:rPr>
          <w:rFonts w:ascii="Arial" w:hAnsi="Arial"/>
          <w:color w:val="000000"/>
          <w:sz w:val="20"/>
        </w:rPr>
        <w:t>Our board of directors is currently composed of seven members. In accordance with our amended and restated certificate of incorporation, our board of directors is currently divided into two classes with staggered terms. At our 2023 annual meeting of stockholders, our stockholders approved an amendment to our amended and restated certificate of incorporation to declassify the board of directors. As a result, the four directors elected at the 2023 annual meeting of stockholders were elected for a one-year term and are up for election again at the Annual Meeting for another one-year term. There are no longer any directors in the class of directors who were elected at our 2021 annual meeting of stockholders for a three-year term scheduled to end at the Annual Meeting. Following the Annual Meeting, all members of our board of directors will have terms ending at the 2025 annual meeting of stockholders or upon the election and qualification of such director’s successor, or such director’s earlier death, resignation or removal.</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bookmarkStart w:id="21" w:name="nominees"/>
      <w:bookmarkEnd w:id="21"/>
      <w:r>
        <w:rPr>
          <w:rFonts w:ascii="Arial" w:hAnsi="Arial"/>
          <w:b/>
          <w:color w:val="000000"/>
          <w:sz w:val="20"/>
        </w:rPr>
        <w:t>Nominees</w:t>
      </w:r>
    </w:p>
    <w:p>
      <w:pPr>
        <w:pStyle w:val="TextBody"/>
        <w:bidi w:val="0"/>
        <w:spacing w:before="240" w:after="283"/>
        <w:jc w:val="left"/>
        <w:rPr>
          <w:rFonts w:ascii="Arial" w:hAnsi="Arial"/>
          <w:color w:val="000000"/>
          <w:sz w:val="20"/>
        </w:rPr>
      </w:pPr>
      <w:r>
        <w:rPr>
          <w:rFonts w:ascii="Arial" w:hAnsi="Arial"/>
          <w:color w:val="000000"/>
          <w:sz w:val="20"/>
        </w:rPr>
        <w:t>Our corporate governance and nominating committee has recommended, and our board of directors has approved, Omid Farokhzad, M.D., Meeta Gulyani, David Hallal and Terrance McGuire as nominees for election as directors at the Annual Meeting. If elected, each of Dr. Farokhzad, Ms. Gulyani, Mr. Hallal and Mr. McGuire will serve as a director until the 2025 annual meeting of stockholders or until his or her successor is duly elected and qualified. Dr. Farokhzad, Ms. Gulyani, Mr. Hallal and Mr. McGuire are currently directors of our company, and each has agreed to being named in this proxy statement as a nominee. For information concerning the nominees, please see the section titled “Board of Directors and Corporate Governance.”</w:t>
      </w:r>
    </w:p>
    <w:p>
      <w:pPr>
        <w:pStyle w:val="TextBody"/>
        <w:bidi w:val="0"/>
        <w:spacing w:before="240" w:after="283"/>
        <w:jc w:val="left"/>
        <w:rPr>
          <w:rFonts w:ascii="Arial" w:hAnsi="Arial"/>
          <w:color w:val="000000"/>
          <w:sz w:val="20"/>
        </w:rPr>
      </w:pPr>
      <w:r>
        <w:rPr>
          <w:rFonts w:ascii="Arial" w:hAnsi="Arial"/>
          <w:color w:val="000000"/>
          <w:sz w:val="20"/>
        </w:rPr>
        <w:t>If you are a stockholder of record and you sign your proxy card or vote over the Internet or by telephone but do not give instructions with respect to the voting of directors, your shares will be voted FOR the election of Dr. Farokhzad, Ms. Gulyani, Mr. Hallal and Mr. McGuire. If you are a street name stockholder of shares of our common stock and you do not give voting instructions to your broker, bank or other nominee, then your broker, bank or other nominee will leave your shares unvoted on this matter. We expect that Dr. Farokhzad, Ms. Gulyani, Mr. Hallal and Mr. McGuire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pStyle w:val="TextBody"/>
        <w:bidi w:val="0"/>
        <w:spacing w:before="240" w:after="283"/>
        <w:jc w:val="left"/>
        <w:rPr>
          <w:rFonts w:ascii="Arial" w:hAnsi="Arial"/>
          <w:b/>
          <w:color w:val="000000"/>
          <w:sz w:val="20"/>
        </w:rPr>
      </w:pPr>
      <w:bookmarkStart w:id="22" w:name="vote_required_1"/>
      <w:bookmarkEnd w:id="22"/>
      <w:r>
        <w:rPr>
          <w:rFonts w:ascii="Arial" w:hAnsi="Arial"/>
          <w:b/>
          <w:color w:val="000000"/>
          <w:sz w:val="20"/>
        </w:rPr>
        <w:t>Vote Required</w:t>
      </w:r>
    </w:p>
    <w:p>
      <w:pPr>
        <w:pStyle w:val="TextBody"/>
        <w:bidi w:val="0"/>
        <w:spacing w:before="240" w:after="283"/>
        <w:jc w:val="left"/>
        <w:rPr>
          <w:rFonts w:ascii="Arial" w:hAnsi="Arial"/>
          <w:color w:val="000000"/>
          <w:sz w:val="20"/>
        </w:rPr>
      </w:pPr>
      <w:r>
        <w:rPr>
          <w:rFonts w:ascii="Arial" w:hAnsi="Arial"/>
          <w:color w:val="000000"/>
          <w:sz w:val="20"/>
        </w:rPr>
        <w:t>The election of directors requires a plurality of the votes of the shares of our common stock present in person (including virtually) or represented by proxy at the Annual Meeting and entitled to vote thereon to be approved. “Plurality” means that the four nominees who receive the most votes cast FOR will be elected as directors. As a result, any shares not voted FOR a particular nominee (whether as a result of voting withheld or a broker non-vote) will not be counted in such nominee’s favor and will have no effect on the outcome of the election.</w:t>
      </w:r>
    </w:p>
    <w:p>
      <w:pPr>
        <w:pStyle w:val="TextBody"/>
        <w:bidi w:val="0"/>
        <w:spacing w:before="360" w:after="283"/>
        <w:jc w:val="center"/>
        <w:rPr>
          <w:rFonts w:ascii="Arial" w:hAnsi="Arial"/>
          <w:b/>
          <w:color w:val="000000"/>
          <w:sz w:val="20"/>
        </w:rPr>
      </w:pPr>
      <w:r>
        <w:rPr>
          <w:rFonts w:ascii="Arial" w:hAnsi="Arial"/>
          <w:b/>
          <w:color w:val="000000"/>
          <w:sz w:val="20"/>
        </w:rPr>
        <w:t>THE BOARD OF DIRECTORS RECOMMENDS A VOTE “FOR” THE ELECTION OF EACH OF THE FOUR NOMINEES NAMED ABOVE AS DIRECTORS.</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3" w:name="proposal_no_2"/>
      <w:bookmarkEnd w:id="23"/>
      <w:r>
        <w:rPr>
          <w:rFonts w:ascii="Arial" w:hAnsi="Arial"/>
          <w:b/>
          <w:color w:val="000000"/>
          <w:sz w:val="20"/>
        </w:rPr>
        <w:t>PROPOSAL</w:t>
      </w:r>
      <w:r>
        <w:rPr>
          <w:rFonts w:ascii="Times New Roman" w:hAnsi="Times New Roman"/>
          <w:color w:val="000000"/>
          <w:sz w:val="20"/>
        </w:rPr>
        <w:t xml:space="preserve"> </w:t>
      </w:r>
      <w:r>
        <w:rPr>
          <w:rFonts w:ascii="Arial" w:hAnsi="Arial"/>
          <w:b/>
          <w:color w:val="000000"/>
          <w:sz w:val="20"/>
        </w:rPr>
        <w:t>NO. 2</w:t>
      </w:r>
    </w:p>
    <w:p>
      <w:pPr>
        <w:pStyle w:val="TextBody"/>
        <w:bidi w:val="0"/>
        <w:spacing w:before="240" w:after="283"/>
        <w:jc w:val="center"/>
        <w:rPr>
          <w:rFonts w:ascii="Arial" w:hAnsi="Arial"/>
          <w:b/>
          <w:color w:val="000000"/>
          <w:sz w:val="20"/>
        </w:rPr>
      </w:pPr>
      <w:r>
        <w:rPr>
          <w:rFonts w:ascii="Arial" w:hAnsi="Arial"/>
          <w:b/>
          <w:color w:val="000000"/>
          <w:sz w:val="20"/>
        </w:rPr>
        <w:t>RATIFICATION OF APPOINTMENT OF</w:t>
      </w:r>
    </w:p>
    <w:p>
      <w:pPr>
        <w:pStyle w:val="TextBody"/>
        <w:bidi w:val="0"/>
        <w:jc w:val="center"/>
        <w:rPr>
          <w:rFonts w:ascii="Arial" w:hAnsi="Arial"/>
          <w:b/>
          <w:color w:val="000000"/>
          <w:sz w:val="20"/>
        </w:rPr>
      </w:pPr>
      <w:r>
        <w:rPr>
          <w:rFonts w:ascii="Arial" w:hAnsi="Arial"/>
          <w:b/>
          <w:color w:val="000000"/>
          <w:sz w:val="20"/>
        </w:rPr>
        <w:t>INDEPENDENT REGISTERED PUBLIC ACCOUNTING FIRM</w:t>
      </w:r>
    </w:p>
    <w:p>
      <w:pPr>
        <w:pStyle w:val="TextBody"/>
        <w:bidi w:val="0"/>
        <w:spacing w:before="240" w:after="283"/>
        <w:jc w:val="left"/>
        <w:rPr>
          <w:rFonts w:ascii="Arial" w:hAnsi="Arial"/>
          <w:color w:val="000000"/>
          <w:sz w:val="20"/>
        </w:rPr>
      </w:pPr>
      <w:r>
        <w:rPr>
          <w:rFonts w:ascii="Arial" w:hAnsi="Arial"/>
          <w:color w:val="000000"/>
          <w:sz w:val="20"/>
        </w:rPr>
        <w:t>Our audit committee has appointed Deloitte &amp; Touche LLP, an independent registered public accounting firm, to audit our financial statements for our fiscal year ending December 31, 2024. Deloitte &amp; Touche LLP has served as our independent registered public accounting firm since 2018.</w:t>
      </w:r>
    </w:p>
    <w:p>
      <w:pPr>
        <w:pStyle w:val="TextBody"/>
        <w:bidi w:val="0"/>
        <w:spacing w:before="240" w:after="283"/>
        <w:jc w:val="left"/>
        <w:rPr>
          <w:rFonts w:ascii="Arial" w:hAnsi="Arial"/>
          <w:color w:val="000000"/>
          <w:sz w:val="20"/>
        </w:rPr>
      </w:pPr>
      <w:r>
        <w:rPr>
          <w:rFonts w:ascii="Arial" w:hAnsi="Arial"/>
          <w:color w:val="000000"/>
          <w:sz w:val="20"/>
        </w:rPr>
        <w:t>At the Annual Meeting, our stockholders are being asked to ratify the appointment of Deloitte &amp; Touche LLP as our independent registered public accounting firm for our fiscal year ending December 31, 2024.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2024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pStyle w:val="TextBody"/>
        <w:bidi w:val="0"/>
        <w:spacing w:before="240" w:after="283"/>
        <w:jc w:val="left"/>
        <w:rPr>
          <w:rFonts w:ascii="Arial" w:hAnsi="Arial"/>
          <w:b/>
          <w:color w:val="000000"/>
          <w:sz w:val="20"/>
        </w:rPr>
      </w:pPr>
      <w:bookmarkStart w:id="24" w:name="fees_paid_to_the_independent_registered_"/>
      <w:bookmarkEnd w:id="24"/>
      <w:r>
        <w:rPr>
          <w:rFonts w:ascii="Arial" w:hAnsi="Arial"/>
          <w:b/>
          <w:color w:val="000000"/>
          <w:sz w:val="20"/>
        </w:rPr>
        <w:t>Fees Paid to the Independent Registered Public Accounting Firm</w:t>
      </w:r>
    </w:p>
    <w:p>
      <w:pPr>
        <w:pStyle w:val="TextBody"/>
        <w:bidi w:val="0"/>
        <w:spacing w:before="240" w:after="283"/>
        <w:jc w:val="left"/>
        <w:rPr>
          <w:rFonts w:ascii="Times New Roman" w:hAnsi="Times New Roman"/>
          <w:sz w:val="20"/>
        </w:rPr>
      </w:pPr>
      <w:r>
        <w:rPr>
          <w:rFonts w:ascii="Arial" w:hAnsi="Arial"/>
          <w:color w:val="000000"/>
          <w:sz w:val="20"/>
        </w:rPr>
        <w:t>The following table presents fees for professional audit services and other services rendered to us by Deloitte &amp; Touche LLP for our fiscal years ended December 31, 2023 and 2022.</w:t>
      </w:r>
      <w:r>
        <w:rPr>
          <w:rFonts w:ascii="Times New Roman" w:hAnsi="Times New Roman"/>
          <w:color w:val="000000"/>
          <w:sz w:val="20"/>
        </w:rPr>
        <w:t xml:space="preserve"> </w:t>
      </w:r>
    </w:p>
    <w:p>
      <w:pPr>
        <w:pStyle w:val="TextBody"/>
        <w:bidi w:val="0"/>
        <w:jc w:val="left"/>
        <w:rPr/>
      </w:pPr>
      <w:r>
        <w:rPr/>
        <w:t> </w:t>
      </w:r>
    </w:p>
    <w:tbl>
      <w:tblPr>
        <w:tblW w:w="4204" w:type="dxa"/>
        <w:jc w:val="left"/>
        <w:tblInd w:w="0" w:type="dxa"/>
        <w:tblLayout w:type="fixed"/>
        <w:tblCellMar>
          <w:top w:w="28" w:type="dxa"/>
          <w:left w:w="28" w:type="dxa"/>
          <w:bottom w:w="28" w:type="dxa"/>
          <w:right w:w="28" w:type="dxa"/>
        </w:tblCellMar>
      </w:tblPr>
      <w:tblGrid>
        <w:gridCol w:w="1231"/>
        <w:gridCol w:w="146"/>
        <w:gridCol w:w="211"/>
        <w:gridCol w:w="961"/>
        <w:gridCol w:w="146"/>
        <w:gridCol w:w="146"/>
        <w:gridCol w:w="211"/>
        <w:gridCol w:w="961"/>
        <w:gridCol w:w="19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Audit Fees</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997,500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1,145,000</w:t>
            </w:r>
          </w:p>
        </w:tc>
        <w:tc>
          <w:tcPr>
            <w:tcW w:w="191" w:type="dxa"/>
            <w:tcBorders/>
            <w:shd w:fill="CFF0FC" w:val="clear"/>
            <w:vAlign w:val="center"/>
          </w:tcPr>
          <w:p>
            <w:pPr>
              <w:pStyle w:val="TableContents"/>
              <w:bidi w:val="0"/>
              <w:spacing w:before="0" w:after="283"/>
              <w:jc w:val="left"/>
              <w:rPr/>
            </w:pPr>
            <w:r>
              <w:rPr/>
              <w:t> </w:t>
            </w:r>
          </w:p>
        </w:tc>
      </w:tr>
      <w:tr>
        <w:trPr/>
        <w:tc>
          <w:tcPr>
            <w:tcW w:w="123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Tax Fees</w:t>
            </w:r>
            <w:r>
              <w:rPr>
                <w:rFonts w:ascii="Arial" w:hAnsi="Arial"/>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Fees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1,232,254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color w:val="000000"/>
        </w:rPr>
      </w:pPr>
      <w:r>
        <w:rPr>
          <w:color w:val="000000"/>
        </w:rPr>
        <w:t>“</w:t>
      </w:r>
      <w:r>
        <w:rPr>
          <w:rFonts w:ascii="Arial" w:hAnsi="Arial"/>
          <w:color w:val="000000"/>
          <w:sz w:val="18"/>
        </w:rPr>
        <w:t xml:space="preserve">Audit Fees” consist of fees billed for professional services rendered in connection with the audit of our annual financial statements and reviews of our quarterly financial statements for those fiscal years.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color w:val="000000"/>
        </w:rPr>
      </w:pPr>
      <w:r>
        <w:rPr>
          <w:color w:val="000000"/>
        </w:rPr>
        <w:t>“</w:t>
      </w:r>
      <w:r>
        <w:rPr>
          <w:rFonts w:ascii="Arial" w:hAnsi="Arial"/>
          <w:color w:val="000000"/>
          <w:sz w:val="18"/>
        </w:rPr>
        <w:t>Tax Fees” consist of fees billed for professional services rendered by Deloitte &amp; Touche LLP for tax compliance, tax advice and tax planning.</w:t>
      </w:r>
    </w:p>
    <w:p>
      <w:pPr>
        <w:pStyle w:val="TextBody"/>
        <w:bidi w:val="0"/>
        <w:spacing w:before="240" w:after="283"/>
        <w:jc w:val="left"/>
        <w:rPr>
          <w:rFonts w:ascii="Arial" w:hAnsi="Arial"/>
          <w:b/>
          <w:color w:val="000000"/>
          <w:sz w:val="20"/>
        </w:rPr>
      </w:pPr>
      <w:bookmarkStart w:id="25" w:name="auditor_independence"/>
      <w:bookmarkEnd w:id="25"/>
      <w:r>
        <w:rPr>
          <w:rFonts w:ascii="Arial" w:hAnsi="Arial"/>
          <w:b/>
          <w:color w:val="000000"/>
          <w:sz w:val="20"/>
        </w:rPr>
        <w:t>Auditor Independence</w:t>
      </w:r>
    </w:p>
    <w:p>
      <w:pPr>
        <w:pStyle w:val="TextBody"/>
        <w:bidi w:val="0"/>
        <w:spacing w:before="240" w:after="283"/>
        <w:jc w:val="left"/>
        <w:rPr>
          <w:rFonts w:ascii="Arial" w:hAnsi="Arial"/>
          <w:color w:val="000000"/>
          <w:sz w:val="20"/>
        </w:rPr>
      </w:pPr>
      <w:r>
        <w:rPr>
          <w:rFonts w:ascii="Arial" w:hAnsi="Arial"/>
          <w:color w:val="000000"/>
          <w:sz w:val="20"/>
        </w:rPr>
        <w:t>In our fiscal year ended December 31, 2023, there were no other professional services provided by Deloitte &amp; Touche LLP that would have required our audit committee to consider their compatibility with maintaining the independence of Deloitte &amp; Touche LLP.</w:t>
      </w:r>
    </w:p>
    <w:p>
      <w:pPr>
        <w:pStyle w:val="TextBody"/>
        <w:bidi w:val="0"/>
        <w:spacing w:before="240" w:after="283"/>
        <w:jc w:val="left"/>
        <w:rPr>
          <w:rFonts w:ascii="Arial" w:hAnsi="Arial"/>
          <w:b/>
          <w:color w:val="000000"/>
          <w:sz w:val="20"/>
        </w:rPr>
      </w:pPr>
      <w:bookmarkStart w:id="26" w:name="audit_committee_policy_on_pre_approval"/>
      <w:bookmarkEnd w:id="26"/>
      <w:r>
        <w:rPr>
          <w:rFonts w:ascii="Arial" w:hAnsi="Arial"/>
          <w:b/>
          <w:color w:val="000000"/>
          <w:sz w:val="20"/>
        </w:rPr>
        <w:t>Audit Committee Policy on Pre-Approval of Audit and Permissible Non-Audit Services of Independent Registered Public Accounting Firm</w:t>
      </w:r>
    </w:p>
    <w:p>
      <w:pPr>
        <w:pStyle w:val="TextBody"/>
        <w:bidi w:val="0"/>
        <w:spacing w:before="240" w:after="283"/>
        <w:jc w:val="left"/>
        <w:rPr>
          <w:rFonts w:ascii="Arial" w:hAnsi="Arial"/>
          <w:color w:val="000000"/>
          <w:sz w:val="20"/>
        </w:rPr>
      </w:pPr>
      <w:r>
        <w:rPr>
          <w:rFonts w:ascii="Arial" w:hAnsi="Arial"/>
          <w:color w:val="000000"/>
          <w:sz w:val="20"/>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2023 and 2022 were pre-approved by our audit committee.</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bookmarkStart w:id="27" w:name="vote_required_2"/>
      <w:bookmarkEnd w:id="27"/>
      <w:r>
        <w:rPr>
          <w:rFonts w:ascii="Arial" w:hAnsi="Arial"/>
          <w:b/>
          <w:color w:val="000000"/>
          <w:sz w:val="20"/>
        </w:rPr>
        <w:t>Vote Required</w:t>
      </w:r>
    </w:p>
    <w:p>
      <w:pPr>
        <w:pStyle w:val="TextBody"/>
        <w:bidi w:val="0"/>
        <w:spacing w:before="240" w:after="283"/>
        <w:jc w:val="left"/>
        <w:rPr>
          <w:rFonts w:ascii="Arial" w:hAnsi="Arial"/>
          <w:color w:val="000000"/>
          <w:sz w:val="20"/>
        </w:rPr>
      </w:pPr>
      <w:r>
        <w:rPr>
          <w:rFonts w:ascii="Arial" w:hAnsi="Arial"/>
          <w:color w:val="000000"/>
          <w:sz w:val="20"/>
        </w:rPr>
        <w:t>The ratification of the appointment of Deloitte &amp; Touche LLP as our independent registered public accounting firm for our fiscal year ending December 31, 2024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pStyle w:val="TextBody"/>
        <w:bidi w:val="0"/>
        <w:spacing w:before="240" w:after="283"/>
        <w:jc w:val="center"/>
        <w:rPr>
          <w:rFonts w:ascii="Arial" w:hAnsi="Arial"/>
          <w:b/>
          <w:color w:val="000000"/>
          <w:sz w:val="20"/>
        </w:rPr>
      </w:pPr>
      <w:r>
        <w:rPr>
          <w:rFonts w:ascii="Arial" w:hAnsi="Arial"/>
          <w:b/>
          <w:color w:val="000000"/>
          <w:sz w:val="20"/>
        </w:rPr>
        <w:t>THE BOARD OF DIRECTORS RECOMMENDS A VOTE “FOR” THE RATIFICATION OF THE APPOINTMENT OF DELOITTE &amp; TOUCHE LLP AS OUR INDEPENDENT REGISTERED PUBLIC ACCOUNTING FIRM FOR OUR FISCAL YEAR ENDING DECEMBER 31, 2024.</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8" w:name="audit_committee_report"/>
      <w:bookmarkEnd w:id="28"/>
      <w:r>
        <w:rPr>
          <w:rFonts w:ascii="Arial" w:hAnsi="Arial"/>
          <w:b/>
          <w:color w:val="000000"/>
          <w:sz w:val="20"/>
        </w:rPr>
        <w:t>AUDIT COMMITTEE REPORT</w:t>
      </w:r>
    </w:p>
    <w:p>
      <w:pPr>
        <w:pStyle w:val="TextBody"/>
        <w:bidi w:val="0"/>
        <w:spacing w:before="240" w:after="283"/>
        <w:jc w:val="left"/>
        <w:rPr>
          <w:rFonts w:ascii="Arial" w:hAnsi="Arial"/>
          <w:color w:val="000000"/>
          <w:sz w:val="20"/>
        </w:rPr>
      </w:pPr>
      <w:r>
        <w:rPr>
          <w:rFonts w:ascii="Arial" w:hAnsi="Arial"/>
          <w:color w:val="000000"/>
          <w:sz w:val="20"/>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investor.seer.bio. The audit committee reviews and assesses the adequacy of its charter and the audit committee’s performance on an annual basis.</w:t>
      </w:r>
    </w:p>
    <w:p>
      <w:pPr>
        <w:pStyle w:val="TextBody"/>
        <w:bidi w:val="0"/>
        <w:spacing w:before="240" w:after="283"/>
        <w:jc w:val="left"/>
        <w:rPr>
          <w:rFonts w:ascii="Arial" w:hAnsi="Arial"/>
          <w:color w:val="000000"/>
          <w:sz w:val="20"/>
        </w:rPr>
      </w:pPr>
      <w:r>
        <w:rPr>
          <w:rFonts w:ascii="Arial" w:hAnsi="Arial"/>
          <w:color w:val="000000"/>
          <w:sz w:val="20"/>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pStyle w:val="TextBody"/>
        <w:bidi w:val="0"/>
        <w:spacing w:before="240" w:after="283"/>
        <w:jc w:val="left"/>
        <w:rPr>
          <w:rFonts w:ascii="Arial" w:hAnsi="Arial"/>
          <w:color w:val="000000"/>
          <w:sz w:val="20"/>
        </w:rPr>
      </w:pPr>
      <w:r>
        <w:rPr>
          <w:rFonts w:ascii="Arial" w:hAnsi="Arial"/>
          <w:color w:val="000000"/>
          <w:sz w:val="20"/>
        </w:rPr>
        <w:t>In the performance of its oversight function, the audit committee has: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reviewed and discussed the audited financial statements with management and Deloitte;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discussed with Deloitte the matters required to be discussed by the applicable requirements of the Public Company Accounting Oversight Board (PCAOB) and the SEC;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pStyle w:val="TextBody"/>
        <w:bidi w:val="0"/>
        <w:spacing w:before="240" w:after="283"/>
        <w:jc w:val="left"/>
        <w:rPr>
          <w:rFonts w:ascii="Arial" w:hAnsi="Arial"/>
          <w:color w:val="000000"/>
          <w:sz w:val="20"/>
        </w:rPr>
      </w:pPr>
      <w:r>
        <w:rPr>
          <w:rFonts w:ascii="Arial" w:hAnsi="Arial"/>
          <w:color w:val="000000"/>
          <w:sz w:val="20"/>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2023 for filing with the SEC.</w:t>
      </w:r>
    </w:p>
    <w:p>
      <w:pPr>
        <w:pStyle w:val="TextBody"/>
        <w:bidi w:val="0"/>
        <w:spacing w:before="240" w:after="283"/>
        <w:jc w:val="left"/>
        <w:rPr>
          <w:rFonts w:ascii="Arial" w:hAnsi="Arial"/>
          <w:color w:val="000000"/>
          <w:sz w:val="20"/>
        </w:rPr>
      </w:pPr>
      <w:r>
        <w:rPr>
          <w:rFonts w:ascii="Arial" w:hAnsi="Arial"/>
          <w:color w:val="000000"/>
          <w:sz w:val="20"/>
        </w:rPr>
        <w:t>Respectfully submitted by the members of the audit committee of the board of directors:</w:t>
      </w:r>
    </w:p>
    <w:p>
      <w:pPr>
        <w:pStyle w:val="TextBody"/>
        <w:bidi w:val="0"/>
        <w:jc w:val="left"/>
        <w:rPr>
          <w:rFonts w:ascii="Arial" w:hAnsi="Arial"/>
          <w:b/>
          <w:color w:val="000000"/>
          <w:sz w:val="20"/>
        </w:rPr>
      </w:pPr>
      <w:r>
        <w:rPr>
          <w:rFonts w:ascii="Arial" w:hAnsi="Arial"/>
          <w:b/>
          <w:color w:val="000000"/>
          <w:sz w:val="20"/>
        </w:rPr>
        <w:t>Meeta Gulyani (Chair)</w:t>
      </w:r>
    </w:p>
    <w:p>
      <w:pPr>
        <w:pStyle w:val="TextBody"/>
        <w:bidi w:val="0"/>
        <w:jc w:val="left"/>
        <w:rPr>
          <w:rFonts w:ascii="Arial" w:hAnsi="Arial"/>
          <w:b/>
          <w:color w:val="000000"/>
          <w:sz w:val="20"/>
        </w:rPr>
      </w:pPr>
      <w:r>
        <w:rPr>
          <w:rFonts w:ascii="Arial" w:hAnsi="Arial"/>
          <w:b/>
          <w:color w:val="000000"/>
          <w:sz w:val="20"/>
        </w:rPr>
        <w:t>Terrance McGuire</w:t>
      </w:r>
    </w:p>
    <w:p>
      <w:pPr>
        <w:pStyle w:val="TextBody"/>
        <w:bidi w:val="0"/>
        <w:jc w:val="left"/>
        <w:rPr>
          <w:rFonts w:ascii="Arial" w:hAnsi="Arial"/>
          <w:b/>
          <w:color w:val="000000"/>
          <w:sz w:val="20"/>
        </w:rPr>
      </w:pPr>
      <w:r>
        <w:rPr>
          <w:rFonts w:ascii="Arial" w:hAnsi="Arial"/>
          <w:b/>
          <w:color w:val="000000"/>
          <w:sz w:val="20"/>
        </w:rPr>
        <w:t>Rachel Haurwitz, Ph.D.</w:t>
      </w:r>
    </w:p>
    <w:p>
      <w:pPr>
        <w:pStyle w:val="TextBody"/>
        <w:bidi w:val="0"/>
        <w:spacing w:before="240" w:after="283"/>
        <w:jc w:val="left"/>
        <w:rPr>
          <w:rFonts w:ascii="Arial" w:hAnsi="Arial"/>
          <w:i/>
          <w:color w:val="000000"/>
          <w:sz w:val="20"/>
        </w:rPr>
      </w:pPr>
      <w:r>
        <w:rPr>
          <w:rFonts w:ascii="Arial" w:hAnsi="Arial"/>
          <w:i/>
          <w:color w:val="000000"/>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9" w:name="executive_officers"/>
      <w:bookmarkEnd w:id="29"/>
      <w:r>
        <w:rPr>
          <w:rFonts w:ascii="Arial" w:hAnsi="Arial"/>
          <w:b/>
          <w:color w:val="000000"/>
          <w:sz w:val="20"/>
        </w:rPr>
        <w:t>EXECUTIVE OFFICERS</w:t>
      </w:r>
    </w:p>
    <w:p>
      <w:pPr>
        <w:pStyle w:val="TextBody"/>
        <w:bidi w:val="0"/>
        <w:spacing w:before="240" w:after="240"/>
        <w:jc w:val="left"/>
        <w:rPr>
          <w:rFonts w:ascii="Arial" w:hAnsi="Arial"/>
          <w:color w:val="000000"/>
          <w:sz w:val="20"/>
        </w:rPr>
      </w:pPr>
      <w:r>
        <w:rPr>
          <w:rFonts w:ascii="Arial" w:hAnsi="Arial"/>
          <w:color w:val="000000"/>
          <w:sz w:val="20"/>
        </w:rPr>
        <w:t>The following table sets forth certain information about our executive officers as of March 31, 2024. Officers are elected by our board of directors to hold office until their successors are elected and qualified.</w:t>
      </w:r>
    </w:p>
    <w:p>
      <w:pPr>
        <w:pStyle w:val="TextBody"/>
        <w:bidi w:val="0"/>
        <w:jc w:val="left"/>
        <w:rPr/>
      </w:pPr>
      <w:r>
        <w:rPr/>
        <w:t> </w:t>
      </w:r>
    </w:p>
    <w:tbl>
      <w:tblPr>
        <w:tblW w:w="8125" w:type="dxa"/>
        <w:jc w:val="left"/>
        <w:tblInd w:w="0" w:type="dxa"/>
        <w:tblLayout w:type="fixed"/>
        <w:tblCellMar>
          <w:top w:w="28" w:type="dxa"/>
          <w:left w:w="28" w:type="dxa"/>
          <w:bottom w:w="28" w:type="dxa"/>
          <w:right w:w="28" w:type="dxa"/>
        </w:tblCellMar>
      </w:tblPr>
      <w:tblGrid>
        <w:gridCol w:w="2101"/>
        <w:gridCol w:w="146"/>
        <w:gridCol w:w="421"/>
        <w:gridCol w:w="146"/>
        <w:gridCol w:w="53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Position</w:t>
            </w:r>
          </w:p>
        </w:tc>
      </w:tr>
      <w:tr>
        <w:trPr/>
        <w:tc>
          <w:tcPr>
            <w:tcW w:w="21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Omid Farokhzad, M.D.</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531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Chief Executive Officer and Chair of the Board of Directors</w:t>
            </w:r>
          </w:p>
        </w:tc>
      </w:tr>
      <w:tr>
        <w:trPr/>
        <w:tc>
          <w:tcPr>
            <w:tcW w:w="21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David Horn</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531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Chief Financial Officer, President and Treasurer</w:t>
            </w:r>
          </w:p>
        </w:tc>
      </w:tr>
      <w:tr>
        <w:trPr/>
        <w:tc>
          <w:tcPr>
            <w:tcW w:w="21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Elona Kogan</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531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Chief Legal Officer</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For the biography of Omid Farokhzad, M.D., please see “Board of Directors and Corporate Governance.”</w:t>
      </w:r>
    </w:p>
    <w:p>
      <w:pPr>
        <w:pStyle w:val="TextBody"/>
        <w:bidi w:val="0"/>
        <w:spacing w:before="240" w:after="283"/>
        <w:jc w:val="left"/>
        <w:rPr>
          <w:rFonts w:ascii="Times New Roman" w:hAnsi="Times New Roman"/>
          <w:sz w:val="20"/>
        </w:rPr>
      </w:pPr>
      <w:r>
        <w:rPr>
          <w:rFonts w:ascii="Arial" w:hAnsi="Arial"/>
          <w:b/>
          <w:i/>
          <w:color w:val="000000"/>
          <w:sz w:val="20"/>
        </w:rPr>
        <w:t xml:space="preserve">David Horn </w:t>
      </w:r>
      <w:r>
        <w:rPr>
          <w:rFonts w:ascii="Arial" w:hAnsi="Arial"/>
          <w:color w:val="000000"/>
          <w:sz w:val="20"/>
        </w:rPr>
        <w:t>has served as our Chief Financial Officer and Treasurer since May 2020 and became President in November 2023. Prior to joining us, Mr. Horn was with Morgan Stanley, 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pStyle w:val="TextBody"/>
        <w:bidi w:val="0"/>
        <w:spacing w:before="240" w:after="283"/>
        <w:jc w:val="left"/>
        <w:rPr>
          <w:rFonts w:ascii="Times New Roman" w:hAnsi="Times New Roman"/>
          <w:sz w:val="20"/>
        </w:rPr>
      </w:pPr>
      <w:r>
        <w:rPr>
          <w:rFonts w:ascii="Arial" w:hAnsi="Arial"/>
          <w:b/>
          <w:i/>
          <w:color w:val="000000"/>
          <w:sz w:val="20"/>
        </w:rPr>
        <w:t xml:space="preserve">Elona Kogan </w:t>
      </w:r>
      <w:r>
        <w:rPr>
          <w:rFonts w:ascii="Arial" w:hAnsi="Arial"/>
          <w:color w:val="000000"/>
          <w:sz w:val="20"/>
        </w:rPr>
        <w:t>has served as our General Counsel and Corporate Secretary since November 2020 and became Chief Legal Officer in November 2023. Prior to joining us, Ms. Kogan served as General Counsel and Corporate 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 graduate of the SCALE program at Southwestern University School of Law. Ms. Kogan graduated cum laude from Columbia University, Barnard College, with a B.A. in Economics.</w:t>
      </w:r>
    </w:p>
    <w:p>
      <w:pPr>
        <w:pStyle w:val="TextBody"/>
        <w:bidi w:val="0"/>
        <w:spacing w:before="240" w:after="283"/>
        <w:jc w:val="center"/>
        <w:rPr>
          <w:rFonts w:ascii="Arial" w:hAnsi="Arial"/>
          <w:b/>
          <w:color w:val="000000"/>
          <w:sz w:val="20"/>
        </w:rPr>
      </w:pPr>
      <w:bookmarkStart w:id="30" w:name="executive_compensation"/>
      <w:bookmarkEnd w:id="30"/>
      <w:r>
        <w:rPr>
          <w:rFonts w:ascii="Arial" w:hAnsi="Arial"/>
          <w:b/>
          <w:color w:val="000000"/>
          <w:sz w:val="20"/>
        </w:rPr>
        <w:t>EXECUTIVE COMPENSATION</w:t>
      </w:r>
    </w:p>
    <w:p>
      <w:pPr>
        <w:pStyle w:val="TextBody"/>
        <w:bidi w:val="0"/>
        <w:spacing w:before="240" w:after="283"/>
        <w:jc w:val="left"/>
        <w:rPr>
          <w:rFonts w:ascii="Arial" w:hAnsi="Arial"/>
          <w:b/>
          <w:color w:val="000000"/>
          <w:sz w:val="20"/>
        </w:rPr>
      </w:pPr>
      <w:bookmarkStart w:id="31" w:name="summary_compensation_table"/>
      <w:bookmarkEnd w:id="31"/>
      <w:r>
        <w:rPr>
          <w:rFonts w:ascii="Arial" w:hAnsi="Arial"/>
          <w:b/>
          <w:color w:val="000000"/>
          <w:sz w:val="20"/>
        </w:rPr>
        <w:t>Summary Compensation Table</w:t>
      </w:r>
    </w:p>
    <w:p>
      <w:pPr>
        <w:pStyle w:val="TextBody"/>
        <w:bidi w:val="0"/>
        <w:spacing w:before="240" w:after="283"/>
        <w:jc w:val="left"/>
        <w:rPr>
          <w:rFonts w:ascii="Times New Roman" w:hAnsi="Times New Roman"/>
          <w:sz w:val="20"/>
        </w:rPr>
      </w:pPr>
      <w:r>
        <w:rPr>
          <w:rFonts w:ascii="Arial" w:hAnsi="Arial"/>
          <w:color w:val="000000"/>
          <w:sz w:val="20"/>
        </w:rPr>
        <w:t>The following table provides information regarding the compensation of our named executive officers during the years ended December 31, 2023 and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3"/>
        <w:gridCol w:w="146"/>
        <w:gridCol w:w="146"/>
        <w:gridCol w:w="466"/>
        <w:gridCol w:w="146"/>
        <w:gridCol w:w="146"/>
        <w:gridCol w:w="146"/>
        <w:gridCol w:w="691"/>
        <w:gridCol w:w="146"/>
        <w:gridCol w:w="146"/>
        <w:gridCol w:w="153"/>
        <w:gridCol w:w="866"/>
        <w:gridCol w:w="146"/>
        <w:gridCol w:w="146"/>
        <w:gridCol w:w="154"/>
        <w:gridCol w:w="874"/>
        <w:gridCol w:w="146"/>
        <w:gridCol w:w="146"/>
        <w:gridCol w:w="222"/>
        <w:gridCol w:w="1058"/>
        <w:gridCol w:w="146"/>
        <w:gridCol w:w="146"/>
        <w:gridCol w:w="198"/>
        <w:gridCol w:w="943"/>
        <w:gridCol w:w="146"/>
        <w:gridCol w:w="146"/>
        <w:gridCol w:w="146"/>
        <w:gridCol w:w="826"/>
        <w:gridCol w:w="195"/>
      </w:tblGrid>
      <w:tr>
        <w:trPr/>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Stock Awards ($)</w:t>
            </w:r>
            <w:r>
              <w:rPr>
                <w:rFonts w:ascii="Arial" w:hAnsi="Arial"/>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Option Awards ($)</w:t>
            </w:r>
            <w:r>
              <w:rPr>
                <w:rFonts w:ascii="Arial" w:hAnsi="Arial"/>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Non-Equity Incentive Plan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All Other Compensation ($)</w:t>
            </w:r>
            <w:r>
              <w:rPr>
                <w:rFonts w:ascii="Arial" w:hAnsi="Arial"/>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3" w:type="dxa"/>
            <w:tcBorders/>
            <w:shd w:fill="CFF0FC" w:val="cle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Omid Farokhzad, M.D. </w:t>
              <w:br/>
            </w:r>
            <w:r>
              <w:rPr>
                <w:rFonts w:ascii="Arial" w:hAnsi="Arial"/>
                <w:i/>
                <w:color w:val="000000"/>
                <w:sz w:val="16"/>
              </w:rPr>
              <w:t>Chief Executive Officer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596,459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1,845,180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2,170,350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423,653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161,689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5,197,331</w:t>
            </w:r>
          </w:p>
        </w:tc>
        <w:tc>
          <w:tcPr>
            <w:tcW w:w="195" w:type="dxa"/>
            <w:tcBorders/>
            <w:shd w:fill="CFF0FC" w:val="clear"/>
            <w:vAlign w:val="center"/>
          </w:tcPr>
          <w:p>
            <w:pPr>
              <w:pStyle w:val="TableContents"/>
              <w:bidi w:val="0"/>
              <w:spacing w:before="0" w:after="283"/>
              <w:jc w:val="left"/>
              <w:rPr/>
            </w:pPr>
            <w:r>
              <w:rPr/>
              <w:t> </w:t>
            </w:r>
          </w:p>
        </w:tc>
      </w:tr>
      <w:tr>
        <w:trPr/>
        <w:tc>
          <w:tcPr>
            <w:tcW w:w="122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568,375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2,574,550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2,932,749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464,703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195,715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6,736,092</w:t>
            </w:r>
          </w:p>
        </w:tc>
        <w:tc>
          <w:tcPr>
            <w:tcW w:w="195" w:type="dxa"/>
            <w:tcBorders/>
            <w:shd w:fill="CFF0FC" w:val="clear"/>
            <w:vAlign w:val="center"/>
          </w:tcPr>
          <w:p>
            <w:pPr>
              <w:pStyle w:val="TableContents"/>
              <w:bidi w:val="0"/>
              <w:spacing w:before="0" w:after="283"/>
              <w:jc w:val="left"/>
              <w:rPr/>
            </w:pPr>
            <w:r>
              <w:rPr/>
              <w:t> </w:t>
            </w:r>
          </w:p>
        </w:tc>
      </w:tr>
      <w:tr>
        <w:trPr/>
        <w:tc>
          <w:tcPr>
            <w:tcW w:w="1223" w:type="dxa"/>
            <w:tcBorders/>
            <w:shd w:fill="FFFFFF" w:val="cle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David Horn </w:t>
              <w:br/>
            </w:r>
            <w:r>
              <w:rPr>
                <w:rFonts w:ascii="Arial" w:hAnsi="Arial"/>
                <w:i/>
                <w:color w:val="000000"/>
                <w:sz w:val="16"/>
              </w:rPr>
              <w:t>Chief Financial Officer and President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461,250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321,300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467,460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197,886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1,450,396</w:t>
            </w:r>
          </w:p>
        </w:tc>
        <w:tc>
          <w:tcPr>
            <w:tcW w:w="195" w:type="dxa"/>
            <w:tcBorders/>
            <w:shd w:fill="FFFFFF" w:val="clear"/>
            <w:vAlign w:val="center"/>
          </w:tcPr>
          <w:p>
            <w:pPr>
              <w:pStyle w:val="TableContents"/>
              <w:bidi w:val="0"/>
              <w:spacing w:before="0" w:after="283"/>
              <w:jc w:val="left"/>
              <w:rPr/>
            </w:pPr>
            <w:r>
              <w:rPr/>
              <w:t> </w:t>
            </w:r>
          </w:p>
        </w:tc>
      </w:tr>
      <w:tr>
        <w:trPr/>
        <w:tc>
          <w:tcPr>
            <w:tcW w:w="12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427,166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1,029,820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1,302,050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163,715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2,925,251</w:t>
            </w:r>
          </w:p>
        </w:tc>
        <w:tc>
          <w:tcPr>
            <w:tcW w:w="195" w:type="dxa"/>
            <w:tcBorders/>
            <w:shd w:fill="FFFFFF" w:val="clear"/>
            <w:vAlign w:val="center"/>
          </w:tcPr>
          <w:p>
            <w:pPr>
              <w:pStyle w:val="TableContents"/>
              <w:bidi w:val="0"/>
              <w:spacing w:before="0" w:after="283"/>
              <w:jc w:val="left"/>
              <w:rPr/>
            </w:pPr>
            <w:r>
              <w:rPr/>
              <w:t> </w:t>
            </w:r>
          </w:p>
        </w:tc>
      </w:tr>
      <w:tr>
        <w:trPr/>
        <w:tc>
          <w:tcPr>
            <w:tcW w:w="1223" w:type="dxa"/>
            <w:tcBorders/>
            <w:shd w:fill="CFF0FC" w:val="cle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Elona Kogan </w:t>
              <w:br/>
            </w:r>
            <w:r>
              <w:rPr>
                <w:rFonts w:ascii="Arial" w:hAnsi="Arial"/>
                <w:i/>
                <w:color w:val="000000"/>
                <w:sz w:val="16"/>
              </w:rPr>
              <w:t>Chief Legal Officer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416,487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321,300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467,460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156,870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1,364,617</w:t>
            </w:r>
          </w:p>
        </w:tc>
        <w:tc>
          <w:tcPr>
            <w:tcW w:w="195" w:type="dxa"/>
            <w:tcBorders/>
            <w:shd w:fill="CFF0FC" w:val="clear"/>
            <w:vAlign w:val="center"/>
          </w:tcPr>
          <w:p>
            <w:pPr>
              <w:pStyle w:val="TableContents"/>
              <w:bidi w:val="0"/>
              <w:spacing w:before="0" w:after="283"/>
              <w:jc w:val="left"/>
              <w:rPr/>
            </w:pPr>
            <w:r>
              <w:rPr/>
              <w:t> </w:t>
            </w:r>
          </w:p>
        </w:tc>
      </w:tr>
      <w:tr>
        <w:trPr/>
        <w:tc>
          <w:tcPr>
            <w:tcW w:w="122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394,584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1,029,820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1,302,050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151,335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2,880,289</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 xml:space="preserve">The amount in this column represents the aggregate grant-date fair value of the award as computed as of the grant date of each restricted stock unit award and option awarded in fiscal 2023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4, 2024.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rFonts w:ascii="Arial" w:hAnsi="Arial"/>
          <w:color w:val="000000"/>
          <w:sz w:val="18"/>
        </w:rPr>
      </w:pPr>
      <w:r>
        <w:rPr>
          <w:rFonts w:ascii="Arial" w:hAnsi="Arial"/>
          <w:color w:val="000000"/>
          <w:sz w:val="18"/>
        </w:rPr>
        <w:t xml:space="preserve">For 2023, “all other compensation” includes the following: (i) reimbursement of commuting costs of $88,532 and gross up allowance for Dr. Farokhzad of $70,657 and (ii) 401(k) plan matching contributions in the amount of $2,500 for each named executive officer. For 2022, “all other compensation” includes the following: (i) reimbursement of commuting costs of $88,801 and gross up allowance for Dr. Farokhzad of $104,414 and (ii) 401(k) plan matching contributions in the amount of $2,500 for each named executive officer. </w:t>
      </w:r>
    </w:p>
    <w:p>
      <w:pPr>
        <w:pStyle w:val="TextBody"/>
        <w:bidi w:val="0"/>
        <w:spacing w:before="240" w:after="283"/>
        <w:jc w:val="left"/>
        <w:rPr>
          <w:rFonts w:ascii="Times New Roman" w:hAnsi="Times New Roman"/>
          <w:sz w:val="20"/>
        </w:rPr>
      </w:pPr>
      <w:bookmarkStart w:id="32" w:name="outstanding_equity_awards_2023_ye"/>
      <w:bookmarkEnd w:id="32"/>
      <w:r>
        <w:rPr>
          <w:rFonts w:ascii="Arial" w:hAnsi="Arial"/>
          <w:b/>
          <w:color w:val="000000"/>
          <w:sz w:val="20"/>
        </w:rPr>
        <w:t>Outstanding Equity Awards</w:t>
      </w:r>
      <w:r>
        <w:rPr>
          <w:rFonts w:ascii="Times New Roman" w:hAnsi="Times New Roman"/>
          <w:color w:val="000000"/>
          <w:sz w:val="20"/>
        </w:rPr>
        <w:t xml:space="preserve"> </w:t>
      </w:r>
      <w:r>
        <w:rPr>
          <w:rFonts w:ascii="Arial" w:hAnsi="Arial"/>
          <w:b/>
          <w:color w:val="000000"/>
          <w:sz w:val="20"/>
        </w:rPr>
        <w:t>at 2023 Year-End</w:t>
      </w:r>
    </w:p>
    <w:p>
      <w:pPr>
        <w:pStyle w:val="TextBody"/>
        <w:bidi w:val="0"/>
        <w:spacing w:before="240" w:after="283"/>
        <w:jc w:val="left"/>
        <w:rPr>
          <w:rFonts w:ascii="Arial" w:hAnsi="Arial"/>
          <w:color w:val="000000"/>
          <w:sz w:val="20"/>
        </w:rPr>
      </w:pPr>
      <w:r>
        <w:rPr>
          <w:rFonts w:ascii="Arial" w:hAnsi="Arial"/>
          <w:color w:val="000000"/>
          <w:sz w:val="20"/>
        </w:rPr>
        <w:t>The following table provides information regarding outstanding equity awards held by our named executive officers as of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7"/>
        <w:gridCol w:w="146"/>
        <w:gridCol w:w="501"/>
        <w:gridCol w:w="146"/>
        <w:gridCol w:w="181"/>
        <w:gridCol w:w="748"/>
        <w:gridCol w:w="181"/>
        <w:gridCol w:w="291"/>
        <w:gridCol w:w="146"/>
        <w:gridCol w:w="296"/>
        <w:gridCol w:w="1223"/>
        <w:gridCol w:w="146"/>
        <w:gridCol w:w="228"/>
        <w:gridCol w:w="146"/>
        <w:gridCol w:w="186"/>
        <w:gridCol w:w="576"/>
        <w:gridCol w:w="146"/>
        <w:gridCol w:w="146"/>
        <w:gridCol w:w="246"/>
        <w:gridCol w:w="584"/>
        <w:gridCol w:w="146"/>
        <w:gridCol w:w="146"/>
        <w:gridCol w:w="198"/>
        <w:gridCol w:w="815"/>
        <w:gridCol w:w="146"/>
        <w:gridCol w:w="228"/>
        <w:gridCol w:w="146"/>
        <w:gridCol w:w="205"/>
        <w:gridCol w:w="845"/>
        <w:gridCol w:w="200"/>
      </w:tblGrid>
      <w:tr>
        <w:trPr/>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7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 Awards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Grant Date</w:t>
            </w:r>
            <w:r>
              <w:rPr>
                <w:rFonts w:ascii="Arial" w:hAnsi="Arial"/>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Market Value of Shares or Units of Stock That Have Not Vested ($)</w:t>
            </w:r>
            <w:r>
              <w:rPr>
                <w:rFonts w:ascii="Arial" w:hAnsi="Arial"/>
                <w:b/>
                <w:color w:val="000000"/>
                <w:sz w:val="9"/>
              </w:rPr>
              <w:t>(2)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67"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Omid Farokhzad, M.D.</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1/28/2020</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915,524</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1/27/2030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7/28/2020</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532,718</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(4)</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3.47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7/27/2030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12/3/2020</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438,198</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146,067</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(5)</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12/2/2030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2/1/2021</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61,625</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25,375</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(6)</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1/31/2031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2/1/2021</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43,500</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(7)</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84,390</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33,654</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39,771</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33,654</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39,771</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33,654</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39,771</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33,654</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(12)</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39,771</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20.76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116,250</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225,525</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2/15/2023</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650,000</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(13)</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2/15/2023</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402,000</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779,880</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David Horn</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4/1/2020</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566,547</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(8)</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3/31/2030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7/28/2020</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140,682</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(4)</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7/27/2030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12/3/2020</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101,325</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33,775</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(5)</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12/2/2030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2/1/2021</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24,171</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9,954</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(6)</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1/31/2031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2/1/2021</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17,063</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(7)</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33,102</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56,833</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67,167</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46,500</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(11)</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90,210</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2/15/2023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140,000</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(13)</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gridSpan w:val="2"/>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2/15/2023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8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70,000</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9"/>
              </w:rPr>
            </w:pPr>
            <w:r>
              <w:rPr>
                <w:rFonts w:ascii="Arial" w:hAnsi="Arial"/>
                <w:color w:val="000000"/>
                <w:sz w:val="9"/>
              </w:rPr>
              <w:t>(14)</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135,800</w:t>
            </w:r>
          </w:p>
        </w:tc>
        <w:tc>
          <w:tcPr>
            <w:tcW w:w="200" w:type="dxa"/>
            <w:tcBorders/>
            <w:shd w:fill="FFFFFF"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Elona Kogan</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11/7/2020</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373,831</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(9)</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11/7/2030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56,833</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67,167</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(10)</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2/8/2022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46,500</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90,210</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2/15/2023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140,000</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(13)</w:t>
            </w:r>
          </w:p>
        </w:tc>
        <w:tc>
          <w:tcPr>
            <w:tcW w:w="146" w:type="dxa"/>
            <w:tcBorders/>
            <w:shd w:fill="CFF0FC" w:val="clear"/>
            <w:vAlign w:val="center"/>
          </w:tcPr>
          <w:p>
            <w:pPr>
              <w:pStyle w:val="TableContents"/>
              <w:bidi w:val="0"/>
              <w:spacing w:before="0" w:after="283"/>
              <w:jc w:val="right"/>
              <w:rPr/>
            </w:pPr>
            <w:r>
              <w:rPr/>
              <w:t> </w:t>
            </w:r>
          </w:p>
        </w:tc>
        <w:tc>
          <w:tcPr>
            <w:tcW w:w="762"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4.59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0" w:type="dxa"/>
            <w:gridSpan w:val="2"/>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8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2/15/2023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8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70,000</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9"/>
              </w:rPr>
            </w:pPr>
            <w:r>
              <w:rPr>
                <w:rFonts w:ascii="Arial" w:hAnsi="Arial"/>
                <w:color w:val="000000"/>
                <w:sz w:val="9"/>
              </w:rPr>
              <w:t>(14)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135,800</w:t>
            </w:r>
          </w:p>
        </w:tc>
        <w:tc>
          <w:tcPr>
            <w:tcW w:w="200"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 xml:space="preserve">Each of the outstanding equity awards was granted pursuant to our 2017 Stock Incentive Plan, as amended and restated, 2020 Plan or 2020 RSU Equity Incentive Plan.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The amounts in this column are based upon the last reported price of our Class A common stock on the Nasdaq Global Select Market on December 29, 2023, which was $1.94.</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spacing w:before="0" w:after="0"/>
        <w:jc w:val="left"/>
        <w:rPr>
          <w:rFonts w:ascii="Arial" w:hAnsi="Arial"/>
          <w:color w:val="000000"/>
          <w:sz w:val="18"/>
        </w:rPr>
      </w:pPr>
      <w:r>
        <w:rPr>
          <w:rFonts w:ascii="Arial" w:hAnsi="Arial"/>
          <w:color w:val="000000"/>
          <w:sz w:val="18"/>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spacing w:before="0" w:after="0"/>
        <w:jc w:val="left"/>
        <w:rPr>
          <w:rFonts w:ascii="Arial" w:hAnsi="Arial"/>
          <w:color w:val="000000"/>
          <w:sz w:val="18"/>
        </w:rPr>
      </w:pPr>
      <w:r>
        <w:rPr>
          <w:rFonts w:ascii="Arial" w:hAnsi="Arial"/>
          <w:color w:val="000000"/>
          <w:sz w:val="18"/>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jc w:val="left"/>
        <w:rPr>
          <w:rFonts w:ascii="Arial" w:hAnsi="Arial"/>
          <w:color w:val="000000"/>
          <w:sz w:val="18"/>
        </w:rPr>
      </w:pPr>
      <w:r>
        <w:rPr>
          <w:rFonts w:ascii="Arial" w:hAnsi="Arial"/>
          <w:color w:val="000000"/>
          <w:sz w:val="18"/>
        </w:rPr>
        <w:t>One-fourth of the shares underlying the option vest on December 3, 2021, and the remaining shares vest in 36 equal monthly installments thereafter, subject to continued service to the Company.</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(6)</w:t>
      </w:r>
    </w:p>
    <w:p>
      <w:pPr>
        <w:pStyle w:val="TextBody"/>
        <w:bidi w:val="0"/>
        <w:spacing w:before="0" w:after="0"/>
        <w:jc w:val="left"/>
        <w:rPr>
          <w:rFonts w:ascii="Arial" w:hAnsi="Arial"/>
          <w:color w:val="000000"/>
          <w:sz w:val="18"/>
        </w:rPr>
      </w:pPr>
      <w:r>
        <w:rPr>
          <w:rFonts w:ascii="Arial" w:hAnsi="Arial"/>
          <w:color w:val="000000"/>
          <w:sz w:val="18"/>
        </w:rPr>
        <w:t>One-fourth of the shares underlying the option vest on February 1, 2022, and the remaining shares vest in 36 equal monthly installments thereafter,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(7)</w:t>
      </w:r>
    </w:p>
    <w:p>
      <w:pPr>
        <w:pStyle w:val="TextBody"/>
        <w:bidi w:val="0"/>
        <w:spacing w:before="0" w:after="0"/>
        <w:jc w:val="left"/>
        <w:rPr>
          <w:rFonts w:ascii="Arial" w:hAnsi="Arial"/>
          <w:color w:val="000000"/>
          <w:sz w:val="18"/>
        </w:rPr>
      </w:pPr>
      <w:r>
        <w:rPr>
          <w:rFonts w:ascii="Arial" w:hAnsi="Arial"/>
          <w:color w:val="000000"/>
          <w:sz w:val="18"/>
        </w:rPr>
        <w:t xml:space="preserve">Shares underlying the RSU award vest in four equal annual installments beginning on February 1, 2022, subject to continued service to the Company. </w:t>
      </w:r>
    </w:p>
    <w:p>
      <w:pPr>
        <w:pStyle w:val="TextBody"/>
        <w:bidi w:val="0"/>
        <w:spacing w:before="0" w:after="0"/>
        <w:jc w:val="left"/>
        <w:rPr>
          <w:rFonts w:ascii="Arial" w:hAnsi="Arial"/>
          <w:color w:val="000000"/>
          <w:sz w:val="18"/>
        </w:rPr>
      </w:pPr>
      <w:r>
        <w:rPr>
          <w:rFonts w:ascii="Arial" w:hAnsi="Arial"/>
          <w:color w:val="000000"/>
          <w:sz w:val="18"/>
        </w:rPr>
        <w:t>(8)</w:t>
      </w:r>
    </w:p>
    <w:p>
      <w:pPr>
        <w:pStyle w:val="TextBody"/>
        <w:bidi w:val="0"/>
        <w:spacing w:before="0" w:after="0"/>
        <w:jc w:val="left"/>
        <w:rPr>
          <w:rFonts w:ascii="Arial" w:hAnsi="Arial"/>
          <w:color w:val="000000"/>
          <w:sz w:val="18"/>
        </w:rPr>
      </w:pPr>
      <w:r>
        <w:rPr>
          <w:rFonts w:ascii="Arial" w:hAnsi="Arial"/>
          <w:color w:val="000000"/>
          <w:sz w:val="18"/>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(9)</w:t>
      </w:r>
    </w:p>
    <w:p>
      <w:pPr>
        <w:pStyle w:val="TextBody"/>
        <w:bidi w:val="0"/>
        <w:spacing w:before="0" w:after="0"/>
        <w:jc w:val="left"/>
        <w:rPr>
          <w:rFonts w:ascii="Arial" w:hAnsi="Arial"/>
          <w:color w:val="000000"/>
          <w:sz w:val="18"/>
        </w:rPr>
      </w:pPr>
      <w:r>
        <w:rPr>
          <w:rFonts w:ascii="Arial" w:hAnsi="Arial"/>
          <w:color w:val="000000"/>
          <w:sz w:val="18"/>
        </w:rPr>
        <w:t>The shares underlying the option are subject to an early exercise provision and are immediately exercisable. One-fourth of the shares underlying the option vest on January 1, 2022, and the remaining shares vest in 36 equal monthly installments thereafter,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(10)</w:t>
      </w:r>
    </w:p>
    <w:p>
      <w:pPr>
        <w:pStyle w:val="TextBody"/>
        <w:bidi w:val="0"/>
        <w:spacing w:before="0" w:after="0"/>
        <w:jc w:val="left"/>
        <w:rPr>
          <w:rFonts w:ascii="Arial" w:hAnsi="Arial"/>
          <w:color w:val="000000"/>
          <w:sz w:val="18"/>
        </w:rPr>
      </w:pPr>
      <w:r>
        <w:rPr>
          <w:rFonts w:ascii="Arial" w:hAnsi="Arial"/>
          <w:color w:val="000000"/>
          <w:sz w:val="18"/>
        </w:rPr>
        <w:t>One-fourth of the shares underlying the option vest on February 8, 2023, and the remaining shares vest in 36 equal monthly installments thereafter,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(11)</w:t>
      </w:r>
    </w:p>
    <w:p>
      <w:pPr>
        <w:pStyle w:val="TextBody"/>
        <w:bidi w:val="0"/>
        <w:spacing w:before="0" w:after="0"/>
        <w:jc w:val="left"/>
        <w:rPr>
          <w:rFonts w:ascii="Arial" w:hAnsi="Arial"/>
          <w:color w:val="000000"/>
          <w:sz w:val="18"/>
        </w:rPr>
      </w:pPr>
      <w:r>
        <w:rPr>
          <w:rFonts w:ascii="Arial" w:hAnsi="Arial"/>
          <w:color w:val="000000"/>
          <w:sz w:val="18"/>
        </w:rPr>
        <w:t xml:space="preserve">Shares underlying the RSU award vest in four equal annual installments beginning on February 15, 2023, subject to continued service to the Company. </w:t>
      </w:r>
    </w:p>
    <w:p>
      <w:pPr>
        <w:pStyle w:val="TextBody"/>
        <w:bidi w:val="0"/>
        <w:spacing w:before="0" w:after="0"/>
        <w:jc w:val="left"/>
        <w:rPr>
          <w:rFonts w:ascii="Arial" w:hAnsi="Arial"/>
          <w:color w:val="000000"/>
          <w:sz w:val="18"/>
        </w:rPr>
      </w:pPr>
      <w:r>
        <w:rPr>
          <w:rFonts w:ascii="Arial" w:hAnsi="Arial"/>
          <w:color w:val="000000"/>
          <w:sz w:val="18"/>
        </w:rPr>
        <w:t>(12)</w:t>
      </w:r>
    </w:p>
    <w:p>
      <w:pPr>
        <w:pStyle w:val="TextBody"/>
        <w:bidi w:val="0"/>
        <w:spacing w:before="0" w:after="0"/>
        <w:jc w:val="left"/>
        <w:rPr>
          <w:rFonts w:ascii="Arial" w:hAnsi="Arial"/>
          <w:color w:val="000000"/>
          <w:sz w:val="18"/>
        </w:rPr>
      </w:pPr>
      <w:r>
        <w:rPr>
          <w:rFonts w:ascii="Arial" w:hAnsi="Arial"/>
          <w:color w:val="000000"/>
          <w:sz w:val="18"/>
        </w:rPr>
        <w:t xml:space="preserve">The premium-priced performance options were granted to our CEO in four equal tranches with strike prices equal to amounts that equated to 10%, 15%, 20% and 25% premiums on our stock price on the date of grant. </w:t>
      </w:r>
    </w:p>
    <w:p>
      <w:pPr>
        <w:pStyle w:val="TextBody"/>
        <w:bidi w:val="0"/>
        <w:spacing w:before="0" w:after="0"/>
        <w:jc w:val="left"/>
        <w:rPr>
          <w:rFonts w:ascii="Arial" w:hAnsi="Arial"/>
          <w:color w:val="000000"/>
          <w:sz w:val="18"/>
        </w:rPr>
      </w:pPr>
      <w:r>
        <w:rPr>
          <w:rFonts w:ascii="Arial" w:hAnsi="Arial"/>
          <w:color w:val="000000"/>
          <w:sz w:val="18"/>
        </w:rPr>
        <w:t>(13)</w:t>
      </w:r>
    </w:p>
    <w:p>
      <w:pPr>
        <w:pStyle w:val="TextBody"/>
        <w:bidi w:val="0"/>
        <w:spacing w:before="0" w:after="0"/>
        <w:jc w:val="left"/>
        <w:rPr>
          <w:rFonts w:ascii="Arial" w:hAnsi="Arial"/>
          <w:color w:val="000000"/>
          <w:sz w:val="18"/>
        </w:rPr>
      </w:pPr>
      <w:r>
        <w:rPr>
          <w:rFonts w:ascii="Arial" w:hAnsi="Arial"/>
          <w:color w:val="000000"/>
          <w:sz w:val="18"/>
        </w:rPr>
        <w:t>25% vests on market condition achievement date and then 25% annually over the next 3 years, subject to continued service to the Company.</w:t>
      </w:r>
    </w:p>
    <w:p>
      <w:pPr>
        <w:pStyle w:val="TextBody"/>
        <w:bidi w:val="0"/>
        <w:spacing w:before="0" w:after="0"/>
        <w:jc w:val="left"/>
        <w:rPr>
          <w:rFonts w:ascii="Arial" w:hAnsi="Arial"/>
          <w:color w:val="000000"/>
          <w:sz w:val="18"/>
        </w:rPr>
      </w:pPr>
      <w:r>
        <w:rPr>
          <w:rFonts w:ascii="Arial" w:hAnsi="Arial"/>
          <w:color w:val="000000"/>
          <w:sz w:val="18"/>
        </w:rPr>
        <w:t>(14)</w:t>
      </w:r>
    </w:p>
    <w:p>
      <w:pPr>
        <w:pStyle w:val="TextBody"/>
        <w:bidi w:val="0"/>
        <w:jc w:val="left"/>
        <w:rPr>
          <w:rFonts w:ascii="Arial" w:hAnsi="Arial"/>
          <w:color w:val="000000"/>
          <w:sz w:val="18"/>
        </w:rPr>
      </w:pPr>
      <w:r>
        <w:rPr>
          <w:rFonts w:ascii="Arial" w:hAnsi="Arial"/>
          <w:color w:val="000000"/>
          <w:sz w:val="18"/>
        </w:rPr>
        <w:t xml:space="preserve">Shares underlying the RSU award vest in four equal annual installments beginning on February 15, 2024, subject to continued service to the Company. </w:t>
      </w:r>
    </w:p>
    <w:p>
      <w:pPr>
        <w:pStyle w:val="TextBody"/>
        <w:bidi w:val="0"/>
        <w:spacing w:before="240" w:after="283"/>
        <w:jc w:val="left"/>
        <w:rPr>
          <w:rFonts w:ascii="Arial" w:hAnsi="Arial"/>
          <w:b/>
          <w:color w:val="000000"/>
          <w:sz w:val="20"/>
        </w:rPr>
      </w:pPr>
      <w:bookmarkStart w:id="33" w:name="potential_payments_upon_termination_or_c"/>
      <w:bookmarkEnd w:id="33"/>
      <w:r>
        <w:rPr>
          <w:rFonts w:ascii="Arial" w:hAnsi="Arial"/>
          <w:b/>
          <w:color w:val="000000"/>
          <w:sz w:val="20"/>
        </w:rPr>
        <w:t>Potential Payments Upon Termination or Change in Control</w:t>
      </w:r>
    </w:p>
    <w:p>
      <w:pPr>
        <w:pStyle w:val="TextBody"/>
        <w:bidi w:val="0"/>
        <w:spacing w:before="240" w:after="283"/>
        <w:jc w:val="left"/>
        <w:rPr>
          <w:rFonts w:ascii="Arial" w:hAnsi="Arial"/>
          <w:b/>
          <w:i/>
          <w:color w:val="000000"/>
          <w:sz w:val="20"/>
        </w:rPr>
      </w:pPr>
      <w:r>
        <w:rPr>
          <w:rFonts w:ascii="Arial" w:hAnsi="Arial"/>
          <w:b/>
          <w:i/>
          <w:color w:val="000000"/>
          <w:sz w:val="20"/>
        </w:rPr>
        <w:t>CEO Change in Control and Severance Agreement</w:t>
      </w:r>
    </w:p>
    <w:p>
      <w:pPr>
        <w:pStyle w:val="TextBody"/>
        <w:bidi w:val="0"/>
        <w:spacing w:before="240" w:after="283"/>
        <w:jc w:val="left"/>
        <w:rPr>
          <w:rFonts w:ascii="Arial" w:hAnsi="Arial"/>
          <w:color w:val="000000"/>
          <w:sz w:val="20"/>
        </w:rPr>
      </w:pPr>
      <w:r>
        <w:rPr>
          <w:rFonts w:ascii="Arial" w:hAnsi="Arial"/>
          <w:color w:val="000000"/>
          <w:sz w:val="20"/>
        </w:rPr>
        <w:t>We have entered into a change in control and severance agreement (the Severance Agreement) with Dr. Farokhzad which provides for certain severance and change in control benefits as described below.</w:t>
      </w:r>
    </w:p>
    <w:p>
      <w:pPr>
        <w:pStyle w:val="TextBody"/>
        <w:bidi w:val="0"/>
        <w:spacing w:before="240" w:after="283"/>
        <w:jc w:val="left"/>
        <w:rPr>
          <w:rFonts w:ascii="Arial" w:hAnsi="Arial"/>
          <w:color w:val="000000"/>
          <w:sz w:val="20"/>
        </w:rPr>
      </w:pPr>
      <w:r>
        <w:rPr>
          <w:rFonts w:ascii="Arial" w:hAnsi="Arial"/>
          <w:color w:val="000000"/>
          <w:sz w:val="20"/>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his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vesting acceleration of 50% of the shares subject to Dr. Farokhzad’s outstanding Company equity awards that are scheduled to vest based solely on Dr. Farokhzad’s continued service to the Company or any parent or subsidiary of the Company (time-based equity awards). With respect to this acceleration of vesting provision, the Change in Control Period is extended to end on the two-year anniversary of the change in control.</w:t>
      </w:r>
    </w:p>
    <w:p>
      <w:pPr>
        <w:pStyle w:val="TextBody"/>
        <w:bidi w:val="0"/>
        <w:spacing w:before="240" w:after="283"/>
        <w:jc w:val="left"/>
        <w:rPr>
          <w:rFonts w:ascii="Arial" w:hAnsi="Arial"/>
          <w:color w:val="000000"/>
          <w:sz w:val="20"/>
        </w:rPr>
      </w:pPr>
      <w:r>
        <w:rPr>
          <w:rFonts w:ascii="Arial" w:hAnsi="Arial"/>
          <w:color w:val="000000"/>
          <w:sz w:val="20"/>
        </w:rPr>
        <w:t>If, during the Change in Control Period, Dr. Farokhzad’s employment with the Company is terminated either (1) by the Company without cause and not by reason of his death or disability or (2) by Dr. Farokhzad as a good reason termination, Dr. Farokhzad will receive the following benefits if he timely signs and does not revoke a separation agreement and release of claims in our favor: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 lump sum cash payment equal to 150% of Dr. Farokhzad’s annualized target bonus as in effect for the performance period in which such termination occurs, or, if greater and Dr. Farokhzad’s termination from employment occurs after the change in control, as in effect for the performance period in which the change in control occurs;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vesting acceleration of 100% of the shares subject to Dr. Farokhzad’s outstanding time-based equity awards. With respect to this acceleration of vesting provision, the Change in Control Period is extended to end on the two-year anniversary of the change in control.</w:t>
      </w:r>
    </w:p>
    <w:p>
      <w:pPr>
        <w:pStyle w:val="TextBody"/>
        <w:bidi w:val="0"/>
        <w:spacing w:before="240" w:after="283"/>
        <w:jc w:val="left"/>
        <w:rPr>
          <w:rFonts w:ascii="Arial" w:hAnsi="Arial"/>
          <w:color w:val="000000"/>
          <w:sz w:val="20"/>
        </w:rPr>
      </w:pPr>
      <w:r>
        <w:rPr>
          <w:rFonts w:ascii="Arial" w:hAnsi="Arial"/>
          <w:color w:val="000000"/>
          <w:sz w:val="20"/>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pStyle w:val="TextBody"/>
        <w:bidi w:val="0"/>
        <w:spacing w:before="240" w:after="283"/>
        <w:jc w:val="left"/>
        <w:rPr>
          <w:rFonts w:ascii="Arial" w:hAnsi="Arial"/>
          <w:color w:val="000000"/>
          <w:sz w:val="20"/>
        </w:rPr>
      </w:pPr>
      <w:r>
        <w:rPr>
          <w:rFonts w:ascii="Arial" w:hAnsi="Arial"/>
          <w:color w:val="000000"/>
          <w:sz w:val="20"/>
        </w:rPr>
        <w:t>If Dr. Farokhzad begins employment or enters into a consultant relationship with a new employer during the period he is receiving severance benefits from us under the Severance Agreement, then any cash compensation paid to him by the new employer will reduce, but not below $1,000, our cash severance benefit obligations under the Severance Agreement, and we will have no obligation to provide COBRA benefits for medical, vision and dental coverage if the new employer provides such benefits to Dr. Farokhzad.</w:t>
      </w:r>
    </w:p>
    <w:p>
      <w:pPr>
        <w:pStyle w:val="TextBody"/>
        <w:bidi w:val="0"/>
        <w:spacing w:before="240" w:after="283"/>
        <w:jc w:val="left"/>
        <w:rPr>
          <w:rFonts w:ascii="Arial" w:hAnsi="Arial"/>
          <w:color w:val="000000"/>
          <w:sz w:val="20"/>
        </w:rPr>
      </w:pPr>
      <w:r>
        <w:rPr>
          <w:rFonts w:ascii="Arial" w:hAnsi="Arial"/>
          <w:color w:val="000000"/>
          <w:sz w:val="20"/>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pStyle w:val="TextBody"/>
        <w:bidi w:val="0"/>
        <w:spacing w:before="240" w:after="283"/>
        <w:jc w:val="left"/>
        <w:rPr>
          <w:rFonts w:ascii="Arial" w:hAnsi="Arial"/>
          <w:color w:val="000000"/>
          <w:sz w:val="20"/>
        </w:rPr>
      </w:pPr>
      <w:r>
        <w:rPr>
          <w:rFonts w:ascii="Arial" w:hAnsi="Arial"/>
          <w:color w:val="000000"/>
          <w:sz w:val="20"/>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pStyle w:val="TextBody"/>
        <w:bidi w:val="0"/>
        <w:spacing w:before="240" w:after="283"/>
        <w:jc w:val="left"/>
        <w:rPr>
          <w:rFonts w:ascii="Arial" w:hAnsi="Arial"/>
          <w:color w:val="000000"/>
          <w:sz w:val="20"/>
        </w:rPr>
      </w:pPr>
      <w:r>
        <w:rPr>
          <w:rFonts w:ascii="Arial" w:hAnsi="Arial"/>
          <w:color w:val="000000"/>
          <w:sz w:val="20"/>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when Dr. Farokhzad knows or should have known of the initial existence of the good reason condition, and such event or action must not have been reversed, remedied or cured within 30 days following our receipt of such written notice.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Under the Severance Agreement, “change in control” generally has the same meaning as such term is defined in our 2020 Plan (as discussed further below).</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Under the terms of the Severance Agreement, a transition by Dr. Farokhzad to a role as the Company’s Executive Chair will not be considered a termination without cause or grounds for his resignation for good reason.</w:t>
      </w:r>
    </w:p>
    <w:p>
      <w:pPr>
        <w:pStyle w:val="TextBody"/>
        <w:bidi w:val="0"/>
        <w:spacing w:before="240" w:after="283"/>
        <w:jc w:val="left"/>
        <w:rPr>
          <w:rFonts w:ascii="Times New Roman" w:hAnsi="Times New Roman"/>
          <w:sz w:val="20"/>
        </w:rPr>
      </w:pPr>
      <w:r>
        <w:rPr>
          <w:rFonts w:ascii="Arial" w:hAnsi="Arial"/>
          <w:color w:val="000000"/>
          <w:sz w:val="20"/>
        </w:rPr>
        <w:t>The following table describes the potential payments that would have been provided to Dr. Farokhzad pursuant to the Severance Agreement in the event that he was terminated outside of the Change in Control Period, assuming such termination occurred on December 31, 2023 (except as otherwise noted).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5"/>
        <w:gridCol w:w="146"/>
        <w:gridCol w:w="218"/>
        <w:gridCol w:w="1193"/>
        <w:gridCol w:w="146"/>
        <w:gridCol w:w="146"/>
        <w:gridCol w:w="220"/>
        <w:gridCol w:w="1204"/>
        <w:gridCol w:w="146"/>
        <w:gridCol w:w="146"/>
        <w:gridCol w:w="345"/>
        <w:gridCol w:w="1642"/>
        <w:gridCol w:w="146"/>
        <w:gridCol w:w="146"/>
        <w:gridCol w:w="211"/>
        <w:gridCol w:w="1161"/>
        <w:gridCol w:w="146"/>
        <w:gridCol w:w="146"/>
        <w:gridCol w:w="146"/>
        <w:gridCol w:w="961"/>
        <w:gridCol w:w="195"/>
      </w:tblGrid>
      <w:tr>
        <w:trPr/>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Salary Severance Payments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Bonus Severance Payments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COBRA Premium Reimbursements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Equity Acceleration ($)</w:t>
            </w:r>
            <w:r>
              <w:rPr>
                <w:rFonts w:ascii="Arial" w:hAnsi="Arial"/>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Omid Farokhzad, M.D.</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600,500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510,425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164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544,898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1,696,055</w:t>
            </w:r>
          </w:p>
        </w:tc>
        <w:tc>
          <w:tcPr>
            <w:tcW w:w="195"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applicable 2023 group health plans.</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The values of the accelerated RSUs in this table are calculated by multiplying the number of shares subject to acceleration by the closing price of our common stock on December 29, 2023, which was $1.94 per share. The value of the accelerated stock options is calculated by multiplying (x) the number of shares subject to acceleration for each stock option by (y) the closing price per share minus the applicable exercise price per share.</w:t>
      </w:r>
    </w:p>
    <w:p>
      <w:pPr>
        <w:pStyle w:val="TextBody"/>
        <w:bidi w:val="0"/>
        <w:spacing w:before="240" w:after="283"/>
        <w:jc w:val="left"/>
        <w:rPr>
          <w:rFonts w:ascii="Times New Roman" w:hAnsi="Times New Roman"/>
          <w:sz w:val="20"/>
        </w:rPr>
      </w:pPr>
      <w:r>
        <w:rPr>
          <w:rFonts w:ascii="Arial" w:hAnsi="Arial"/>
          <w:color w:val="000000"/>
          <w:sz w:val="20"/>
        </w:rPr>
        <w:t>The following table describes the potential payments that would have been provided to Dr. Farokhzad pursuant to the Severance Agreement if, during the Change in Control Period, he was terminated either (1) by the Company without cause and not by reason of his death or disability or (2) by Dr. Farokhzad as a good reason termination, assuming such termination occurred on December 31, 2023 (except as otherwise noted).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4"/>
        <w:gridCol w:w="146"/>
        <w:gridCol w:w="218"/>
        <w:gridCol w:w="1191"/>
        <w:gridCol w:w="146"/>
        <w:gridCol w:w="146"/>
        <w:gridCol w:w="220"/>
        <w:gridCol w:w="1203"/>
        <w:gridCol w:w="146"/>
        <w:gridCol w:w="146"/>
        <w:gridCol w:w="344"/>
        <w:gridCol w:w="1640"/>
        <w:gridCol w:w="146"/>
        <w:gridCol w:w="146"/>
        <w:gridCol w:w="181"/>
        <w:gridCol w:w="1197"/>
        <w:gridCol w:w="146"/>
        <w:gridCol w:w="146"/>
        <w:gridCol w:w="146"/>
        <w:gridCol w:w="961"/>
        <w:gridCol w:w="196"/>
      </w:tblGrid>
      <w:tr>
        <w:trPr/>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Salary Severance Payments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Bonus Severance Payments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COBRA Premium Reimbursements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Equity Acceleration ($)</w:t>
            </w:r>
            <w:r>
              <w:rPr>
                <w:rFonts w:ascii="Arial" w:hAnsi="Arial"/>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Omid Farokhzad, M.D.</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900,750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765,638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64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1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1,089,795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2,816,531</w:t>
            </w:r>
          </w:p>
        </w:tc>
        <w:tc>
          <w:tcPr>
            <w:tcW w:w="196"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applicable 2023 group health plans.</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The values of the accelerated RSUs in this table are calculated by multiplying the number of shares subject to acceleration by the closing price of our common stock on December 29, 2023, which was $1.94 per share. The value of the accelerated stock options is calculated by multiplying (x) the number of shares subject to acceleration for each stock option by (y) the closing price per share minus the applicable exercise price per share.</w:t>
      </w:r>
    </w:p>
    <w:p>
      <w:pPr>
        <w:pStyle w:val="TextBody"/>
        <w:bidi w:val="0"/>
        <w:spacing w:before="240" w:after="283"/>
        <w:jc w:val="left"/>
        <w:rPr>
          <w:rFonts w:ascii="Arial" w:hAnsi="Arial"/>
          <w:b/>
          <w:color w:val="000000"/>
          <w:sz w:val="20"/>
        </w:rPr>
      </w:pPr>
      <w:bookmarkStart w:id="34" w:name="key_executive_change_in_control_and_seve"/>
      <w:bookmarkEnd w:id="34"/>
      <w:r>
        <w:rPr>
          <w:rFonts w:ascii="Arial" w:hAnsi="Arial"/>
          <w:b/>
          <w:color w:val="000000"/>
          <w:sz w:val="20"/>
        </w:rPr>
        <w:t>Key Executive Change in Control and Severance Plan</w:t>
      </w:r>
    </w:p>
    <w:p>
      <w:pPr>
        <w:pStyle w:val="TextBody"/>
        <w:bidi w:val="0"/>
        <w:spacing w:before="240" w:after="283"/>
        <w:jc w:val="left"/>
        <w:rPr>
          <w:rFonts w:ascii="Arial" w:hAnsi="Arial"/>
          <w:color w:val="000000"/>
          <w:sz w:val="20"/>
        </w:rPr>
      </w:pPr>
      <w:r>
        <w:rPr>
          <w:rFonts w:ascii="Arial" w:hAnsi="Arial"/>
          <w:color w:val="000000"/>
          <w:sz w:val="20"/>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Horn and Ms. Kogan (each, a Participation Agreement) under our Severance Plan.</w:t>
      </w:r>
    </w:p>
    <w:p>
      <w:pPr>
        <w:pStyle w:val="TextBody"/>
        <w:bidi w:val="0"/>
        <w:spacing w:before="240" w:after="283"/>
        <w:jc w:val="left"/>
        <w:rPr>
          <w:rFonts w:ascii="Arial" w:hAnsi="Arial"/>
          <w:color w:val="000000"/>
          <w:sz w:val="20"/>
        </w:rPr>
      </w:pPr>
      <w:r>
        <w:rPr>
          <w:rFonts w:ascii="Arial" w:hAnsi="Arial"/>
          <w:color w:val="000000"/>
          <w:sz w:val="20"/>
        </w:rPr>
        <w:t>The Severance Plan and related Participation Agreements provide that if Mr. Horn’s or Ms. Kogan’s employment is terminated outside the period beginning on the date of a change in control and ending on the one-year anniversary date of such change in control (the Key Executive Change in Control Period) either (1) by the Company without “cause” and not by reason of his or her death or disability or (2) by the named executive officer as a “good reason termination” (as such terms are defined in his or her Participation Agreement), the named executive officer will receive the following benefits if he or she timely signs and does not revoke a separation agreement and release of claims in our favor:</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if a named executive officer and his or her eligible dependents have qualifying health care at the time of such termination, then either reimbursements for or direct payments of premiums for coverage under COBRA, for the named executive officer and his eligible dependents, if any, for up to nine months.</w:t>
      </w:r>
    </w:p>
    <w:p>
      <w:pPr>
        <w:pStyle w:val="TextBody"/>
        <w:bidi w:val="0"/>
        <w:spacing w:before="240" w:after="283"/>
        <w:jc w:val="left"/>
        <w:rPr>
          <w:rFonts w:ascii="Arial" w:hAnsi="Arial"/>
          <w:color w:val="000000"/>
          <w:sz w:val="20"/>
        </w:rPr>
      </w:pPr>
      <w:r>
        <w:rPr>
          <w:rFonts w:ascii="Arial" w:hAnsi="Arial"/>
          <w:color w:val="000000"/>
          <w:sz w:val="20"/>
        </w:rPr>
        <w:t>If, during the Key Executive Change in Control Period, Mr. Horn or Ms. Kogan’s employment with the Company is terminated either (1) by the Company without cause and not by reason of his or her death or disability or (2) by the named executive officer as a good reason termination, the named executive officer will receive the following benefits if he or she timely signs and does not revoke a separation agreement and release of claims in our favor: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if a named executive officer and his or her eligible dependents have qualifying health care at the time of such termination, then either reimbursements for or direct payments of payment of premiums for coverage under COBRA, for a named executive officer and his or her eligible dependents, if any, for up to twelve months;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vesting acceleration of 100% of the shares subject to a named executive officer’s outstanding time-based equity awards.</w:t>
      </w:r>
    </w:p>
    <w:p>
      <w:pPr>
        <w:pStyle w:val="TextBody"/>
        <w:bidi w:val="0"/>
        <w:spacing w:before="240" w:after="283"/>
        <w:jc w:val="left"/>
        <w:rPr>
          <w:rFonts w:ascii="Arial" w:hAnsi="Arial"/>
          <w:color w:val="000000"/>
          <w:sz w:val="20"/>
        </w:rPr>
      </w:pPr>
      <w:r>
        <w:rPr>
          <w:rFonts w:ascii="Arial" w:hAnsi="Arial"/>
          <w:color w:val="000000"/>
          <w:sz w:val="20"/>
        </w:rPr>
        <w:t>In addition to signing and not revoking a separation agreement and release of claims in our favor, the named executive officer's receipt and retention of any severance benefits under the Participation Agreement is subject to his or her compliance with the terms of any confidentiality, information and inventions agreement or other written agreement with us under which he or she has a material duty or obligation to us. Under the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pStyle w:val="TextBody"/>
        <w:bidi w:val="0"/>
        <w:spacing w:before="240" w:after="283"/>
        <w:jc w:val="left"/>
        <w:rPr>
          <w:rFonts w:ascii="Arial" w:hAnsi="Arial"/>
          <w:color w:val="000000"/>
          <w:sz w:val="20"/>
        </w:rPr>
      </w:pPr>
      <w:r>
        <w:rPr>
          <w:rFonts w:ascii="Arial" w:hAnsi="Arial"/>
          <w:color w:val="000000"/>
          <w:sz w:val="20"/>
        </w:rPr>
        <w:t>If Mr. Horn or Ms. Kogan begins employment or enters into a consultant relationship with a new employer during the period he or she is receiving severance benefits from us under the Severance Plan and a related Participation Agreement, then any cash compensation paid to the named executive officer by the new employer will reduce, but not below $1,000, our cash severance benefit obligations under the Severance Plan, and we will have no obligation to provide for (or provide any payments in lieu of) medical, vision and dental coverage if the new employer provides such benefits to such named executive officer.</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if, (a) during the time period beginning upon the consummation of a change in control and ending on the date immediately prior to the two year anniversary of the change in control (such two-year anniversary, the Retention Date), the employment of Mr. Horn or Ms. Kogan with the Company (or any parent or subsidiary of the Company) is terminated either (1) by the Company without cause and not by reason of his or her death or disability, or (2) by the named executive officer as a good reason termination, or (b) such named executive officer remains employed by the Company (or any parent or subsidiary of the Company) through the Retention Date, and if the named executive officer timely signs and does not revoke a release of claims in our favor, the named executive officer will receive 100% accelerated vesting of all of his or her then-unvested and outstanding Company equity awards that were granted prior to our initial public offering.</w:t>
      </w:r>
    </w:p>
    <w:p>
      <w:pPr>
        <w:pStyle w:val="TextBody"/>
        <w:bidi w:val="0"/>
        <w:spacing w:before="240" w:after="283"/>
        <w:jc w:val="left"/>
        <w:rPr>
          <w:rFonts w:ascii="Arial" w:hAnsi="Arial"/>
          <w:color w:val="000000"/>
          <w:sz w:val="20"/>
        </w:rPr>
      </w:pPr>
      <w:r>
        <w:rPr>
          <w:rFonts w:ascii="Arial" w:hAnsi="Arial"/>
          <w:color w:val="000000"/>
          <w:sz w:val="20"/>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pStyle w:val="TextBody"/>
        <w:bidi w:val="0"/>
        <w:spacing w:before="240" w:after="283"/>
        <w:jc w:val="left"/>
        <w:rPr>
          <w:rFonts w:ascii="Arial" w:hAnsi="Arial"/>
          <w:color w:val="000000"/>
          <w:sz w:val="20"/>
        </w:rPr>
      </w:pPr>
      <w:r>
        <w:rPr>
          <w:rFonts w:ascii="Arial" w:hAnsi="Arial"/>
          <w:color w:val="000000"/>
          <w:sz w:val="20"/>
        </w:rPr>
        <w:t>Under each of Mr. Horn or Ms. Kogan’s Participation Agreements, “cause” generally means the named executive officer’s: failure to significantly perform his or her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pStyle w:val="TextBody"/>
        <w:bidi w:val="0"/>
        <w:spacing w:before="240" w:after="283"/>
        <w:jc w:val="left"/>
        <w:rPr>
          <w:rFonts w:ascii="Arial" w:hAnsi="Arial"/>
          <w:color w:val="000000"/>
          <w:sz w:val="20"/>
        </w:rPr>
      </w:pPr>
      <w:r>
        <w:rPr>
          <w:rFonts w:ascii="Arial" w:hAnsi="Arial"/>
          <w:color w:val="000000"/>
          <w:sz w:val="20"/>
        </w:rPr>
        <w:t>Under each of Mr. Horn or Ms. Kogan’s Participation Agreements, “good reason termination” generally means that such named executive officer resigns from the Company within 60 days following the end of our cure period discussed below as a result of any of the following that occurs without the named executive officer's written consent: a material reduction in the named executive officer's base salary as compared to his or her base salary in effect immediately prior to such reduction; a material change in the geographic location of his or her primary work facility or location, provided, that a relocation that increases the named executive officer's commute by 50 miles or less or to his home as the executive’s primary work location will not be considered a material change in geographic location; or a material reduction of his authority, duties or responsibilities, unless the named executive officer is provided with a comparable position. For a resignation to qualify as a “good reason termination,” a named executive officer also must provide written notice within 60 days following the initial existence of the good reason condition, and such event or action must not have been reversed, remedied or cured within 30 days following our receipt of such written notice.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Under the Severance Plan, “change in control” generally has the same meaning as such term is defined in our 2020 Plan (as discussed further below).</w:t>
      </w:r>
    </w:p>
    <w:p>
      <w:pPr>
        <w:pStyle w:val="TextBody"/>
        <w:bidi w:val="0"/>
        <w:spacing w:before="240" w:after="283"/>
        <w:jc w:val="left"/>
        <w:rPr>
          <w:rFonts w:ascii="Times New Roman" w:hAnsi="Times New Roman"/>
          <w:sz w:val="20"/>
        </w:rPr>
      </w:pPr>
      <w:r>
        <w:rPr>
          <w:rFonts w:ascii="Arial" w:hAnsi="Arial"/>
          <w:color w:val="000000"/>
          <w:sz w:val="20"/>
        </w:rPr>
        <w:t>The following table describes the potential payments that would have been provided to each of our participating named executive officers pursuant to the Severance Plan in the event that they were terminated outside of the Key Executive Change in Control Period, assuming such termination occurred on December 31, 2023 (except as otherwise noted).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tbl>
      <w:tblPr>
        <w:tblW w:w="9694" w:type="dxa"/>
        <w:jc w:val="left"/>
        <w:tblInd w:w="0" w:type="dxa"/>
        <w:tblLayout w:type="fixed"/>
        <w:tblCellMar>
          <w:top w:w="28" w:type="dxa"/>
          <w:left w:w="28" w:type="dxa"/>
          <w:bottom w:w="28" w:type="dxa"/>
          <w:right w:w="28" w:type="dxa"/>
        </w:tblCellMar>
      </w:tblPr>
      <w:tblGrid>
        <w:gridCol w:w="2071"/>
        <w:gridCol w:w="146"/>
        <w:gridCol w:w="390"/>
        <w:gridCol w:w="2130"/>
        <w:gridCol w:w="146"/>
        <w:gridCol w:w="146"/>
        <w:gridCol w:w="563"/>
        <w:gridCol w:w="2677"/>
        <w:gridCol w:w="146"/>
        <w:gridCol w:w="146"/>
        <w:gridCol w:w="146"/>
        <w:gridCol w:w="79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Salary Severance Payments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COBRA Premium Reimbursements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David Horn</w:t>
            </w:r>
          </w:p>
        </w:tc>
        <w:tc>
          <w:tcPr>
            <w:tcW w:w="1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pPr>
            <w:r>
              <w:rPr/>
              <w:t> </w:t>
            </w:r>
          </w:p>
        </w:tc>
        <w:tc>
          <w:tcPr>
            <w:tcW w:w="21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left"/>
              <w:rPr/>
            </w:pPr>
            <w:r>
              <w:rPr/>
              <w:t> </w:t>
            </w:r>
          </w:p>
        </w:tc>
        <w:tc>
          <w:tcPr>
            <w:tcW w:w="267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412,674</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Elona Kogan</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213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26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345,174</w:t>
            </w:r>
          </w:p>
        </w:tc>
        <w:tc>
          <w:tcPr>
            <w:tcW w:w="191"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jc w:val="left"/>
        <w:rPr>
          <w:rFonts w:ascii="Arial" w:hAnsi="Arial"/>
          <w:color w:val="000000"/>
          <w:sz w:val="18"/>
        </w:rPr>
      </w:pPr>
      <w:r>
        <w:rPr>
          <w:rFonts w:ascii="Arial" w:hAnsi="Arial"/>
          <w:color w:val="000000"/>
          <w:sz w:val="18"/>
        </w:rPr>
        <w:t>The amounts reported in this column represent estimates of the premiums to maintain group health insurance continuation benefits pursuant to COBRA for the executive and the executive’s respective eligible dependents for nine months. The amounts presented are based on estimates for maintaining group health insurance continuation benefits under our applicable 2023 group health plans.</w:t>
      </w:r>
    </w:p>
    <w:p>
      <w:pPr>
        <w:pStyle w:val="TextBody"/>
        <w:bidi w:val="0"/>
        <w:spacing w:before="240" w:after="283"/>
        <w:jc w:val="left"/>
        <w:rPr>
          <w:rFonts w:ascii="Times New Roman" w:hAnsi="Times New Roman"/>
          <w:sz w:val="20"/>
        </w:rPr>
      </w:pPr>
      <w:r>
        <w:rPr>
          <w:rFonts w:ascii="Arial" w:hAnsi="Arial"/>
          <w:color w:val="000000"/>
          <w:sz w:val="20"/>
        </w:rPr>
        <w:t>The following table describes the potential payments that would have been provided to each of our participating named executive officers pursuant to the Severance Plan, in the event that they were terminated during the Key Executive Change in Control Period, assuming such termination occurred on December 31, 2023 (except as otherwise noted).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5"/>
        <w:gridCol w:w="146"/>
        <w:gridCol w:w="224"/>
        <w:gridCol w:w="1222"/>
        <w:gridCol w:w="146"/>
        <w:gridCol w:w="146"/>
        <w:gridCol w:w="226"/>
        <w:gridCol w:w="1234"/>
        <w:gridCol w:w="146"/>
        <w:gridCol w:w="146"/>
        <w:gridCol w:w="352"/>
        <w:gridCol w:w="1674"/>
        <w:gridCol w:w="146"/>
        <w:gridCol w:w="146"/>
        <w:gridCol w:w="214"/>
        <w:gridCol w:w="1178"/>
        <w:gridCol w:w="146"/>
        <w:gridCol w:w="146"/>
        <w:gridCol w:w="146"/>
        <w:gridCol w:w="961"/>
        <w:gridCol w:w="195"/>
      </w:tblGrid>
      <w:tr>
        <w:trPr/>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Salary Severance Payments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Bonus Severance Payments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COBRA Premium Reimbursements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Equity Acceleration ($)</w:t>
            </w:r>
            <w:r>
              <w:rPr>
                <w:rFonts w:ascii="Arial" w:hAnsi="Arial"/>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David Horn</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259,112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1,089,844</w:t>
            </w:r>
          </w:p>
        </w:tc>
        <w:tc>
          <w:tcPr>
            <w:tcW w:w="195" w:type="dxa"/>
            <w:tcBorders/>
            <w:shd w:fill="CFF0FC"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Elona Kogan</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226,010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875,242</w:t>
            </w:r>
          </w:p>
        </w:tc>
        <w:tc>
          <w:tcPr>
            <w:tcW w:w="195"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The amounts reported in this column represent estimates of the premiums to maintain group health insurance continuation benefits pursuant to COBRA for the executive and the executive’s respective eligible dependents for 12 months. The amounts presented are based on estimates for maintaining group health insurance continuation benefits under our applicable 2023 group health plans.</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rFonts w:ascii="Arial" w:hAnsi="Arial"/>
          <w:color w:val="000000"/>
          <w:sz w:val="18"/>
        </w:rPr>
      </w:pPr>
      <w:r>
        <w:rPr>
          <w:rFonts w:ascii="Arial" w:hAnsi="Arial"/>
          <w:color w:val="000000"/>
          <w:sz w:val="18"/>
        </w:rPr>
        <w:t>The value of the accelerated RSUs in this table are calculated by multiplying the number of shares subject to acceleration by the closing price of our common stock on December 29, 2023, which was $1.94 per share. The value of the accelerated stock options is calculated by multiplying (x) the number of shares subject to acceleration for each stock option by (y) such closing price per share of $1.94 minus the applicable exercise price per share.</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Equity Plans and Performance-Based Option Acceleration Features</w:t>
      </w:r>
    </w:p>
    <w:p>
      <w:pPr>
        <w:pStyle w:val="TextBody"/>
        <w:bidi w:val="0"/>
        <w:spacing w:before="240" w:after="283"/>
        <w:jc w:val="left"/>
        <w:rPr>
          <w:rFonts w:ascii="Arial" w:hAnsi="Arial"/>
          <w:color w:val="000000"/>
          <w:sz w:val="20"/>
        </w:rPr>
      </w:pPr>
      <w:r>
        <w:rPr>
          <w:rFonts w:ascii="Arial" w:hAnsi="Arial"/>
          <w:color w:val="000000"/>
          <w:sz w:val="20"/>
        </w:rPr>
        <w:t>Each of our 2017 Stock Incentive Plan, as amended and restated (the 2017 Plan), 2020 RSU Equity Incentive Plan (the RSU Plan) and 2020 Plan provides that in the event of a merger or “change in control” (or, with respect to the 2017 Plan, a “change in control transaction”) as defined thereunder, if a successor corporation or its parent or subsidiary does not assume or substitute an equivalent award for any outstanding award, then such award generally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2023, each of our named executive officers was granted a performance-based stock option under which our stock price is required to grow to 150% of the fair market value on the date of grant, with achievement of the stock price goal measured based on the average closing price for a consecutive 20-trading day period (that is, the stock price is required to achieve an average closing price of $6.89 over a consecutive 20-trading day period from the exercise price of $4.59 per share) before the option shares become eligible to vest under a time-based schedule. Once the option has met the stock price target, it is considered a time-based equity award for purposes of Dr. Farokhzad’s Severance Agreement and Mr. Horn and Ms. Kogan’s participation in the Severance Plan. In the event of a change in control, the achievement of this stock price goal is determined based on the change in control price and, if the stock price goal is achieved, any additional time-based vesting requirements are waived, and the options vest in full, as long as the named executive remains in service to us as of immediately prior to the completion of the change in control. However, for Dr. Farokhzad only, if, during the period that is three months prior to a change in control, his employment with us terminates either (1) by the Company without “cause” and not by reason of his death or disability or (2) by Dr. Farokhzad as a “good reason termination” (as such terms are defined in the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w:t>
      </w:r>
    </w:p>
    <w:p>
      <w:pPr>
        <w:pStyle w:val="TextBody"/>
        <w:bidi w:val="0"/>
        <w:spacing w:before="240" w:after="283"/>
        <w:jc w:val="left"/>
        <w:rPr>
          <w:rFonts w:ascii="Arial" w:hAnsi="Arial"/>
          <w:color w:val="000000"/>
          <w:sz w:val="20"/>
        </w:rPr>
      </w:pPr>
      <w:r>
        <w:rPr>
          <w:rFonts w:ascii="Arial" w:hAnsi="Arial"/>
          <w:color w:val="000000"/>
          <w:sz w:val="20"/>
        </w:rPr>
        <w:t>Under the 2020 Plan and RSU Plan, “change in control” generally means a change in our stock ownership upon a person or persons acting together acquiring our stock that results in their ownership of more than fifty percent (50%) of the total voting power of our stock; a change in our effective control that results in a majority of our Board members being replaced over twelve (12) months by directors not endorsed by a majority of the Board members prior to such appointment or election; or a change in ownership of fifty percent (50%) or more of our assets (based on total gross fair market value), in each case, subject to certain exceptions.</w:t>
      </w:r>
    </w:p>
    <w:p>
      <w:pPr>
        <w:pStyle w:val="TextBody"/>
        <w:bidi w:val="0"/>
        <w:spacing w:before="240" w:after="283"/>
        <w:jc w:val="left"/>
        <w:rPr>
          <w:rFonts w:ascii="Arial" w:hAnsi="Arial"/>
          <w:color w:val="000000"/>
          <w:sz w:val="20"/>
        </w:rPr>
      </w:pPr>
      <w:r>
        <w:rPr>
          <w:rFonts w:ascii="Arial" w:hAnsi="Arial"/>
          <w:color w:val="000000"/>
          <w:sz w:val="20"/>
        </w:rPr>
        <w:t>Under our 2017 Plan, “change in control transaction” generally means our merging or consolidating with another corporation whereby our stockholders no longer own at least fifty percent (50%) of the voting power of the Company or the surviving or resulting corporation, as applicable; stock with fifty percent (50%) or more of the voting power of the Company is transferred to an unrelated third party; or if we are liquidated, or sell or otherwise dispose of all or substantially all our assets.</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bookmarkStart w:id="35" w:name="equity_compensation_plan_information"/>
      <w:bookmarkEnd w:id="35"/>
      <w:r>
        <w:rPr>
          <w:rFonts w:ascii="Arial" w:hAnsi="Arial"/>
          <w:b/>
          <w:color w:val="000000"/>
          <w:sz w:val="20"/>
        </w:rPr>
        <w:t>Equity Compensation Plan Information</w:t>
      </w:r>
    </w:p>
    <w:p>
      <w:pPr>
        <w:pStyle w:val="TextBody"/>
        <w:bidi w:val="0"/>
        <w:spacing w:before="240" w:after="283"/>
        <w:jc w:val="left"/>
        <w:rPr>
          <w:rFonts w:ascii="Arial" w:hAnsi="Arial"/>
          <w:color w:val="000000"/>
          <w:sz w:val="20"/>
        </w:rPr>
      </w:pPr>
      <w:r>
        <w:rPr>
          <w:rFonts w:ascii="Arial" w:hAnsi="Arial"/>
          <w:color w:val="000000"/>
          <w:sz w:val="20"/>
        </w:rPr>
        <w:t>The following table provides information as of December 31, 2023 with respect to shares of our common stock that may be issued under our existing equity compensation plans.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4"/>
        <w:gridCol w:w="146"/>
        <w:gridCol w:w="286"/>
        <w:gridCol w:w="2089"/>
        <w:gridCol w:w="146"/>
        <w:gridCol w:w="146"/>
        <w:gridCol w:w="422"/>
        <w:gridCol w:w="1395"/>
        <w:gridCol w:w="146"/>
        <w:gridCol w:w="146"/>
        <w:gridCol w:w="349"/>
        <w:gridCol w:w="2566"/>
        <w:gridCol w:w="474"/>
      </w:tblGrid>
      <w:tr>
        <w:trPr/>
        <w:tc>
          <w:tcPr>
            <w:tcW w:w="1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Securities to be Issued upon Exercise of Outstanding Options, Restricted Stock Units 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 Exercise Price of Outstanding Options 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Securities Remaining Available for Future Issuance Under Equity Compensation Plans (Excluding Securities Reflected in the first Column)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Equity compensation plans approved by security holders</w:t>
            </w:r>
          </w:p>
        </w:tc>
        <w:tc>
          <w:tcPr>
            <w:tcW w:w="146" w:type="dxa"/>
            <w:tcBorders/>
            <w:shd w:fill="CFF0FC" w:val="clear"/>
            <w:vAlign w:val="center"/>
          </w:tcPr>
          <w:p>
            <w:pPr>
              <w:pStyle w:val="TableContents"/>
              <w:bidi w:val="0"/>
              <w:spacing w:before="0" w:after="283"/>
              <w:jc w:val="left"/>
              <w:rPr/>
            </w:pPr>
            <w:r>
              <w:rPr/>
              <w:t> </w:t>
            </w:r>
          </w:p>
        </w:tc>
        <w:tc>
          <w:tcPr>
            <w:tcW w:w="23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915" w:type="dxa"/>
            <w:gridSpan w:val="2"/>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ind w:left="0" w:right="0" w:firstLine="280"/>
              <w:jc w:val="right"/>
              <w:rPr/>
            </w:pPr>
            <w:r>
              <w:rPr/>
              <w:t> </w:t>
            </w:r>
          </w:p>
        </w:tc>
      </w:tr>
      <w:tr>
        <w:trPr/>
        <w:tc>
          <w:tcPr>
            <w:tcW w:w="1894"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i/>
                <w:color w:val="000000"/>
                <w:sz w:val="20"/>
              </w:rPr>
              <w:t xml:space="preserve">2017 Stock Incentive Plan </w:t>
            </w:r>
            <w:r>
              <w:rPr>
                <w:rFonts w:ascii="Arial" w:hAnsi="Arial"/>
                <w:i/>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4,508,814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color w:val="000000"/>
              </w:rPr>
            </w:pPr>
            <w:r>
              <w:rPr>
                <w:color w:val="000000"/>
              </w:rPr>
              <w:t>—</w:t>
            </w:r>
          </w:p>
        </w:tc>
        <w:tc>
          <w:tcPr>
            <w:tcW w:w="474" w:type="dxa"/>
            <w:tcBorders/>
            <w:shd w:fill="FFFFFF" w:val="clear"/>
            <w:vAlign w:val="center"/>
          </w:tcPr>
          <w:p>
            <w:pPr>
              <w:pStyle w:val="TableContents"/>
              <w:bidi w:val="0"/>
              <w:spacing w:before="0" w:after="283"/>
              <w:ind w:left="0" w:right="0" w:firstLine="280"/>
              <w:jc w:val="left"/>
              <w:rPr/>
            </w:pPr>
            <w:r>
              <w:rPr/>
              <w:t> </w:t>
            </w:r>
          </w:p>
        </w:tc>
      </w:tr>
      <w:tr>
        <w:trPr/>
        <w:tc>
          <w:tcPr>
            <w:tcW w:w="1894"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i/>
                <w:color w:val="000000"/>
                <w:sz w:val="20"/>
              </w:rPr>
              <w:t xml:space="preserve">2020 Equity Incentive Plan </w:t>
            </w:r>
            <w:r>
              <w:rPr>
                <w:rFonts w:ascii="Arial" w:hAnsi="Arial"/>
                <w:i/>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0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11,113,511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left"/>
              <w:rPr/>
            </w:pPr>
            <w:r>
              <w:rPr/>
              <w:t> </w:t>
            </w:r>
          </w:p>
        </w:tc>
        <w:tc>
          <w:tcPr>
            <w:tcW w:w="13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25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11,113,511</w:t>
            </w:r>
          </w:p>
        </w:tc>
        <w:tc>
          <w:tcPr>
            <w:tcW w:w="474" w:type="dxa"/>
            <w:tcBorders/>
            <w:shd w:fill="CFF0FC" w:val="clear"/>
            <w:vAlign w:val="center"/>
          </w:tcPr>
          <w:p>
            <w:pPr>
              <w:pStyle w:val="TableContents"/>
              <w:bidi w:val="0"/>
              <w:spacing w:before="0" w:after="283"/>
              <w:ind w:left="0" w:right="0" w:firstLine="280"/>
              <w:jc w:val="left"/>
              <w:rPr/>
            </w:pPr>
            <w:r>
              <w:rPr/>
              <w:t> </w:t>
            </w:r>
          </w:p>
        </w:tc>
      </w:tr>
      <w:tr>
        <w:trPr/>
        <w:tc>
          <w:tcPr>
            <w:tcW w:w="1894"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i/>
                <w:color w:val="000000"/>
                <w:sz w:val="20"/>
              </w:rPr>
              <w:t xml:space="preserve">2020 Employee Stock Purchase Plan </w:t>
            </w:r>
            <w:r>
              <w:rPr>
                <w:rFonts w:ascii="Arial" w:hAnsi="Arial"/>
                <w:i/>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894,671</w:t>
            </w:r>
          </w:p>
        </w:tc>
        <w:tc>
          <w:tcPr>
            <w:tcW w:w="474" w:type="dxa"/>
            <w:tcBorders/>
            <w:shd w:fill="FFFFFF" w:val="clear"/>
            <w:vAlign w:val="center"/>
          </w:tcPr>
          <w:p>
            <w:pPr>
              <w:pStyle w:val="TableContents"/>
              <w:bidi w:val="0"/>
              <w:spacing w:before="0" w:after="283"/>
              <w:ind w:left="0" w:right="0" w:firstLine="280"/>
              <w:jc w:val="left"/>
              <w:rPr/>
            </w:pPr>
            <w:r>
              <w:rPr/>
              <w:t> </w:t>
            </w:r>
          </w:p>
        </w:tc>
      </w:tr>
      <w:tr>
        <w:trPr/>
        <w:tc>
          <w:tcPr>
            <w:tcW w:w="1894"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i/>
                <w:color w:val="000000"/>
                <w:sz w:val="20"/>
              </w:rPr>
              <w:t xml:space="preserve">2020 RSU Equity Incentive Plan </w:t>
            </w:r>
            <w:r>
              <w:rPr>
                <w:rFonts w:ascii="Arial" w:hAnsi="Arial"/>
                <w:i/>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0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2566" w:type="dxa"/>
            <w:tcBorders/>
            <w:shd w:fill="CFF0FC" w:val="clear"/>
            <w:vAlign w:val="center"/>
          </w:tcPr>
          <w:p>
            <w:pPr>
              <w:pStyle w:val="TableContents"/>
              <w:bidi w:val="0"/>
              <w:spacing w:before="0" w:after="283"/>
              <w:jc w:val="right"/>
              <w:rPr>
                <w:color w:val="000000"/>
              </w:rPr>
            </w:pPr>
            <w:r>
              <w:rPr>
                <w:color w:val="000000"/>
              </w:rPr>
              <w:t>—</w:t>
            </w:r>
          </w:p>
        </w:tc>
        <w:tc>
          <w:tcPr>
            <w:tcW w:w="474" w:type="dxa"/>
            <w:tcBorders/>
            <w:shd w:fill="CFF0FC" w:val="clear"/>
            <w:vAlign w:val="center"/>
          </w:tcPr>
          <w:p>
            <w:pPr>
              <w:pStyle w:val="TableContents"/>
              <w:bidi w:val="0"/>
              <w:spacing w:before="0" w:after="283"/>
              <w:jc w:val="left"/>
              <w:rPr/>
            </w:pPr>
            <w:r>
              <w:rPr/>
              <w:t> </w:t>
            </w:r>
          </w:p>
        </w:tc>
      </w:tr>
      <w:tr>
        <w:trPr/>
        <w:tc>
          <w:tcPr>
            <w:tcW w:w="18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15,625,108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12,008,182</w:t>
            </w:r>
          </w:p>
        </w:tc>
        <w:tc>
          <w:tcPr>
            <w:tcW w:w="474"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 xml:space="preserve">Our board of directors adopted, and our stockholders approved, the 2017 Plan. In connection with our initial public offering and the adoption of the 2020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2020 Plan. </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 xml:space="preserve">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common stock on the last day of the immediately preceding fiscal year or (iii) such other amount as our board of directors may determine. </w:t>
      </w:r>
    </w:p>
    <w:p>
      <w:pPr>
        <w:pStyle w:val="TextBody"/>
        <w:bidi w:val="0"/>
        <w:spacing w:before="120" w:after="283"/>
        <w:jc w:val="left"/>
        <w:rPr>
          <w:rFonts w:ascii="Arial" w:hAnsi="Arial"/>
          <w:color w:val="000000"/>
          <w:sz w:val="18"/>
        </w:rPr>
      </w:pPr>
      <w:r>
        <w:rPr>
          <w:rFonts w:ascii="Arial" w:hAnsi="Arial"/>
          <w:color w:val="000000"/>
          <w:sz w:val="18"/>
        </w:rPr>
        <w:t>(3)</w:t>
      </w:r>
    </w:p>
    <w:p>
      <w:pPr>
        <w:pStyle w:val="TextBody"/>
        <w:bidi w:val="0"/>
        <w:spacing w:before="120" w:after="283"/>
        <w:jc w:val="left"/>
        <w:rPr>
          <w:rFonts w:ascii="Arial" w:hAnsi="Arial"/>
          <w:color w:val="000000"/>
          <w:sz w:val="18"/>
        </w:rPr>
      </w:pPr>
      <w:r>
        <w:rPr>
          <w:rFonts w:ascii="Arial" w:hAnsi="Arial"/>
          <w:color w:val="000000"/>
          <w:sz w:val="18"/>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common stock on the last day of the immediately preceding fiscal year or (iii) such other amount as may be determined by our board of directors.</w:t>
      </w:r>
    </w:p>
    <w:p>
      <w:pPr>
        <w:pStyle w:val="TextBody"/>
        <w:bidi w:val="0"/>
        <w:spacing w:before="120" w:after="283"/>
        <w:jc w:val="left"/>
        <w:rPr>
          <w:rFonts w:ascii="Arial" w:hAnsi="Arial"/>
          <w:color w:val="000000"/>
          <w:sz w:val="18"/>
        </w:rPr>
      </w:pPr>
      <w:r>
        <w:rPr>
          <w:rFonts w:ascii="Arial" w:hAnsi="Arial"/>
          <w:color w:val="000000"/>
          <w:sz w:val="18"/>
        </w:rPr>
        <w:t>(4)</w:t>
      </w:r>
    </w:p>
    <w:p>
      <w:pPr>
        <w:pStyle w:val="TextBody"/>
        <w:bidi w:val="0"/>
        <w:spacing w:before="120" w:after="283"/>
        <w:jc w:val="left"/>
        <w:rPr>
          <w:rFonts w:ascii="Arial" w:hAnsi="Arial"/>
          <w:color w:val="000000"/>
          <w:sz w:val="18"/>
        </w:rPr>
      </w:pPr>
      <w:r>
        <w:rPr>
          <w:rFonts w:ascii="Arial" w:hAnsi="Arial"/>
          <w:color w:val="000000"/>
          <w:sz w:val="18"/>
        </w:rPr>
        <w:t xml:space="preserve">Our board of directors adopted, and our stockholders approved, the RSU Plan. In connection with our initial public offering, we no longer grant awards under the RSU Plan; however, all outstanding restricted stock units (RSUs) issued pursuant to the RSU Plan continue to be governed by their existing terms.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36" w:name="pay_versus_performance_"/>
      <w:bookmarkEnd w:id="36"/>
      <w:r>
        <w:rPr>
          <w:rFonts w:ascii="Arial" w:hAnsi="Arial"/>
          <w:b/>
          <w:color w:val="000000"/>
          <w:sz w:val="20"/>
        </w:rPr>
        <w:t>Pay Versus Performance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p>
      <w:pPr>
        <w:pStyle w:val="TextBody"/>
        <w:bidi w:val="0"/>
        <w:jc w:val="left"/>
        <w:rPr/>
      </w:pPr>
      <w:r>
        <w:rPr/>
        <w:t> </w:t>
      </w:r>
    </w:p>
    <w:tbl>
      <w:tblPr>
        <w:tblW w:w="10570" w:type="dxa"/>
        <w:jc w:val="left"/>
        <w:tblInd w:w="0" w:type="dxa"/>
        <w:tblLayout w:type="fixed"/>
        <w:tblCellMar>
          <w:top w:w="28" w:type="dxa"/>
          <w:left w:w="28" w:type="dxa"/>
          <w:bottom w:w="28" w:type="dxa"/>
          <w:right w:w="28" w:type="dxa"/>
        </w:tblCellMar>
      </w:tblPr>
      <w:tblGrid>
        <w:gridCol w:w="541"/>
        <w:gridCol w:w="146"/>
        <w:gridCol w:w="146"/>
        <w:gridCol w:w="168"/>
        <w:gridCol w:w="1108"/>
        <w:gridCol w:w="146"/>
        <w:gridCol w:w="146"/>
        <w:gridCol w:w="146"/>
        <w:gridCol w:w="146"/>
        <w:gridCol w:w="1130"/>
        <w:gridCol w:w="166"/>
        <w:gridCol w:w="146"/>
        <w:gridCol w:w="146"/>
        <w:gridCol w:w="168"/>
        <w:gridCol w:w="1108"/>
        <w:gridCol w:w="146"/>
        <w:gridCol w:w="146"/>
        <w:gridCol w:w="146"/>
        <w:gridCol w:w="146"/>
        <w:gridCol w:w="1130"/>
        <w:gridCol w:w="166"/>
        <w:gridCol w:w="146"/>
        <w:gridCol w:w="146"/>
        <w:gridCol w:w="197"/>
        <w:gridCol w:w="794"/>
        <w:gridCol w:w="146"/>
        <w:gridCol w:w="146"/>
        <w:gridCol w:w="146"/>
        <w:gridCol w:w="195"/>
        <w:gridCol w:w="1006"/>
        <w:gridCol w:w="21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Summary Compensation Table Total for PEO ($)</w:t>
            </w:r>
            <w:r>
              <w:rPr>
                <w:rFonts w:ascii="Arial" w:hAnsi="Arial"/>
                <w:b/>
                <w:color w:val="000000"/>
                <w:sz w:val="11"/>
              </w:rPr>
              <w:t>(1)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Compensation Actually Paid to PEO ($)</w:t>
            </w:r>
            <w:r>
              <w:rPr>
                <w:rFonts w:ascii="Arial" w:hAnsi="Arial"/>
                <w:b/>
                <w:color w:val="000000"/>
                <w:sz w:val="11"/>
              </w:rPr>
              <w:t>(1)(2)(3)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Average Summary Compensation Table Total for Non-PEO NEOs ($)</w:t>
            </w:r>
            <w:r>
              <w:rPr>
                <w:rFonts w:ascii="Arial" w:hAnsi="Arial"/>
                <w:b/>
                <w:color w:val="000000"/>
                <w:sz w:val="11"/>
              </w:rPr>
              <w:t>(1)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Average Compensation Actually Paid to Non-PEO NEOs ($)</w:t>
            </w:r>
            <w:r>
              <w:rPr>
                <w:rFonts w:ascii="Arial" w:hAnsi="Arial"/>
                <w:b/>
                <w:color w:val="000000"/>
                <w:sz w:val="11"/>
              </w:rPr>
              <w:t>(1)(2)(3)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Value of Initial Fixed $100 Investment based on</w:t>
              <w:br/>
              <w:t>TSR ($)</w:t>
            </w:r>
            <w:r>
              <w:rPr>
                <w:rFonts w:ascii="Arial" w:hAnsi="Arial"/>
                <w:b/>
                <w:color w:val="000000"/>
                <w:sz w:val="11"/>
              </w:rPr>
              <w:t>(4)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Net Income </w:t>
              <w:br/>
              <w:t>($ Thousands)</w:t>
            </w:r>
          </w:p>
        </w:tc>
        <w:tc>
          <w:tcPr>
            <w:tcW w:w="21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2023</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5,197,331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1,407,506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(86,277</w:t>
            </w:r>
          </w:p>
        </w:tc>
        <w:tc>
          <w:tcPr>
            <w:tcW w:w="21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6,736,092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(15,544,219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3,870,647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(11,582,853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(92,966</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2021</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9,429,610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(52,272,434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3,001,202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(31,971,616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(71,169</w:t>
            </w:r>
          </w:p>
        </w:tc>
        <w:tc>
          <w:tcPr>
            <w:tcW w:w="21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 xml:space="preserve">(1) </w:t>
      </w:r>
      <w:r>
        <w:rPr>
          <w:rFonts w:ascii="Arial" w:hAnsi="Arial"/>
          <w:color w:val="000000"/>
          <w:sz w:val="18"/>
        </w:rPr>
        <w:t>Omid Farokhzad, M.D. was our PEO for each year presented. The individuals comprising the Non-PEO NEOs for each year presented are listed below:</w:t>
      </w:r>
    </w:p>
    <w:p>
      <w:pPr>
        <w:pStyle w:val="TextBody"/>
        <w:bidi w:val="0"/>
        <w:jc w:val="left"/>
        <w:rPr/>
      </w:pPr>
      <w:r>
        <w:rPr/>
        <w:t> </w:t>
      </w:r>
    </w:p>
    <w:tbl>
      <w:tblPr>
        <w:tblW w:w="2672" w:type="dxa"/>
        <w:jc w:val="left"/>
        <w:tblInd w:w="0" w:type="dxa"/>
        <w:tblLayout w:type="fixed"/>
        <w:tblCellMar>
          <w:top w:w="28" w:type="dxa"/>
          <w:left w:w="28" w:type="dxa"/>
          <w:bottom w:w="28" w:type="dxa"/>
          <w:right w:w="28" w:type="dxa"/>
        </w:tblCellMar>
      </w:tblPr>
      <w:tblGrid>
        <w:gridCol w:w="1186"/>
        <w:gridCol w:w="1486"/>
      </w:tblGrid>
      <w:tr>
        <w:trPr/>
        <w:tc>
          <w:tcPr>
            <w:tcW w:w="11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1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48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2021 - 2022</w:t>
            </w:r>
          </w:p>
        </w:tc>
      </w:tr>
      <w:tr>
        <w:trPr/>
        <w:tc>
          <w:tcPr>
            <w:tcW w:w="1186" w:type="dxa"/>
            <w:tcBorders>
              <w:left w:val="single" w:sz="4" w:space="0" w:color="000000"/>
              <w:bottom w:val="single" w:sz="4" w:space="0" w:color="000000"/>
              <w:right w:val="single" w:sz="4" w:space="0" w:color="000000"/>
            </w:tcBorders>
            <w:shd w:fill="CFF0FC" w:val="clear"/>
            <w:tcMar>
              <w:top w:w="0" w:type="dxa"/>
              <w:left w:w="115" w:type="dxa"/>
              <w:right w:w="115"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David Horn</w:t>
            </w:r>
          </w:p>
        </w:tc>
        <w:tc>
          <w:tcPr>
            <w:tcW w:w="1486"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Omead Ostadan</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Elona Kogan</w:t>
            </w:r>
          </w:p>
        </w:tc>
        <w:tc>
          <w:tcPr>
            <w:tcW w:w="14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David Horn</w:t>
            </w:r>
          </w:p>
        </w:tc>
      </w:tr>
      <w:tr>
        <w:trPr/>
        <w:tc>
          <w:tcPr>
            <w:tcW w:w="1186" w:type="dxa"/>
            <w:tcBorders>
              <w:left w:val="single" w:sz="4" w:space="0" w:color="000000"/>
              <w:bottom w:val="single" w:sz="4" w:space="0" w:color="000000"/>
              <w:right w:val="single" w:sz="4" w:space="0" w:color="000000"/>
            </w:tcBorders>
            <w:shd w:fill="CFF0FC" w:val="clear"/>
            <w:tcMar>
              <w:top w:w="0" w:type="dxa"/>
              <w:left w:w="115" w:type="dxa"/>
              <w:right w:w="115" w:type="dxa"/>
            </w:tcMar>
            <w:vAlign w:val="center"/>
          </w:tcPr>
          <w:p>
            <w:pPr>
              <w:pStyle w:val="TableContents"/>
              <w:bidi w:val="0"/>
              <w:spacing w:before="0" w:after="283"/>
              <w:jc w:val="center"/>
              <w:rPr/>
            </w:pPr>
            <w:r>
              <w:rPr/>
              <w:t> </w:t>
            </w:r>
          </w:p>
        </w:tc>
        <w:tc>
          <w:tcPr>
            <w:tcW w:w="1486"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Elona Kogan</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(2)</w:t>
      </w:r>
      <w:r>
        <w:rPr>
          <w:rFonts w:ascii="Times New Roman" w:hAnsi="Times New Roman"/>
          <w:color w:val="000000"/>
          <w:sz w:val="20"/>
        </w:rPr>
        <w:t xml:space="preserve"> </w:t>
      </w:r>
      <w:r>
        <w:rPr>
          <w:rFonts w:ascii="Arial" w:hAnsi="Arial"/>
          <w:color w:val="000000"/>
          <w:sz w:val="18"/>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(3)</w:t>
      </w:r>
      <w:r>
        <w:rPr>
          <w:rFonts w:ascii="Times New Roman" w:hAnsi="Times New Roman"/>
          <w:color w:val="000000"/>
          <w:sz w:val="20"/>
        </w:rPr>
        <w:t xml:space="preserve"> </w:t>
      </w:r>
      <w:r>
        <w:rPr>
          <w:rFonts w:ascii="Arial" w:hAnsi="Arial"/>
          <w:color w:val="000000"/>
          <w:sz w:val="18"/>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46"/>
        <w:gridCol w:w="266"/>
        <w:gridCol w:w="1755"/>
        <w:gridCol w:w="146"/>
        <w:gridCol w:w="146"/>
        <w:gridCol w:w="146"/>
        <w:gridCol w:w="272"/>
        <w:gridCol w:w="1904"/>
        <w:gridCol w:w="166"/>
        <w:gridCol w:w="146"/>
        <w:gridCol w:w="146"/>
        <w:gridCol w:w="204"/>
        <w:gridCol w:w="1581"/>
        <w:gridCol w:w="166"/>
        <w:gridCol w:w="146"/>
        <w:gridCol w:w="146"/>
        <w:gridCol w:w="208"/>
        <w:gridCol w:w="1614"/>
        <w:gridCol w:w="214"/>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Summary Compensation Table Total for PEO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Exclusion of Stock Awards and Option Awards for PEO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Inclusion of Equity Values for PEO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Compensation Actually Paid to PEO ($)</w:t>
            </w:r>
          </w:p>
        </w:tc>
        <w:tc>
          <w:tcPr>
            <w:tcW w:w="21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2023</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5,197,331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(136,662</w:t>
            </w:r>
          </w:p>
        </w:tc>
        <w:tc>
          <w:tcPr>
            <w:tcW w:w="21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6,736,092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(5,507,299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(15,544,219</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2021</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9,429,610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(8,484,727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(53,217,317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(52,272,434</w:t>
            </w:r>
          </w:p>
        </w:tc>
        <w:tc>
          <w:tcPr>
            <w:tcW w:w="21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46"/>
        <w:gridCol w:w="263"/>
        <w:gridCol w:w="1741"/>
        <w:gridCol w:w="146"/>
        <w:gridCol w:w="146"/>
        <w:gridCol w:w="146"/>
        <w:gridCol w:w="257"/>
        <w:gridCol w:w="1800"/>
        <w:gridCol w:w="166"/>
        <w:gridCol w:w="146"/>
        <w:gridCol w:w="146"/>
        <w:gridCol w:w="213"/>
        <w:gridCol w:w="1646"/>
        <w:gridCol w:w="166"/>
        <w:gridCol w:w="146"/>
        <w:gridCol w:w="146"/>
        <w:gridCol w:w="215"/>
        <w:gridCol w:w="1668"/>
        <w:gridCol w:w="215"/>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0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Summary Compensation Table Total for Non-PEO NEOs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Exclusion of Stock Awards and Option Awards for Non-PEO NEOs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Inclusion of Equity Values for Non-PEO NEOs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8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Compensation Actually Paid to Non-PEO NEOs ($)</w:t>
            </w:r>
          </w:p>
        </w:tc>
        <w:tc>
          <w:tcPr>
            <w:tcW w:w="21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2023</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1,407,506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(320,892</w:t>
            </w:r>
          </w:p>
        </w:tc>
        <w:tc>
          <w:tcPr>
            <w:tcW w:w="21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3,870,647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(2,631,870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(12,821,630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(11,582,853</w:t>
            </w:r>
          </w:p>
        </w:tc>
        <w:tc>
          <w:tcPr>
            <w:tcW w:w="2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2021</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3,001,202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(2,450,331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(32,522,487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(31,971,616</w:t>
            </w:r>
          </w:p>
        </w:tc>
        <w:tc>
          <w:tcPr>
            <w:tcW w:w="21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The amounts in the Inclusion of Equity Values in the tables above are derived from the amounts set forth in the following tables (the Company has not paid dividends historically as a public company and does not sponsor any pension arrangements; thus no adjustments are made for these items):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46"/>
        <w:gridCol w:w="147"/>
        <w:gridCol w:w="974"/>
        <w:gridCol w:w="146"/>
        <w:gridCol w:w="146"/>
        <w:gridCol w:w="146"/>
        <w:gridCol w:w="147"/>
        <w:gridCol w:w="1134"/>
        <w:gridCol w:w="166"/>
        <w:gridCol w:w="146"/>
        <w:gridCol w:w="146"/>
        <w:gridCol w:w="336"/>
        <w:gridCol w:w="797"/>
        <w:gridCol w:w="146"/>
        <w:gridCol w:w="146"/>
        <w:gridCol w:w="146"/>
        <w:gridCol w:w="147"/>
        <w:gridCol w:w="1136"/>
        <w:gridCol w:w="166"/>
        <w:gridCol w:w="146"/>
        <w:gridCol w:w="146"/>
        <w:gridCol w:w="247"/>
        <w:gridCol w:w="587"/>
        <w:gridCol w:w="146"/>
        <w:gridCol w:w="146"/>
        <w:gridCol w:w="146"/>
        <w:gridCol w:w="146"/>
        <w:gridCol w:w="1128"/>
        <w:gridCol w:w="216"/>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Year-End Fair Value of Equity Awards Granted During Year That Remained Outstanding and Unvested as of Last Day of Year for PEO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 in Fair Value from Last Day of Prior Year to Last Day of Year of Outstanding and Unvested Equity Awards for PEO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3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Vesting-Date Fair Value of Equity Awards Granted During Year that Vested During Year for PEO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8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 in Fair Value from Last Day of Prior Year to Vesting Date of Unvested Equity Awards Granted in Prior Year that Vested During Year for PEO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at Last Day of Prior Year of Equity Awards Granted in Prior Year Forfeited During Year for PEO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 Inclusion of Equity Values for PEO ($)</w:t>
            </w:r>
          </w:p>
        </w:tc>
        <w:tc>
          <w:tcPr>
            <w:tcW w:w="21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2023</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1,542,178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(1,645,982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(1,318,463</w:t>
            </w:r>
          </w:p>
        </w:tc>
        <w:tc>
          <w:tcPr>
            <w:tcW w:w="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1,772,140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(11,783,695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(6,761,457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(16,773,012</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2021</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2,837,768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(40,523,276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(15,531,809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(53,217,317</w:t>
            </w:r>
          </w:p>
        </w:tc>
        <w:tc>
          <w:tcPr>
            <w:tcW w:w="2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tbl>
      <w:tblPr>
        <w:tblW w:w="10409" w:type="dxa"/>
        <w:jc w:val="left"/>
        <w:tblInd w:w="0" w:type="dxa"/>
        <w:tblLayout w:type="fixed"/>
        <w:tblCellMar>
          <w:top w:w="28" w:type="dxa"/>
          <w:left w:w="28" w:type="dxa"/>
          <w:bottom w:w="28" w:type="dxa"/>
          <w:right w:w="28" w:type="dxa"/>
        </w:tblCellMar>
      </w:tblPr>
      <w:tblGrid>
        <w:gridCol w:w="541"/>
        <w:gridCol w:w="146"/>
        <w:gridCol w:w="146"/>
        <w:gridCol w:w="172"/>
        <w:gridCol w:w="939"/>
        <w:gridCol w:w="146"/>
        <w:gridCol w:w="146"/>
        <w:gridCol w:w="146"/>
        <w:gridCol w:w="146"/>
        <w:gridCol w:w="1126"/>
        <w:gridCol w:w="166"/>
        <w:gridCol w:w="146"/>
        <w:gridCol w:w="146"/>
        <w:gridCol w:w="334"/>
        <w:gridCol w:w="792"/>
        <w:gridCol w:w="146"/>
        <w:gridCol w:w="146"/>
        <w:gridCol w:w="146"/>
        <w:gridCol w:w="146"/>
        <w:gridCol w:w="1021"/>
        <w:gridCol w:w="166"/>
        <w:gridCol w:w="146"/>
        <w:gridCol w:w="146"/>
        <w:gridCol w:w="146"/>
        <w:gridCol w:w="1021"/>
        <w:gridCol w:w="166"/>
        <w:gridCol w:w="146"/>
        <w:gridCol w:w="146"/>
        <w:gridCol w:w="146"/>
        <w:gridCol w:w="1126"/>
        <w:gridCol w:w="21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Year-End Fair Value of Equity Awards Granted During Year That Remained Outstanding and Unvested as of Last Day of Year for Non-PEO NEOs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Change in Fair Value from Last Day of Prior Year to Last Day of Year of Outstanding and Unvested Equity Awards for Non-PEO NEOs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Vesting-Date Fair Value of Equity Awards Granted During Year that Vested During Year for Non-PEO NEOs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Change in Fair Value from Last Day of Prior Year to Vesting Date of Unvested Equity Awards Granted in Prior Year that Vested During Year for Non-PEO NEOs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Fair Value at Last Day of Prior Year of Equity Awards Granted in Prior Year Forfeited During Year for Non-PEO NEOs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 Average Inclusion of Equity Values for Non-PEO NEOs ($)</w:t>
            </w:r>
          </w:p>
        </w:tc>
        <w:tc>
          <w:tcPr>
            <w:tcW w:w="21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2023</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(939,638</w:t>
            </w:r>
          </w:p>
        </w:tc>
        <w:tc>
          <w:tcPr>
            <w:tcW w:w="21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(4,930,648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(2,790,307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(5,680,321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(12,821,630</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2021</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(27,198,110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(32,522,487</w:t>
            </w:r>
          </w:p>
        </w:tc>
        <w:tc>
          <w:tcPr>
            <w:tcW w:w="21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(4)</w:t>
      </w:r>
      <w:r>
        <w:rPr>
          <w:rFonts w:ascii="Times New Roman" w:hAnsi="Times New Roman"/>
          <w:color w:val="000000"/>
          <w:sz w:val="20"/>
        </w:rPr>
        <w:t xml:space="preserve"> </w:t>
      </w:r>
      <w:r>
        <w:rPr>
          <w:rFonts w:ascii="Arial" w:hAnsi="Arial"/>
          <w:color w:val="000000"/>
          <w:sz w:val="18"/>
        </w:rPr>
        <w:t>Assumes $100 was invested in the Company for the period starting December 31, 2020, through the end of the listed year. Historical stock performance is not necessarily indicative of future stock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i/>
          <w:color w:val="000000"/>
          <w:sz w:val="20"/>
        </w:rPr>
      </w:pPr>
      <w:r>
        <w:rPr>
          <w:rFonts w:ascii="Arial" w:hAnsi="Arial"/>
          <w:b/>
          <w:i/>
          <w:color w:val="000000"/>
          <w:sz w:val="20"/>
        </w:rPr>
        <w:t>Relationship Between PEO and Non-PEO NEO Compensation Actually Paid and Company Total Shareholder Return (TSR)</w:t>
      </w:r>
    </w:p>
    <w:p>
      <w:pPr>
        <w:pStyle w:val="TextBody"/>
        <w:bidi w:val="0"/>
        <w:spacing w:before="240" w:after="283"/>
        <w:jc w:val="left"/>
        <w:rPr>
          <w:rFonts w:ascii="Arial" w:hAnsi="Arial"/>
          <w:color w:val="000000"/>
          <w:sz w:val="20"/>
        </w:rPr>
      </w:pPr>
      <w:r>
        <w:rPr>
          <w:rFonts w:ascii="Arial" w:hAnsi="Arial"/>
          <w:color w:val="000000"/>
          <w:sz w:val="20"/>
        </w:rPr>
        <w:t>The following chart sets forth the relationship between Compensation Actually Paid to our PEO, the average of Compensation Actually Paid to our Non-PEO NEOs, and the Company’s cumulative TSR over the three most recently completed fiscal years.</w:t>
      </w:r>
    </w:p>
    <w:p>
      <w:pPr>
        <w:pStyle w:val="TextBody"/>
        <w:bidi w:val="0"/>
        <w:jc w:val="left"/>
        <w:rPr/>
      </w:pPr>
      <w:r>
        <w:rPr/>
        <w:t> </w:t>
      </w:r>
    </w:p>
    <w:p>
      <w:pPr>
        <w:pStyle w:val="TextBody"/>
        <w:bidi w:val="0"/>
        <w:jc w:val="center"/>
        <w:rPr/>
      </w:pPr>
      <w:r>
        <w:rPr/>
        <w:drawing>
          <wp:inline distT="0" distB="0" distL="0" distR="0">
            <wp:extent cx="6048375" cy="3067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48375" cy="3067050"/>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40" w:after="283"/>
        <w:jc w:val="left"/>
        <w:rPr>
          <w:rFonts w:ascii="Arial" w:hAnsi="Arial"/>
          <w:b/>
          <w:i/>
          <w:color w:val="000000"/>
          <w:sz w:val="20"/>
        </w:rPr>
      </w:pPr>
      <w:r>
        <w:rPr>
          <w:rFonts w:ascii="Arial" w:hAnsi="Arial"/>
          <w:b/>
          <w:i/>
          <w:color w:val="000000"/>
          <w:sz w:val="20"/>
        </w:rPr>
        <w:t>Relationship Between PEO and Non-PEO NEO Compensation Actually Paid and Net Income</w:t>
      </w:r>
    </w:p>
    <w:p>
      <w:pPr>
        <w:pStyle w:val="TextBody"/>
        <w:bidi w:val="0"/>
        <w:spacing w:before="240" w:after="283"/>
        <w:jc w:val="left"/>
        <w:rPr>
          <w:rFonts w:ascii="Arial" w:hAnsi="Arial"/>
          <w:color w:val="000000"/>
          <w:sz w:val="20"/>
        </w:rPr>
      </w:pPr>
      <w:r>
        <w:rPr>
          <w:rFonts w:ascii="Arial" w:hAnsi="Arial"/>
          <w:color w:val="000000"/>
          <w:sz w:val="20"/>
        </w:rPr>
        <w:t>The following chart sets forth the relationship between Compensation Actually Paid to our PEO, the average of Compensation Actually Paid to our Non-PEO NEOs, and our Net Income during the three most recently completed fiscal years.</w:t>
      </w:r>
    </w:p>
    <w:p>
      <w:pPr>
        <w:pStyle w:val="TextBody"/>
        <w:bidi w:val="0"/>
        <w:jc w:val="left"/>
        <w:rPr/>
      </w:pPr>
      <w:r>
        <w:rPr/>
        <w:t> </w:t>
      </w:r>
    </w:p>
    <w:p>
      <w:pPr>
        <w:pStyle w:val="TextBody"/>
        <w:bidi w:val="0"/>
        <w:jc w:val="center"/>
        <w:rPr/>
      </w:pPr>
      <w:r>
        <w:rPr/>
        <w:drawing>
          <wp:inline distT="0" distB="0" distL="0" distR="0">
            <wp:extent cx="5762625" cy="3162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2625" cy="3162300"/>
                    </a:xfrm>
                    <a:prstGeom prst="rect">
                      <a:avLst/>
                    </a:prstGeom>
                  </pic:spPr>
                </pic:pic>
              </a:graphicData>
            </a:graphic>
          </wp:inline>
        </w:drawing>
      </w:r>
      <w:r>
        <w:rPr/>
        <w:t> </w:t>
      </w:r>
    </w:p>
    <w:p>
      <w:pPr>
        <w:pStyle w:val="TextBody"/>
        <w:bidi w:val="0"/>
        <w:spacing w:before="240" w:after="283"/>
        <w:jc w:val="center"/>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spacing w:before="40" w:after="283"/>
        <w:jc w:val="left"/>
        <w:rPr/>
      </w:pPr>
      <w:r>
        <w:rPr/>
        <w:t> </w:t>
      </w:r>
    </w:p>
    <w:p>
      <w:pPr>
        <w:pStyle w:val="TextBody"/>
        <w:bidi w:val="0"/>
        <w:spacing w:before="240" w:after="283"/>
        <w:jc w:val="left"/>
        <w:rPr/>
      </w:pPr>
      <w:r>
        <w:rPr/>
        <w:t> </w:t>
      </w:r>
    </w:p>
    <w:p>
      <w:pPr>
        <w:pStyle w:val="TextBody"/>
        <w:bidi w:val="0"/>
        <w:spacing w:before="240" w:after="24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Arial" w:hAnsi="Arial"/>
          <w:b/>
          <w:color w:val="000000"/>
          <w:sz w:val="20"/>
        </w:rPr>
      </w:pPr>
      <w:bookmarkStart w:id="37" w:name="named_executive_officer_comp_overview"/>
      <w:bookmarkEnd w:id="37"/>
      <w:r>
        <w:rPr>
          <w:rFonts w:ascii="Arial" w:hAnsi="Arial"/>
          <w:b/>
          <w:color w:val="000000"/>
          <w:sz w:val="20"/>
        </w:rPr>
        <w:t>NAMED EXECUTIVE OFFICER COMPENSATION OVERVIEW</w:t>
      </w:r>
    </w:p>
    <w:p>
      <w:pPr>
        <w:pStyle w:val="TextBody"/>
        <w:bidi w:val="0"/>
        <w:spacing w:before="240" w:after="283"/>
        <w:jc w:val="left"/>
        <w:rPr>
          <w:rFonts w:ascii="Times New Roman" w:hAnsi="Times New Roman"/>
          <w:sz w:val="20"/>
        </w:rPr>
      </w:pPr>
      <w:r>
        <w:rPr>
          <w:rFonts w:ascii="Arial" w:hAnsi="Arial"/>
          <w:color w:val="000000"/>
          <w:sz w:val="20"/>
        </w:rPr>
        <w:t>Our mission is to imagine and pioneer new ways to decode the secrets of the proteome to improve human health. Our first product, the Proteograph</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Product Suite (Proteograph), leverages our proprietary engineered nanoparticle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 Thus, we believe that the Proteograph will enable the discovery of novel content that will lead to the creation of value that will promote entirely new applications and market opportunities.</w:t>
      </w:r>
    </w:p>
    <w:p>
      <w:pPr>
        <w:pStyle w:val="TextBody"/>
        <w:bidi w:val="0"/>
        <w:spacing w:before="240" w:after="283"/>
        <w:jc w:val="left"/>
        <w:rPr>
          <w:rFonts w:ascii="Times New Roman" w:hAnsi="Times New Roman"/>
          <w:sz w:val="20"/>
        </w:rPr>
      </w:pPr>
      <w:r>
        <w:rPr>
          <w:rFonts w:ascii="Arial" w:hAnsi="Arial"/>
          <w:color w:val="000000"/>
          <w:sz w:val="20"/>
        </w:rPr>
        <w:t>As of June 30, 2023, we qualify as a smaller reporting company and therefore this section includes disclosures on a voluntary basis given our status as a smaller reporting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Named Executive Officer Compensation Overview (“NEOCO”) describes the philosophy, objectives, and structure of our 2023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information set forth elsewhere in this proxy, including the executive compensation tables further above.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named executive officers for the fiscal year ended December 31, 2023 were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Omid Farokhzad, M.D., our Chief Executive Officer and Chair of the Board of Directors (our CEO);</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David Horn, our Chief Financial Officer and President;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Elona Kogan, our Chief Legal Officer.</w:t>
      </w:r>
    </w:p>
    <w:p>
      <w:pPr>
        <w:pStyle w:val="TextBody"/>
        <w:bidi w:val="0"/>
        <w:spacing w:before="240" w:after="283"/>
        <w:jc w:val="left"/>
        <w:rPr>
          <w:rFonts w:ascii="Times New Roman" w:hAnsi="Times New Roman"/>
          <w:sz w:val="20"/>
        </w:rPr>
      </w:pPr>
      <w:r>
        <w:rPr>
          <w:rFonts w:ascii="Arial" w:hAnsi="Arial"/>
          <w:color w:val="000000"/>
          <w:sz w:val="20"/>
        </w:rPr>
        <w:t>As a smaller reporting company, our named executive officers consist of our CEO and the two most highly compensated officers (other than our principal executive officer) serving as executive officers as of the end of the year.</w:t>
      </w:r>
      <w:r>
        <w:rPr>
          <w:rFonts w:ascii="Times New Roman" w:hAnsi="Times New Roman"/>
          <w:color w:val="000000"/>
          <w:sz w:val="20"/>
        </w:rPr>
        <w:t xml:space="preserve"> </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4321"/>
        <w:gridCol w:w="146"/>
        <w:gridCol w:w="11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NEOCO Reference Guide</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Executive Summary</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Section I</w:t>
            </w:r>
          </w:p>
        </w:tc>
      </w:tr>
      <w:tr>
        <w:trPr/>
        <w:tc>
          <w:tcPr>
            <w:tcW w:w="43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Philosophy and Objectives</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Section II</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Determination Process</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Section III</w:t>
            </w:r>
          </w:p>
        </w:tc>
      </w:tr>
      <w:tr>
        <w:trPr/>
        <w:tc>
          <w:tcPr>
            <w:tcW w:w="43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Key Components of Our Compensation Program</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Section IV</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Additional Compensation Policies and Practices</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Section V</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40" w:after="283"/>
        <w:jc w:val="left"/>
        <w:rPr>
          <w:rFonts w:ascii="Arial" w:hAnsi="Arial"/>
          <w:b/>
          <w:color w:val="000000"/>
          <w:sz w:val="20"/>
        </w:rPr>
      </w:pPr>
      <w:bookmarkStart w:id="38" w:name="executive_summary"/>
      <w:bookmarkEnd w:id="38"/>
      <w:r>
        <w:rPr>
          <w:rFonts w:ascii="Arial" w:hAnsi="Arial"/>
          <w:b/>
          <w:color w:val="000000"/>
          <w:sz w:val="20"/>
        </w:rPr>
        <w:t>I. Executive Summary</w:t>
      </w:r>
    </w:p>
    <w:p>
      <w:pPr>
        <w:pStyle w:val="TextBody"/>
        <w:bidi w:val="0"/>
        <w:spacing w:before="240" w:after="283"/>
        <w:jc w:val="left"/>
        <w:rPr>
          <w:rFonts w:ascii="Arial" w:hAnsi="Arial"/>
          <w:i/>
          <w:color w:val="000000"/>
          <w:sz w:val="20"/>
        </w:rPr>
      </w:pPr>
      <w:r>
        <w:rPr>
          <w:rFonts w:ascii="Arial" w:hAnsi="Arial"/>
          <w:i/>
          <w:color w:val="000000"/>
          <w:sz w:val="20"/>
        </w:rPr>
        <w:t>2023 Business and Financial Highlights</w:t>
      </w:r>
    </w:p>
    <w:p>
      <w:pPr>
        <w:pStyle w:val="TextBody"/>
        <w:bidi w:val="0"/>
        <w:spacing w:before="240" w:after="283"/>
        <w:jc w:val="left"/>
        <w:rPr>
          <w:rFonts w:ascii="Arial" w:hAnsi="Arial"/>
          <w:color w:val="000000"/>
          <w:sz w:val="20"/>
        </w:rPr>
      </w:pPr>
      <w:r>
        <w:rPr>
          <w:rFonts w:ascii="Arial" w:hAnsi="Arial"/>
          <w:color w:val="000000"/>
          <w:sz w:val="20"/>
        </w:rPr>
        <w:t>2023 was a year of significant progress for us. Performance highlights for 2023 include: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Achieved revenue (measured on a GAAP basis) of $16.7 million for the full year 2023, an increase of 8% over the corresponding period in 2022;</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Shipped 23 instruments during 2023, bringing cumulative instruments shipped to 62 as of December 31, 2023;</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Launched the Proteograph XT Assay Kit in June 2023, increasing throughput without compromising performance, making it possible for a single user to process hundreds of samples per week, generating deep, unbiased proteomics data at scale;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Launched the Seer Technology Access Center (STAC), allowing researchers who do not have access to mass spectrometry to undertake deep unbiased proteomics studies;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Expanded internationally with the addition of four new distributors and partners;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color w:val="000000"/>
          <w:sz w:val="20"/>
        </w:rPr>
        <w:t xml:space="preserve">First peer-reviewed customer publication published in </w:t>
      </w:r>
      <w:r>
        <w:rPr>
          <w:rFonts w:ascii="Arial" w:hAnsi="Arial"/>
          <w:i/>
          <w:color w:val="000000"/>
          <w:sz w:val="20"/>
        </w:rPr>
        <w:t xml:space="preserve">Nature Communications </w:t>
      </w:r>
      <w:r>
        <w:rPr>
          <w:rFonts w:ascii="Arial" w:hAnsi="Arial"/>
          <w:color w:val="000000"/>
          <w:sz w:val="20"/>
        </w:rPr>
        <w:t>in</w:t>
      </w:r>
      <w:r>
        <w:rPr>
          <w:color w:val="000000"/>
        </w:rPr>
        <w:t xml:space="preserve"> </w:t>
      </w:r>
      <w:r>
        <w:rPr>
          <w:rFonts w:ascii="Arial" w:hAnsi="Arial"/>
          <w:color w:val="000000"/>
          <w:sz w:val="20"/>
        </w:rPr>
        <w:t>early 2024</w:t>
      </w:r>
      <w:r>
        <w:rPr>
          <w:rFonts w:ascii="Arial" w:hAnsi="Arial"/>
          <w:i/>
          <w:color w:val="000000"/>
          <w:sz w:val="20"/>
        </w:rPr>
        <w:t xml:space="preserve">, </w:t>
      </w:r>
      <w:r>
        <w:rPr>
          <w:rFonts w:ascii="Arial" w:hAnsi="Arial"/>
          <w:color w:val="000000"/>
          <w:sz w:val="20"/>
        </w:rPr>
        <w:t xml:space="preserve">demonstrating the power of the Proteograph in pQTL analysis ;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Launched the Protein Discovery Catalog with over 10,000 protein across 1,900 pathways to empower researchers in early 2024;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Named Proteomics Solution of the Year by BioTech Breakthrough and named #5 on the Deloitte Technology Fast 500.</w:t>
      </w:r>
    </w:p>
    <w:p>
      <w:pPr>
        <w:pStyle w:val="TextBody"/>
        <w:bidi w:val="0"/>
        <w:spacing w:before="240" w:after="283"/>
        <w:jc w:val="left"/>
        <w:rPr>
          <w:rFonts w:ascii="Arial" w:hAnsi="Arial"/>
          <w:i/>
          <w:color w:val="000000"/>
          <w:sz w:val="20"/>
        </w:rPr>
      </w:pPr>
      <w:r>
        <w:rPr>
          <w:rFonts w:ascii="Arial" w:hAnsi="Arial"/>
          <w:i/>
          <w:color w:val="000000"/>
          <w:sz w:val="20"/>
        </w:rPr>
        <w:t>Overview of 2023 Pay Decisions and Outcomes</w:t>
      </w:r>
    </w:p>
    <w:p>
      <w:pPr>
        <w:pStyle w:val="TextBody"/>
        <w:bidi w:val="0"/>
        <w:spacing w:before="240" w:after="283"/>
        <w:jc w:val="left"/>
        <w:rPr>
          <w:rFonts w:ascii="Times New Roman" w:hAnsi="Times New Roman"/>
          <w:sz w:val="20"/>
        </w:rPr>
      </w:pPr>
      <w:r>
        <w:rPr>
          <w:rFonts w:ascii="Arial" w:hAnsi="Arial"/>
          <w:color w:val="000000"/>
          <w:sz w:val="20"/>
        </w:rPr>
        <w:t>We seek to reward our named executive officers with competitive compensation packages that directly align pay with performance. The caliber of our performance in the areas of key milestones drives our compensation structure, specifically the degree to which named executive officers are granted equity and earn bonuses. Our talent and compensation committee regularly examines our compensation program both from a design and pay outcome perspective. In line with our growth in 2023, the talent and compensation committee considered how our incentives provided appropriate levels of compensation considering our performance and growth stage.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Key decisions include:</w:t>
      </w:r>
    </w:p>
    <w:p>
      <w:pPr>
        <w:pStyle w:val="TextBody"/>
        <w:bidi w:val="0"/>
        <w:spacing w:before="240" w:after="283"/>
        <w:jc w:val="left"/>
        <w:rPr>
          <w:rFonts w:ascii="Times New Roman" w:hAnsi="Times New Roman"/>
          <w:sz w:val="20"/>
        </w:rPr>
      </w:pPr>
      <w:r>
        <w:rPr>
          <w:rFonts w:ascii="Arial" w:hAnsi="Arial"/>
          <w:b/>
          <w:color w:val="000000"/>
          <w:sz w:val="20"/>
        </w:rPr>
        <w:t>Annual Performance-based Bonuses</w:t>
      </w:r>
      <w:r>
        <w:rPr>
          <w:rFonts w:ascii="Times New Roman" w:hAnsi="Times New Roman"/>
          <w:color w:val="000000"/>
          <w:sz w:val="20"/>
        </w:rPr>
        <w:t xml:space="preserve"> – </w:t>
      </w:r>
      <w:r>
        <w:rPr>
          <w:rFonts w:ascii="Arial" w:hAnsi="Arial"/>
          <w:color w:val="000000"/>
          <w:sz w:val="20"/>
        </w:rPr>
        <w:t>An annual bonus was paid to our named executive officers based on the achievement of corporate goals that contained important pre-established financial, commercial, product development, research and organizational milestones goals, most of which were successfully met and other considerations that our talent and compensation committee determined to be relevant to the achievement of our goals.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Long-term Equity Incentives</w:t>
      </w:r>
      <w:r>
        <w:rPr>
          <w:rFonts w:ascii="Times New Roman" w:hAnsi="Times New Roman"/>
          <w:color w:val="000000"/>
          <w:sz w:val="20"/>
        </w:rPr>
        <w:t xml:space="preserve"> – </w:t>
      </w:r>
      <w:r>
        <w:rPr>
          <w:rFonts w:ascii="Arial" w:hAnsi="Arial"/>
          <w:color w:val="000000"/>
          <w:sz w:val="20"/>
        </w:rPr>
        <w:t>In 2023, we granted stock options with a market performance condition to our named executive officers, requiring our stock price to grow 150% from the stock price on the date of grant before the options begin to vest. These stock options highlight our commitment to closely tie our named executive officers' compensation directly to company performance and the creation of significant stockholder value. These stock options account for approximately 56% of the named executive officers' equity grants (by value) in 2023, with the remainder awarded in the form of restricted stock units (“RSUs”).</w:t>
      </w:r>
    </w:p>
    <w:p>
      <w:pPr>
        <w:pStyle w:val="TextBody"/>
        <w:bidi w:val="0"/>
        <w:spacing w:before="240" w:after="283"/>
        <w:jc w:val="left"/>
        <w:rPr>
          <w:rFonts w:ascii="Arial" w:hAnsi="Arial"/>
          <w:color w:val="000000"/>
          <w:sz w:val="20"/>
        </w:rPr>
      </w:pPr>
      <w:r>
        <w:rPr>
          <w:rFonts w:ascii="Arial" w:hAnsi="Arial"/>
          <w:color w:val="000000"/>
          <w:sz w:val="20"/>
        </w:rPr>
        <w:t>The annual equity awards of stock options and RSUs to our named executive officers, including our CEO, reflected considerations related to strong achievements of corporate goals for the then most recently completed year, current and anticipated levels of the Company equity holdings by these officers resulting in equity awards designed to align the interests of our named executive officers with those of our stockholders, reward and drive the creation of stockholder value, as well as provide for the retention of our key talent.</w:t>
      </w:r>
    </w:p>
    <w:p>
      <w:pPr>
        <w:pStyle w:val="TextBody"/>
        <w:bidi w:val="0"/>
        <w:spacing w:before="240" w:after="283"/>
        <w:jc w:val="left"/>
        <w:rPr>
          <w:rFonts w:ascii="Times New Roman" w:hAnsi="Times New Roman"/>
          <w:sz w:val="20"/>
        </w:rPr>
      </w:pPr>
      <w:r>
        <w:rPr>
          <w:rFonts w:ascii="Arial" w:hAnsi="Arial"/>
          <w:i/>
          <w:color w:val="000000"/>
          <w:sz w:val="20"/>
        </w:rPr>
        <w:t>Target Pay Mix</w:t>
      </w:r>
      <w:r>
        <w:rPr>
          <w:rFonts w:ascii="Times New Roman" w:hAnsi="Times New Roman"/>
          <w:color w:val="000000"/>
          <w:sz w:val="20"/>
        </w:rPr>
        <w:t xml:space="preserve"> </w:t>
      </w:r>
    </w:p>
    <w:p>
      <w:pPr>
        <w:pStyle w:val="TextBody"/>
        <w:bidi w:val="0"/>
        <w:spacing w:before="240" w:after="240"/>
        <w:jc w:val="left"/>
        <w:rPr>
          <w:rFonts w:ascii="Arial" w:hAnsi="Arial"/>
          <w:color w:val="000000"/>
          <w:sz w:val="20"/>
        </w:rPr>
      </w:pPr>
      <w:r>
        <w:rPr>
          <w:rFonts w:ascii="Arial" w:hAnsi="Arial"/>
          <w:color w:val="000000"/>
          <w:sz w:val="20"/>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As such, a significant portion of our executives’ compensation is at-risk, performance-based compensation, in the form of long-term equity awards, and annual cash incentives that are only earned to the extent we achieve the various applicable corporate goals. The balance between these components may change based on company performance, market forces and company objectives, among other considerations. In 2023, our CEO and other named executive officers had the following target pay mix:</w:t>
      </w:r>
    </w:p>
    <w:p>
      <w:pPr>
        <w:pStyle w:val="TextBody"/>
        <w:bidi w:val="0"/>
        <w:jc w:val="center"/>
        <w:rPr/>
      </w:pPr>
      <w:r>
        <w:rPr/>
        <w:drawing>
          <wp:inline distT="0" distB="0" distL="0" distR="0">
            <wp:extent cx="6410325" cy="1924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10325" cy="1924050"/>
                    </a:xfrm>
                    <a:prstGeom prst="rect">
                      <a:avLst/>
                    </a:prstGeom>
                  </pic:spPr>
                </pic:pic>
              </a:graphicData>
            </a:graphic>
          </wp:inline>
        </w:drawing>
      </w:r>
      <w:r>
        <w:rPr/>
        <w:t> </w:t>
      </w:r>
    </w:p>
    <w:p>
      <w:pPr>
        <w:pStyle w:val="TextBody"/>
        <w:bidi w:val="0"/>
        <w:spacing w:before="240" w:after="283"/>
        <w:jc w:val="left"/>
        <w:rPr>
          <w:rFonts w:ascii="Times New Roman" w:hAnsi="Times New Roman"/>
          <w:sz w:val="20"/>
        </w:rPr>
      </w:pPr>
      <w:bookmarkStart w:id="39" w:name="compensation_philosophy_and_objectives"/>
      <w:bookmarkEnd w:id="39"/>
      <w:r>
        <w:rPr>
          <w:rFonts w:ascii="Arial" w:hAnsi="Arial"/>
          <w:b/>
          <w:color w:val="000000"/>
          <w:sz w:val="20"/>
        </w:rPr>
        <w:t>II. Compensation</w:t>
      </w:r>
      <w:r>
        <w:rPr>
          <w:rFonts w:ascii="Times New Roman" w:hAnsi="Times New Roman"/>
          <w:color w:val="000000"/>
          <w:sz w:val="20"/>
        </w:rPr>
        <w:t xml:space="preserve"> </w:t>
      </w:r>
      <w:r>
        <w:rPr>
          <w:rFonts w:ascii="Arial" w:hAnsi="Arial"/>
          <w:b/>
          <w:color w:val="000000"/>
          <w:sz w:val="20"/>
        </w:rPr>
        <w:t>Philosophy and Objectives</w:t>
      </w:r>
    </w:p>
    <w:p>
      <w:pPr>
        <w:pStyle w:val="TextBody"/>
        <w:bidi w:val="0"/>
        <w:spacing w:before="240" w:after="283"/>
        <w:jc w:val="left"/>
        <w:rPr>
          <w:rFonts w:ascii="Arial" w:hAnsi="Arial"/>
          <w:color w:val="000000"/>
          <w:sz w:val="20"/>
        </w:rPr>
      </w:pPr>
      <w:r>
        <w:rPr>
          <w:rFonts w:ascii="Arial" w:hAnsi="Arial"/>
          <w:color w:val="000000"/>
          <w:sz w:val="20"/>
        </w:rPr>
        <w:t>Our talent and compensation committee believes that executive compensation should be linked to our overall performance and strategic success.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attract and retain highly qualified executives;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motivate and reward performance that supports achievement of our corporate goals;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align executive incentives with stockholder interests through the grant of long-term incentives; and</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reward performance and contributions towards achievement of measurable targets and a shared set of critical strategic priorities.</w:t>
      </w:r>
    </w:p>
    <w:p>
      <w:pPr>
        <w:pStyle w:val="TextBody"/>
        <w:bidi w:val="0"/>
        <w:spacing w:before="240" w:after="283"/>
        <w:jc w:val="left"/>
        <w:rPr>
          <w:rFonts w:ascii="Arial" w:hAnsi="Arial"/>
          <w:color w:val="000000"/>
          <w:sz w:val="20"/>
        </w:rPr>
      </w:pPr>
      <w:r>
        <w:rPr>
          <w:rFonts w:ascii="Arial" w:hAnsi="Arial"/>
          <w:color w:val="000000"/>
          <w:sz w:val="20"/>
        </w:rPr>
        <w:t>We believe our executive compensation program as developed and implemented achieves these objectives and is appropriate for a company in our industry and at our stage of growth.</w:t>
      </w:r>
    </w:p>
    <w:p>
      <w:pPr>
        <w:pStyle w:val="TextBody"/>
        <w:bidi w:val="0"/>
        <w:spacing w:before="240" w:after="283"/>
        <w:jc w:val="left"/>
        <w:rPr>
          <w:rFonts w:ascii="Times New Roman" w:hAnsi="Times New Roman"/>
          <w:sz w:val="20"/>
        </w:rPr>
      </w:pPr>
      <w:bookmarkStart w:id="40" w:name="compensation_determination_process"/>
      <w:bookmarkEnd w:id="40"/>
      <w:r>
        <w:rPr>
          <w:rFonts w:ascii="Arial" w:hAnsi="Arial"/>
          <w:b/>
          <w:color w:val="000000"/>
          <w:sz w:val="20"/>
        </w:rPr>
        <w:t>III. Compensation</w:t>
      </w:r>
      <w:r>
        <w:rPr>
          <w:rFonts w:ascii="Times New Roman" w:hAnsi="Times New Roman"/>
          <w:color w:val="000000"/>
          <w:sz w:val="20"/>
        </w:rPr>
        <w:t xml:space="preserve"> </w:t>
      </w:r>
      <w:r>
        <w:rPr>
          <w:rFonts w:ascii="Arial" w:hAnsi="Arial"/>
          <w:b/>
          <w:color w:val="000000"/>
          <w:sz w:val="20"/>
        </w:rPr>
        <w:t>Determination Process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Role of the talent and compensation committee</w:t>
      </w:r>
    </w:p>
    <w:p>
      <w:pPr>
        <w:pStyle w:val="TextBody"/>
        <w:bidi w:val="0"/>
        <w:spacing w:before="240" w:after="283"/>
        <w:jc w:val="left"/>
        <w:rPr>
          <w:rFonts w:ascii="Times New Roman" w:hAnsi="Times New Roman"/>
          <w:sz w:val="20"/>
        </w:rPr>
      </w:pPr>
      <w:r>
        <w:rPr>
          <w:rFonts w:ascii="Arial" w:hAnsi="Arial"/>
          <w:color w:val="000000"/>
          <w:sz w:val="20"/>
        </w:rPr>
        <w:t>Our talent and compensation committee is responsible for the executive compensation programs for our executive officers and regularly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and evaluating the competitiveness of our executive compensation program, which may include reviewing and approving any peer group for comparison purposes.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talent and compensation committee typically reviews and considers the recommendations of our CEO regarding the compensation of our named executive officers other than himself, any recommendations provided by other members of management, the talent and compensation committee’s independent compensation consultant, and any other data or factors that the talent and compensation committee deems relevant to its assessment and determinations.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During fiscal year ended December 31, 2023, Mr. McGuire served as the chair of the talent and compensation committee and Mr. Hallal and Dr. Haurwitz served as members of the talent and compensation committee.</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Consideration of Say-on-Pay Results</w:t>
      </w:r>
    </w:p>
    <w:p>
      <w:pPr>
        <w:pStyle w:val="TextBody"/>
        <w:bidi w:val="0"/>
        <w:spacing w:before="240" w:after="283"/>
        <w:jc w:val="both"/>
        <w:rPr>
          <w:rFonts w:ascii="Arial" w:hAnsi="Arial"/>
          <w:color w:val="000000"/>
          <w:sz w:val="20"/>
        </w:rPr>
      </w:pPr>
      <w:r>
        <w:rPr>
          <w:rFonts w:ascii="Arial" w:hAnsi="Arial"/>
          <w:color w:val="000000"/>
          <w:sz w:val="20"/>
        </w:rPr>
        <w:t>At our 2022 Annual Meeting of Stockholders, our stockholders approved, on a non-binding advisory vote basis, submission of the compensation of our named executive officers to a non-binding advisory vote of our stockholders (commonly referred to as a “say-on-pay” vote) every three years. Our first say-on-pay vote was conducted at our 2023 Annual Meeting of Stockholders and our stockholders approved, on a non-binding advisory basis, the compensation of our named executive officers, as disclosed in our 2023 proxy statement. The proposal was supported by approximately 83% of the total votes cast. Many of the decisions relating to designing and setting the executive compensation for 2023 occurred prior to the vote at such annual meeting. Notwithstanding, our talent and compensation committee took the say-on-pay voting results into account and we continue to emphasize our performance-based pay philosophy in our executive officer compensation program and our overall compensation philosophy. The next say-on-pay vote is scheduled to occur at the 2026 Annual Meeting of Stockholders.</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Role of Chief Executive Officer and Management</w:t>
      </w:r>
    </w:p>
    <w:p>
      <w:pPr>
        <w:pStyle w:val="TextBody"/>
        <w:bidi w:val="0"/>
        <w:spacing w:before="240" w:after="283"/>
        <w:jc w:val="left"/>
        <w:rPr>
          <w:rFonts w:ascii="Arial" w:hAnsi="Arial"/>
          <w:color w:val="000000"/>
          <w:sz w:val="20"/>
        </w:rPr>
      </w:pPr>
      <w:r>
        <w:rPr>
          <w:rFonts w:ascii="Arial" w:hAnsi="Arial"/>
          <w:color w:val="000000"/>
          <w:sz w:val="20"/>
        </w:rPr>
        <w:t>Our CEO provides the talent and compensation committee with input and recommendations related to the compensation of our other named executive officers. Our CEO attends committee meetings and is involved in the determination of compensation for the respective named executive officers who report to him, except that the CEO does not make recommendations as to his own compensation. Our CEO makes recommendations to our talent and compensation committee regarding short-term and long-term compensation for all executive officers (other than himself) based on our results and such other factors as he deems relevant. The CEO does not participate in, and is not present during, any deliberations or determinations of the talent and compensation committee or the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pStyle w:val="TextBody"/>
        <w:bidi w:val="0"/>
        <w:spacing w:before="240" w:after="283"/>
        <w:jc w:val="left"/>
        <w:rPr>
          <w:rFonts w:ascii="Arial" w:hAnsi="Arial"/>
          <w:i/>
          <w:color w:val="000000"/>
          <w:sz w:val="20"/>
        </w:rPr>
      </w:pPr>
      <w:r>
        <w:rPr>
          <w:rFonts w:ascii="Arial" w:hAnsi="Arial"/>
          <w:i/>
          <w:color w:val="000000"/>
          <w:sz w:val="20"/>
        </w:rPr>
        <w:t>Use of Compensation Consultant</w:t>
      </w:r>
    </w:p>
    <w:p>
      <w:pPr>
        <w:pStyle w:val="TextBody"/>
        <w:bidi w:val="0"/>
        <w:spacing w:before="240" w:after="283"/>
        <w:jc w:val="left"/>
        <w:rPr>
          <w:rFonts w:ascii="Arial" w:hAnsi="Arial"/>
          <w:color w:val="000000"/>
          <w:sz w:val="20"/>
        </w:rPr>
      </w:pPr>
      <w:r>
        <w:rPr>
          <w:rFonts w:ascii="Arial" w:hAnsi="Arial"/>
          <w:color w:val="000000"/>
          <w:sz w:val="20"/>
        </w:rPr>
        <w:t>Our talent and compensation committee is authorized to retain the services of one or more executive compensation advisors, as it sees fit, in connection with the establishment of our compensation programs and related policies. In 2023, our talent and compensation committee continued to retain Aon, to provide it with information, recommendations and other advice relating to executive compensation on an ongoing basis. Aon serves at the discretion of our talent and compensation committee. As part of its engagement, Aon assists our talent and compensation committee in developing a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pStyle w:val="TextBody"/>
        <w:bidi w:val="0"/>
        <w:spacing w:before="240" w:after="283"/>
        <w:jc w:val="left"/>
        <w:rPr>
          <w:rFonts w:ascii="Arial" w:hAnsi="Arial"/>
          <w:color w:val="000000"/>
          <w:sz w:val="20"/>
        </w:rPr>
      </w:pPr>
      <w:r>
        <w:rPr>
          <w:rFonts w:ascii="Arial" w:hAnsi="Arial"/>
          <w:color w:val="000000"/>
          <w:sz w:val="20"/>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w:t>
      </w:r>
    </w:p>
    <w:p>
      <w:pPr>
        <w:pStyle w:val="TextBody"/>
        <w:bidi w:val="0"/>
        <w:spacing w:before="240" w:after="283"/>
        <w:jc w:val="left"/>
        <w:rPr>
          <w:rFonts w:ascii="Arial" w:hAnsi="Arial"/>
          <w:i/>
          <w:color w:val="000000"/>
          <w:sz w:val="20"/>
        </w:rPr>
      </w:pPr>
      <w:r>
        <w:rPr>
          <w:rFonts w:ascii="Arial" w:hAnsi="Arial"/>
          <w:i/>
          <w:color w:val="000000"/>
          <w:sz w:val="20"/>
        </w:rPr>
        <w:t>Peer Group</w:t>
      </w:r>
    </w:p>
    <w:p>
      <w:pPr>
        <w:pStyle w:val="TextBody"/>
        <w:bidi w:val="0"/>
        <w:spacing w:before="240" w:after="283"/>
        <w:jc w:val="left"/>
        <w:rPr>
          <w:rFonts w:ascii="Arial" w:hAnsi="Arial"/>
          <w:color w:val="000000"/>
          <w:sz w:val="20"/>
        </w:rPr>
      </w:pPr>
      <w:r>
        <w:rPr>
          <w:rFonts w:ascii="Arial" w:hAnsi="Arial"/>
          <w:color w:val="000000"/>
          <w:sz w:val="20"/>
        </w:rPr>
        <w:t>We use a peer group to provide a broad perspective on competitive pay levels and practices.</w:t>
      </w:r>
    </w:p>
    <w:p>
      <w:pPr>
        <w:pStyle w:val="TextBody"/>
        <w:bidi w:val="0"/>
        <w:spacing w:before="240" w:after="283"/>
        <w:jc w:val="left"/>
        <w:rPr>
          <w:rFonts w:ascii="Arial" w:hAnsi="Arial"/>
          <w:color w:val="000000"/>
          <w:sz w:val="20"/>
        </w:rPr>
      </w:pPr>
      <w:r>
        <w:rPr>
          <w:rFonts w:ascii="Arial" w:hAnsi="Arial"/>
          <w:color w:val="000000"/>
          <w:sz w:val="20"/>
        </w:rPr>
        <w:t>For our 2023 peer group, the talent and compensation committee, with assistance from Aon, reviewed companies with respect to sector, stage of development and market capitalization. In guiding the talent and compensation committee in identifying the companies that comprised the 2023 peer group, the talent and compensation committee considered the following key factors and parameters: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Sector – pharmaceutical, biotechnology and life science companies, as well as healthcare equipment and services companies, generally with a primary focus on medical device/technology and a secondary focus on early commercial biotechnology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Revenues – generally, less than $200 million in revenue.</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Market Capitalization – $150 million to $2.3 billion market capitalization range and companies that have completed their initial public offering in the last three years.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Size – generally, companies with between 75 and 600 employees.</w:t>
      </w:r>
    </w:p>
    <w:p>
      <w:pPr>
        <w:pStyle w:val="TextBody"/>
        <w:bidi w:val="0"/>
        <w:spacing w:before="240" w:after="240"/>
        <w:jc w:val="left"/>
        <w:rPr>
          <w:rFonts w:ascii="Arial" w:hAnsi="Arial"/>
          <w:color w:val="000000"/>
          <w:sz w:val="20"/>
        </w:rPr>
      </w:pPr>
      <w:r>
        <w:rPr>
          <w:rFonts w:ascii="Arial" w:hAnsi="Arial"/>
          <w:color w:val="000000"/>
          <w:sz w:val="20"/>
        </w:rPr>
        <w:t>Based on the above market data, the talent and compensation committee in October 2022 selected the following peer group of 20 companies that informed pay decisions for 2023:</w:t>
      </w:r>
    </w:p>
    <w:tbl>
      <w:tblPr>
        <w:tblW w:w="5632" w:type="dxa"/>
        <w:jc w:val="left"/>
        <w:tblInd w:w="0" w:type="dxa"/>
        <w:tblLayout w:type="fixed"/>
        <w:tblCellMar>
          <w:top w:w="28" w:type="dxa"/>
          <w:left w:w="28" w:type="dxa"/>
          <w:bottom w:w="28" w:type="dxa"/>
          <w:right w:w="28" w:type="dxa"/>
        </w:tblCellMar>
      </w:tblPr>
      <w:tblGrid>
        <w:gridCol w:w="3101"/>
        <w:gridCol w:w="2531"/>
      </w:tblGrid>
      <w:tr>
        <w:trPr/>
        <w:tc>
          <w:tcPr>
            <w:tcW w:w="310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pPr>
            <w:r>
              <w:rPr/>
              <w:t> </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pPr>
            <w:r>
              <w:rPr/>
              <w:t> </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Adaptive</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Times New Roman" w:hAnsi="Times New Roman"/>
                <w:sz w:val="20"/>
              </w:rPr>
            </w:pPr>
            <w:r>
              <w:rPr>
                <w:rFonts w:ascii="Arial" w:hAnsi="Arial"/>
                <w:color w:val="000000"/>
                <w:sz w:val="20"/>
              </w:rPr>
              <w:t>PROCEPT BioRobotics</w:t>
            </w:r>
            <w:r>
              <w:rPr>
                <w:rFonts w:ascii="Arial" w:hAnsi="Arial"/>
                <w:color w:val="000000"/>
                <w:sz w:val="13"/>
              </w:rPr>
              <w:t>(1)</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Times New Roman" w:hAnsi="Times New Roman"/>
                <w:sz w:val="20"/>
              </w:rPr>
            </w:pPr>
            <w:r>
              <w:rPr>
                <w:rFonts w:ascii="Arial" w:hAnsi="Arial"/>
                <w:color w:val="000000"/>
                <w:sz w:val="20"/>
              </w:rPr>
              <w:t>Akoya Biosciences</w:t>
            </w:r>
            <w:r>
              <w:rPr>
                <w:rFonts w:ascii="Arial" w:hAnsi="Arial"/>
                <w:color w:val="000000"/>
                <w:sz w:val="13"/>
              </w:rPr>
              <w:t>(1)</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Quanterix</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Alector</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Rapid Micro Biosystems</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Berkeley Lights</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RAPT Therapeutics</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Butterfly Network</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Rhythm Pharmaceuticals</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Castle Biosciences</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SI-BONE</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Kodiak Sciences</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Silk Road Medical</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Nanostring Technologies</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Times New Roman" w:hAnsi="Times New Roman"/>
                <w:sz w:val="20"/>
              </w:rPr>
            </w:pPr>
            <w:r>
              <w:rPr>
                <w:rFonts w:ascii="Arial" w:hAnsi="Arial"/>
                <w:color w:val="000000"/>
                <w:sz w:val="20"/>
              </w:rPr>
              <w:t>SomaLogic</w:t>
            </w:r>
            <w:r>
              <w:rPr>
                <w:rFonts w:ascii="Arial" w:hAnsi="Arial"/>
                <w:color w:val="000000"/>
                <w:sz w:val="13"/>
              </w:rPr>
              <w:t>(1)</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Pacific Biosciences of California</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Twist Bioscience</w:t>
            </w:r>
          </w:p>
        </w:tc>
      </w:tr>
      <w:tr>
        <w:trPr/>
        <w:tc>
          <w:tcPr>
            <w:tcW w:w="310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Personalis</w:t>
            </w:r>
          </w:p>
        </w:tc>
        <w:tc>
          <w:tcPr>
            <w:tcW w:w="2531" w:type="dxa"/>
            <w:tcBorders/>
            <w:tcMar>
              <w:top w:w="0" w:type="dxa"/>
              <w:left w:w="0" w:type="dxa"/>
              <w:bottom w:w="0" w:type="dxa"/>
              <w:righ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Veracyte</w:t>
            </w:r>
          </w:p>
        </w:tc>
      </w:tr>
    </w:tbl>
    <w:p>
      <w:pPr>
        <w:pStyle w:val="TextBody"/>
        <w:bidi w:val="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Addition to our peer group for 2023.</w:t>
      </w:r>
    </w:p>
    <w:p>
      <w:pPr>
        <w:pStyle w:val="TextBody"/>
        <w:bidi w:val="0"/>
        <w:spacing w:before="240" w:after="283"/>
        <w:jc w:val="left"/>
        <w:rPr>
          <w:rFonts w:ascii="Arial" w:hAnsi="Arial"/>
          <w:color w:val="000000"/>
          <w:sz w:val="20"/>
        </w:rPr>
      </w:pPr>
      <w:r>
        <w:rPr>
          <w:rFonts w:ascii="Arial" w:hAnsi="Arial"/>
          <w:color w:val="000000"/>
          <w:sz w:val="20"/>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of the peer group or companies against which we compete for talent.</w:t>
      </w:r>
    </w:p>
    <w:p>
      <w:pPr>
        <w:pStyle w:val="TextBody"/>
        <w:bidi w:val="0"/>
        <w:spacing w:before="240" w:after="283"/>
        <w:jc w:val="left"/>
        <w:rPr>
          <w:rFonts w:ascii="Arial" w:hAnsi="Arial"/>
          <w:color w:val="000000"/>
          <w:sz w:val="20"/>
        </w:rPr>
      </w:pPr>
      <w:r>
        <w:rPr>
          <w:rFonts w:ascii="Arial" w:hAnsi="Arial"/>
          <w:color w:val="000000"/>
          <w:sz w:val="20"/>
        </w:rPr>
        <w:t>The talent and compensation committee conducts an annual review of the peer group to ensure that the underlying criteria for peer selection remains appropriate, ensuring that we consider companies that have profiles similar to us, identifying new companies that may be appropriate for inclusion (as indicated above) and removing companies that have been acquired in the interim or that no longer satisfy the key metrics and parameters (Axonics, Quince Therapeutics (formerly Cortexyme), and Shockwave Medical).</w:t>
      </w:r>
    </w:p>
    <w:p>
      <w:pPr>
        <w:pStyle w:val="TextBody"/>
        <w:bidi w:val="0"/>
        <w:spacing w:before="240" w:after="283"/>
        <w:jc w:val="left"/>
        <w:rPr>
          <w:rFonts w:ascii="Times New Roman" w:hAnsi="Times New Roman"/>
          <w:sz w:val="20"/>
        </w:rPr>
      </w:pPr>
      <w:r>
        <w:rPr>
          <w:rFonts w:ascii="Arial" w:hAnsi="Arial"/>
          <w:color w:val="000000"/>
          <w:sz w:val="20"/>
        </w:rPr>
        <w:t>In November 2023, the talent and compensation committee approved, with assistance from Aon, an updated peer group to inform 2024 compensation decisions, and also referenced this peer group in making adjustments to David Horn’s compensation in connection with his promotion in November 2023 to add the role of President to his continuing role as our Chief Financial Officer</w:t>
      </w:r>
      <w:r>
        <w:rPr>
          <w:rFonts w:ascii="Arial" w:hAnsi="Arial"/>
          <w:color w:val="000000"/>
          <w:sz w:val="13"/>
        </w:rPr>
        <w:t>(1)</w:t>
      </w:r>
      <w:r>
        <w:rPr>
          <w:rFonts w:ascii="Arial" w:hAnsi="Arial"/>
          <w:color w:val="000000"/>
          <w:sz w:val="20"/>
        </w:rPr>
        <w:t>. This updated peer group was comprised of the same companies as the 2023 peer group noted above, except that, in order to align with our then current company profile and parameters for our peer group, Bionano Genomics, Codexis, Quantum-Si and Standard Bio Tools were added, while Berkeley Lights, Pacific Biosciences of California, PROCEPT BioRobotics and Rhythm Pharmaceuticals were removed.</w:t>
      </w:r>
    </w:p>
    <w:p>
      <w:pPr>
        <w:pStyle w:val="TextBody"/>
        <w:bidi w:val="0"/>
        <w:spacing w:before="240" w:after="283"/>
        <w:jc w:val="left"/>
        <w:rPr>
          <w:rFonts w:ascii="Times New Roman" w:hAnsi="Times New Roman"/>
          <w:sz w:val="20"/>
        </w:rPr>
      </w:pPr>
      <w:r>
        <w:rPr>
          <w:rFonts w:ascii="Arial" w:hAnsi="Arial"/>
          <w:color w:val="000000"/>
          <w:sz w:val="13"/>
        </w:rPr>
        <w:t xml:space="preserve">(1) </w:t>
      </w:r>
      <w:r>
        <w:rPr>
          <w:rFonts w:ascii="Arial" w:hAnsi="Arial"/>
          <w:color w:val="000000"/>
          <w:sz w:val="18"/>
        </w:rPr>
        <w:t>Somalogic was excluded as the then current Chief Financial Officer was serving in an interim capacity.</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As guidelines for our executives, the talent and compensation committee set target cash compensation, when considering salary and bonus potential, after reviewing varying percentiles of compensation paid to executives within our compensation peer group, with generally greater focus on the median. For 2023, the talent and compensation committee focused equity compensation for our executives at the 62.5th percentile of equity compensation paid to executives in our compensation peer group, and also considered company performance and other factors it deemed appropriate to inform its decisions. The talent and compensation committee believes that our emphasis on equity compensation serves to retain our executives and more closely align their interests with those of our stockholders. The talent and compensation committee also believes that generally referencing the median peer group data in setting salary and bonus compensation and higher percentile peer group data in setting equity compensation for our executives, appropriately structures our executive compensation program to emphasize achievement of our long-term success and long-term value creation for our stockholders. We may deviate from setting actual compensation levels at levels comparable to our peer group companies given that our talent and compensation committee considers other factors that it deems appropriate, including for example our executives’ experience, performance levels, responsibilities, tenure, and existing vested and unvested equity holdings.</w:t>
      </w:r>
    </w:p>
    <w:p>
      <w:pPr>
        <w:pStyle w:val="TextBody"/>
        <w:bidi w:val="0"/>
        <w:spacing w:before="240" w:after="240"/>
        <w:jc w:val="left"/>
        <w:rPr>
          <w:rFonts w:ascii="Arial" w:hAnsi="Arial"/>
          <w:i/>
          <w:color w:val="000000"/>
          <w:sz w:val="20"/>
        </w:rPr>
      </w:pPr>
      <w:r>
        <w:rPr>
          <w:rFonts w:ascii="Arial" w:hAnsi="Arial"/>
          <w:i/>
          <w:color w:val="000000"/>
          <w:sz w:val="20"/>
        </w:rPr>
        <w:t>Compensation Governance Best Practices</w:t>
      </w:r>
    </w:p>
    <w:p>
      <w:pPr>
        <w:pStyle w:val="TextBody"/>
        <w:bidi w:val="0"/>
        <w:spacing w:before="240" w:after="240"/>
        <w:jc w:val="center"/>
        <w:rPr/>
      </w:pPr>
      <w:r>
        <w:rPr/>
        <w:drawing>
          <wp:inline distT="0" distB="0" distL="0" distR="0">
            <wp:extent cx="5829300" cy="2447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29300" cy="2447925"/>
                    </a:xfrm>
                    <a:prstGeom prst="rect">
                      <a:avLst/>
                    </a:prstGeom>
                  </pic:spPr>
                </pic:pic>
              </a:graphicData>
            </a:graphic>
          </wp:inline>
        </w:drawing>
      </w:r>
      <w:r>
        <w:rPr/>
        <w:t> </w:t>
      </w:r>
    </w:p>
    <w:p>
      <w:pPr>
        <w:pStyle w:val="TextBody"/>
        <w:bidi w:val="0"/>
        <w:spacing w:before="240" w:after="283"/>
        <w:jc w:val="left"/>
        <w:rPr>
          <w:rFonts w:ascii="Arial" w:hAnsi="Arial"/>
          <w:color w:val="000000"/>
          <w:sz w:val="20"/>
        </w:rPr>
      </w:pPr>
      <w:r>
        <w:rPr>
          <w:rFonts w:ascii="Arial" w:hAnsi="Arial"/>
          <w:color w:val="000000"/>
          <w:sz w:val="20"/>
        </w:rPr>
        <w:t>The talent and compensation committee regularly reviews best practices in executive compensation and uses the following guidelines to design our compensation programs: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0"/>
        </w:rPr>
        <w:t>Maintain independent compensation committee and engage an independent compensation consultant</w:t>
      </w:r>
      <w:r>
        <w:rPr>
          <w:rFonts w:ascii="Arial" w:hAnsi="Arial"/>
          <w:color w:val="000000"/>
          <w:sz w:val="20"/>
        </w:rPr>
        <w:t xml:space="preserve">: </w:t>
      </w:r>
      <w:r>
        <w:rPr>
          <w:rFonts w:ascii="Roboto;sans-serif" w:hAnsi="Roboto;sans-serif"/>
          <w:color w:val="222222"/>
          <w:sz w:val="19"/>
        </w:rPr>
        <w:t>It is important for our stockholders to have confidence that individuals serving on our talent and compensation committee are independent directors and that independent directors do not have a relationship with the listed Company that would impair their independence.</w:t>
      </w:r>
      <w:r>
        <w:rPr>
          <w:color w:val="000000"/>
        </w:rPr>
        <w:t xml:space="preserve"> </w:t>
      </w:r>
      <w:r>
        <w:rPr>
          <w:rFonts w:ascii="Arial" w:hAnsi="Arial"/>
          <w:color w:val="000000"/>
          <w:sz w:val="20"/>
        </w:rPr>
        <w:t>The independence of each member of our talent and compensation committee is reviewed annually. Each member of our talent and compensation committee has been deemed to be independent in accordance with Nasdaq listing standards. Additionally, our talent and compensation committee engages its own independent compensation consultant, which provides the talent and compensation committee with valuable data regarding market compensation trends and provides guidance to the talent and compensation committee about executive compensation programs.</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Risk assessment</w:t>
      </w:r>
      <w:r>
        <w:rPr>
          <w:rFonts w:ascii="Arial" w:hAnsi="Arial"/>
          <w:color w:val="000000"/>
          <w:sz w:val="20"/>
        </w:rPr>
        <w:t>: We believe the structure of our executive compensation program motivates our executives to make thoughtful, appropriate decisions with measured risks balanced by appropriate rewards for the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Policy against hedging and pledging</w:t>
      </w:r>
      <w:r>
        <w:rPr>
          <w:rFonts w:ascii="Arial" w:hAnsi="Arial"/>
          <w:color w:val="000000"/>
          <w:sz w:val="20"/>
        </w:rPr>
        <w:t xml:space="preserve">: Our insider trading policy prohibits our executives from engaging in “hedging” or “pledging” transactions with respect to our common stock. The Company annually distributes our insider trading policy for review and acknowledgment by our executive officers and other personnel.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Clawback policy: </w:t>
      </w:r>
      <w:r>
        <w:rPr>
          <w:rFonts w:ascii="Arial" w:hAnsi="Arial"/>
          <w:color w:val="000000"/>
          <w:sz w:val="20"/>
        </w:rPr>
        <w:t>We maintain a Compensation Recovery Policy, to which each of our named executive officers is subject. The Policy is intended to further the Company’s pay-for-performance philosophy and to comply with applicable laws by providing rules relating to the reasonably prompt recovery of certain compensation received by covered executives in the event of an accounting restatement.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No guaranteed compensation:</w:t>
      </w:r>
      <w:r>
        <w:rPr>
          <w:color w:val="000000"/>
        </w:rPr>
        <w:t xml:space="preserve"> </w:t>
      </w:r>
      <w:r>
        <w:rPr>
          <w:rFonts w:ascii="Arial" w:hAnsi="Arial"/>
          <w:color w:val="000000"/>
          <w:sz w:val="20"/>
        </w:rPr>
        <w:t>Although we have signed employment agreements with each of our named executive officers, all these agreements provide for “at will” employment, and none of these agreements provides any guarantees relating to salary increases or the amounts of incentive pay or equity awards.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Reasonable severance and change in control benefits</w:t>
      </w:r>
      <w:r>
        <w:rPr>
          <w:rFonts w:ascii="Arial" w:hAnsi="Arial"/>
          <w:color w:val="000000"/>
          <w:sz w:val="20"/>
        </w:rPr>
        <w:t xml:space="preserve">: The change in control and severance agreement with Dr. Farokhzad and the key executive change in control and severance plan in which our other named executive officers participate do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these named executive officers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 In addition, the performance-based options granted to our named executive officers in 2023 do not waive performance-based requirements upon a change in control, and instead performance against the stock price goal is measured against the change in control price and the options vest if the applicable goal is met.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No options granted below fair market value: </w:t>
      </w:r>
      <w:r>
        <w:rPr>
          <w:rFonts w:ascii="Arial" w:hAnsi="Arial"/>
          <w:color w:val="000000"/>
          <w:sz w:val="20"/>
        </w:rPr>
        <w:t>Our board and talent and compensation committee are responsible for reviewing, approving, and administering the Company’s incentive compensation plans and equity compensation plans. In its administration of the plans, the board and talent and compensation committee approve grants of stock options with per-share exercise prices that are at least 100% of the fair market value of the underlying shares on the date of grant.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No excessive perquisites</w:t>
      </w:r>
      <w:r>
        <w:rPr>
          <w:rFonts w:ascii="Arial" w:hAnsi="Arial"/>
          <w:color w:val="000000"/>
          <w:sz w:val="20"/>
        </w:rPr>
        <w:t>: Personal benefits currently are not a significant component of our executive compensation program.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bookmarkStart w:id="41" w:name="key_components_compensation_program"/>
      <w:bookmarkEnd w:id="41"/>
      <w:r>
        <w:rPr>
          <w:rFonts w:ascii="Arial" w:hAnsi="Arial"/>
          <w:b/>
          <w:color w:val="000000"/>
          <w:sz w:val="20"/>
        </w:rPr>
        <w:t>IV. Key Components of our Compensation Program</w:t>
      </w:r>
    </w:p>
    <w:p>
      <w:pPr>
        <w:pStyle w:val="TextBody"/>
        <w:bidi w:val="0"/>
        <w:spacing w:before="240" w:after="283"/>
        <w:jc w:val="left"/>
        <w:rPr>
          <w:rFonts w:ascii="Arial" w:hAnsi="Arial"/>
          <w:color w:val="000000"/>
          <w:sz w:val="20"/>
        </w:rPr>
      </w:pPr>
      <w:r>
        <w:rPr>
          <w:rFonts w:ascii="Arial" w:hAnsi="Arial"/>
          <w:color w:val="000000"/>
          <w:sz w:val="20"/>
        </w:rPr>
        <w:t>The talent and compensation committee has developed an executive compensation program that consists of three main components. The relative mix of these components is weighted more on incentives, particularly long-term incentives, rather than fixed compensation. The focus on incentive compensation ensures that the interests of our executives are aligned with those of our stockholders. Our compensation program is made up of the following three key compensation components: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5"/>
        <w:gridCol w:w="1486"/>
        <w:gridCol w:w="5504"/>
      </w:tblGrid>
      <w:tr>
        <w:trPr/>
        <w:tc>
          <w:tcPr>
            <w:tcW w:w="3215" w:type="dxa"/>
            <w:tcBorders/>
            <w:shd w:fill="FFFFFF" w:val="clear"/>
            <w:vAlign w:val="center"/>
          </w:tcPr>
          <w:p>
            <w:pPr>
              <w:pStyle w:val="TableContents"/>
              <w:bidi w:val="0"/>
              <w:spacing w:before="0" w:after="283"/>
              <w:jc w:val="left"/>
              <w:rPr>
                <w:sz w:val="4"/>
                <w:szCs w:val="4"/>
              </w:rPr>
            </w:pPr>
            <w:r>
              <w:rPr>
                <w:sz w:val="4"/>
                <w:szCs w:val="4"/>
              </w:rPr>
            </w:r>
          </w:p>
        </w:tc>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5504" w:type="dxa"/>
            <w:tcBorders/>
            <w:shd w:fill="FFFFFF" w:val="clear"/>
            <w:vAlign w:val="center"/>
          </w:tcPr>
          <w:p>
            <w:pPr>
              <w:pStyle w:val="TableContents"/>
              <w:bidi w:val="0"/>
              <w:spacing w:before="0" w:after="283"/>
              <w:jc w:val="left"/>
              <w:rPr>
                <w:sz w:val="4"/>
                <w:szCs w:val="4"/>
              </w:rPr>
            </w:pPr>
            <w:r>
              <w:rPr>
                <w:sz w:val="4"/>
                <w:szCs w:val="4"/>
              </w:rPr>
            </w:r>
          </w:p>
        </w:tc>
      </w:tr>
      <w:tr>
        <w:trPr/>
        <w:tc>
          <w:tcPr>
            <w:tcW w:w="321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33" w:after="30"/>
              <w:ind w:left="0" w:right="160" w:hanging="0"/>
              <w:jc w:val="center"/>
              <w:rPr>
                <w:rFonts w:ascii="Arial" w:hAnsi="Arial"/>
                <w:b/>
                <w:color w:val="000000"/>
                <w:sz w:val="16"/>
              </w:rPr>
            </w:pPr>
            <w:r>
              <w:rPr>
                <w:rFonts w:ascii="Arial" w:hAnsi="Arial"/>
                <w:b/>
                <w:color w:val="000000"/>
                <w:sz w:val="16"/>
              </w:rPr>
              <w:t>Element</w:t>
            </w:r>
          </w:p>
        </w:tc>
        <w:tc>
          <w:tcPr>
            <w:tcW w:w="14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33" w:after="30"/>
              <w:ind w:left="0" w:right="160" w:hanging="0"/>
              <w:jc w:val="center"/>
              <w:rPr>
                <w:rFonts w:ascii="Arial" w:hAnsi="Arial"/>
                <w:b/>
                <w:color w:val="000000"/>
                <w:sz w:val="16"/>
              </w:rPr>
            </w:pPr>
            <w:r>
              <w:rPr>
                <w:rFonts w:ascii="Arial" w:hAnsi="Arial"/>
                <w:b/>
                <w:color w:val="000000"/>
                <w:sz w:val="16"/>
              </w:rPr>
              <w:t>Performance Period</w:t>
            </w:r>
          </w:p>
        </w:tc>
        <w:tc>
          <w:tcPr>
            <w:tcW w:w="550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33" w:after="30"/>
              <w:ind w:left="0" w:right="160" w:hanging="0"/>
              <w:jc w:val="center"/>
              <w:rPr>
                <w:rFonts w:ascii="Arial" w:hAnsi="Arial"/>
                <w:b/>
                <w:color w:val="000000"/>
                <w:sz w:val="16"/>
              </w:rPr>
            </w:pPr>
            <w:r>
              <w:rPr>
                <w:rFonts w:ascii="Arial" w:hAnsi="Arial"/>
                <w:b/>
                <w:color w:val="000000"/>
                <w:sz w:val="16"/>
              </w:rPr>
              <w:t>Objective</w:t>
            </w:r>
          </w:p>
        </w:tc>
      </w:tr>
      <w:tr>
        <w:trPr/>
        <w:tc>
          <w:tcPr>
            <w:tcW w:w="3215"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Base Salary</w:t>
            </w:r>
          </w:p>
        </w:tc>
        <w:tc>
          <w:tcPr>
            <w:tcW w:w="148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160" w:hanging="0"/>
              <w:jc w:val="center"/>
              <w:rPr>
                <w:rFonts w:ascii="Arial" w:hAnsi="Arial"/>
                <w:color w:val="000000"/>
                <w:sz w:val="20"/>
              </w:rPr>
            </w:pPr>
            <w:r>
              <w:rPr>
                <w:rFonts w:ascii="Arial" w:hAnsi="Arial"/>
                <w:color w:val="000000"/>
                <w:sz w:val="20"/>
              </w:rPr>
              <w:t>Annual</w:t>
            </w:r>
          </w:p>
        </w:tc>
        <w:tc>
          <w:tcPr>
            <w:tcW w:w="55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Attract, retain, and reward top talent; reflects a named executive officer’s responsibilities, performance, and relevant market data.</w:t>
            </w:r>
          </w:p>
        </w:tc>
      </w:tr>
      <w:tr>
        <w:trPr/>
        <w:tc>
          <w:tcPr>
            <w:tcW w:w="3215" w:type="dxa"/>
            <w:tcBorders>
              <w:left w:val="single" w:sz="4" w:space="0" w:color="000000"/>
              <w:bottom w:val="single" w:sz="4" w:space="0" w:color="000000"/>
              <w:right w:val="single" w:sz="4" w:space="0" w:color="000000"/>
            </w:tcBorders>
            <w:tcMar>
              <w:top w:w="0" w:type="dxa"/>
            </w:tcMar>
            <w:vAlign w:val="center"/>
          </w:tcPr>
          <w:p>
            <w:pPr>
              <w:pStyle w:val="TableContents"/>
              <w:bidi w:val="0"/>
              <w:ind w:left="0" w:right="160" w:hanging="0"/>
              <w:jc w:val="left"/>
              <w:rPr>
                <w:rFonts w:ascii="Arial" w:hAnsi="Arial"/>
                <w:color w:val="000000"/>
                <w:sz w:val="20"/>
              </w:rPr>
            </w:pPr>
            <w:r>
              <w:rPr>
                <w:rFonts w:ascii="Arial" w:hAnsi="Arial"/>
                <w:color w:val="000000"/>
                <w:sz w:val="20"/>
              </w:rPr>
              <w:t>Annual Cash</w:t>
            </w:r>
          </w:p>
          <w:p>
            <w:pPr>
              <w:pStyle w:val="TableContents"/>
              <w:bidi w:val="0"/>
              <w:spacing w:before="0" w:after="283"/>
              <w:ind w:left="0" w:right="160" w:hanging="0"/>
              <w:jc w:val="left"/>
              <w:rPr>
                <w:rFonts w:ascii="Arial" w:hAnsi="Arial"/>
                <w:color w:val="000000"/>
                <w:sz w:val="20"/>
              </w:rPr>
            </w:pPr>
            <w:r>
              <w:rPr>
                <w:rFonts w:ascii="Arial" w:hAnsi="Arial"/>
                <w:color w:val="000000"/>
                <w:sz w:val="20"/>
              </w:rPr>
              <w:t>Incentives</w:t>
            </w:r>
          </w:p>
        </w:tc>
        <w:tc>
          <w:tcPr>
            <w:tcW w:w="14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160" w:hanging="0"/>
              <w:jc w:val="center"/>
              <w:rPr>
                <w:rFonts w:ascii="Arial" w:hAnsi="Arial"/>
                <w:color w:val="000000"/>
                <w:sz w:val="20"/>
              </w:rPr>
            </w:pPr>
            <w:r>
              <w:rPr>
                <w:rFonts w:ascii="Arial" w:hAnsi="Arial"/>
                <w:color w:val="000000"/>
                <w:sz w:val="20"/>
              </w:rPr>
              <w:t>Annual</w:t>
            </w:r>
          </w:p>
        </w:tc>
        <w:tc>
          <w:tcPr>
            <w:tcW w:w="5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Incentivize achievement of annual Company goals.</w:t>
            </w:r>
          </w:p>
        </w:tc>
      </w:tr>
      <w:tr>
        <w:trPr/>
        <w:tc>
          <w:tcPr>
            <w:tcW w:w="3215"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ind w:left="0" w:right="160" w:hanging="0"/>
              <w:jc w:val="left"/>
              <w:rPr>
                <w:rFonts w:ascii="Arial" w:hAnsi="Arial"/>
                <w:color w:val="000000"/>
                <w:sz w:val="20"/>
              </w:rPr>
            </w:pPr>
            <w:r>
              <w:rPr>
                <w:rFonts w:ascii="Arial" w:hAnsi="Arial"/>
                <w:color w:val="000000"/>
                <w:sz w:val="20"/>
              </w:rPr>
              <w:t>Long-Term Equity Awards (Consisting of a Mix of Options and RSUs)</w:t>
            </w:r>
          </w:p>
        </w:tc>
        <w:tc>
          <w:tcPr>
            <w:tcW w:w="148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160" w:hanging="0"/>
              <w:jc w:val="center"/>
              <w:rPr>
                <w:rFonts w:ascii="Arial" w:hAnsi="Arial"/>
                <w:color w:val="000000"/>
                <w:sz w:val="20"/>
              </w:rPr>
            </w:pPr>
            <w:r>
              <w:rPr>
                <w:rFonts w:ascii="Arial" w:hAnsi="Arial"/>
                <w:color w:val="000000"/>
                <w:sz w:val="20"/>
              </w:rPr>
              <w:t>Long-Term</w:t>
            </w:r>
          </w:p>
        </w:tc>
        <w:tc>
          <w:tcPr>
            <w:tcW w:w="5504" w:type="dxa"/>
            <w:tcBorders>
              <w:bottom w:val="single" w:sz="4" w:space="0" w:color="000000"/>
              <w:right w:val="single" w:sz="4" w:space="0" w:color="000000"/>
            </w:tcBorders>
            <w:shd w:fill="CFF0FC" w:val="clear"/>
            <w:tcMar>
              <w:top w:w="0" w:type="dxa"/>
              <w:left w:w="0" w:type="dxa"/>
            </w:tcMar>
            <w:vAlign w:val="center"/>
          </w:tcPr>
          <w:p>
            <w:pPr>
              <w:pStyle w:val="TableContents"/>
              <w:bidi w:val="0"/>
              <w:jc w:val="left"/>
              <w:rPr>
                <w:rFonts w:ascii="Arial" w:hAnsi="Arial"/>
                <w:color w:val="000000"/>
                <w:sz w:val="20"/>
              </w:rPr>
            </w:pPr>
            <w:r>
              <w:rPr>
                <w:rFonts w:ascii="Arial" w:hAnsi="Arial"/>
                <w:color w:val="000000"/>
                <w:sz w:val="20"/>
              </w:rPr>
              <w:t>Options incentivize the achievement of share price growth and serve as an important retention vehicle.</w:t>
            </w:r>
          </w:p>
          <w:p>
            <w:pPr>
              <w:pStyle w:val="TableContents"/>
              <w:bidi w:val="0"/>
              <w:spacing w:before="0" w:after="283"/>
              <w:jc w:val="left"/>
              <w:rPr>
                <w:rFonts w:ascii="Arial" w:hAnsi="Arial"/>
                <w:color w:val="000000"/>
                <w:sz w:val="20"/>
              </w:rPr>
            </w:pPr>
            <w:r>
              <w:rPr>
                <w:rFonts w:ascii="Arial" w:hAnsi="Arial"/>
                <w:color w:val="000000"/>
                <w:sz w:val="20"/>
              </w:rPr>
              <w:t>RSUs closely align the interests of management and stockholders and serves as an important retention vehicle.</w:t>
            </w:r>
          </w:p>
        </w:tc>
      </w:tr>
    </w:tbl>
    <w:p>
      <w:pPr>
        <w:pStyle w:val="TextBody"/>
        <w:bidi w:val="0"/>
        <w:spacing w:before="240" w:after="283"/>
        <w:jc w:val="left"/>
        <w:rPr>
          <w:rFonts w:ascii="Arial" w:hAnsi="Arial"/>
          <w:color w:val="000000"/>
          <w:sz w:val="20"/>
        </w:rPr>
      </w:pPr>
      <w:r>
        <w:rPr>
          <w:rFonts w:ascii="Arial" w:hAnsi="Arial"/>
          <w:color w:val="000000"/>
          <w:sz w:val="20"/>
        </w:rPr>
        <w:t>We design and implement an executive compensation program that combines both base salary, and short-term and long-term incentive elements based on annual performance objectives and long-term equity interests. The annual cash incentives and long-term equity awards elements of our executive compensation program are intended to align the interests of our executives and our shareholders. The talent and compensation committee has not, however, adopted any formal or informal policies or guidelines for allocating compensation between short-term and long-term compensation, between base salary and non-cash compensation, or among different forms of non-cash compensation.</w:t>
      </w:r>
    </w:p>
    <w:p>
      <w:pPr>
        <w:pStyle w:val="TextBody"/>
        <w:bidi w:val="0"/>
        <w:spacing w:before="240" w:after="283"/>
        <w:jc w:val="left"/>
        <w:rPr>
          <w:rFonts w:ascii="Arial" w:hAnsi="Arial"/>
          <w:i/>
          <w:color w:val="000000"/>
          <w:sz w:val="20"/>
        </w:rPr>
      </w:pPr>
      <w:r>
        <w:rPr>
          <w:rFonts w:ascii="Arial" w:hAnsi="Arial"/>
          <w:i/>
          <w:color w:val="000000"/>
          <w:sz w:val="20"/>
        </w:rPr>
        <w:t>Base Salaries</w:t>
      </w:r>
    </w:p>
    <w:p>
      <w:pPr>
        <w:pStyle w:val="TextBody"/>
        <w:bidi w:val="0"/>
        <w:spacing w:before="240" w:after="283"/>
        <w:jc w:val="left"/>
        <w:rPr>
          <w:rFonts w:ascii="Arial" w:hAnsi="Arial"/>
          <w:color w:val="000000"/>
          <w:sz w:val="20"/>
        </w:rPr>
      </w:pPr>
      <w:r>
        <w:rPr>
          <w:rFonts w:ascii="Arial" w:hAnsi="Arial"/>
          <w:color w:val="000000"/>
          <w:sz w:val="20"/>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of responsibilities, experience, and skill set. These considerations are supplemented by market data provided by the talent and compensation committee’s independent compensation consultant. In February 2023, our talent and compensation committee reviewed these annual base salary amounts and provided merit increases to our named executive officers, effective March 1, 2023.</w:t>
      </w:r>
    </w:p>
    <w:p>
      <w:pPr>
        <w:pStyle w:val="TextBody"/>
        <w:bidi w:val="0"/>
        <w:spacing w:before="240" w:after="240"/>
        <w:jc w:val="left"/>
        <w:rPr>
          <w:rFonts w:ascii="Arial" w:hAnsi="Arial"/>
          <w:color w:val="000000"/>
          <w:sz w:val="20"/>
        </w:rPr>
      </w:pPr>
      <w:r>
        <w:rPr>
          <w:rFonts w:ascii="Arial" w:hAnsi="Arial"/>
          <w:color w:val="000000"/>
          <w:sz w:val="20"/>
        </w:rPr>
        <w:t>Based on these considerations, our named executive officer’s annual base salaries for 2023 were as follows:</w:t>
      </w:r>
    </w:p>
    <w:tbl>
      <w:tblPr>
        <w:tblW w:w="10205" w:type="dxa"/>
        <w:jc w:val="left"/>
        <w:tblInd w:w="0" w:type="dxa"/>
        <w:tblLayout w:type="fixed"/>
        <w:tblCellMar>
          <w:top w:w="28" w:type="dxa"/>
          <w:left w:w="28" w:type="dxa"/>
          <w:bottom w:w="28" w:type="dxa"/>
          <w:right w:w="28" w:type="dxa"/>
        </w:tblCellMar>
      </w:tblPr>
      <w:tblGrid>
        <w:gridCol w:w="2092"/>
        <w:gridCol w:w="146"/>
        <w:gridCol w:w="146"/>
        <w:gridCol w:w="446"/>
        <w:gridCol w:w="1152"/>
        <w:gridCol w:w="286"/>
        <w:gridCol w:w="146"/>
        <w:gridCol w:w="146"/>
        <w:gridCol w:w="845"/>
        <w:gridCol w:w="4607"/>
        <w:gridCol w:w="193"/>
      </w:tblGrid>
      <w:tr>
        <w:trPr/>
        <w:tc>
          <w:tcPr>
            <w:tcW w:w="2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6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92"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9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 Merit Increase</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4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2023 Annual Base Salary (following March 2023 Merit Increases) ($)</w:t>
            </w:r>
            <w:r>
              <w:rPr>
                <w:rFonts w:ascii="Arial" w:hAnsi="Arial"/>
                <w:b/>
                <w:color w:val="000000"/>
                <w:sz w:val="11"/>
              </w:rPr>
              <w:t>(1)</w:t>
            </w:r>
          </w:p>
        </w:tc>
        <w:tc>
          <w:tcPr>
            <w:tcW w:w="19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092"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Omid Farokhzad, M.D.</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600,500</w:t>
            </w:r>
          </w:p>
        </w:tc>
        <w:tc>
          <w:tcPr>
            <w:tcW w:w="19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2092"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Horn</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460,000</w:t>
            </w:r>
          </w:p>
        </w:tc>
        <w:tc>
          <w:tcPr>
            <w:tcW w:w="1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092"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Elona Kogan</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420,000</w:t>
            </w:r>
          </w:p>
        </w:tc>
        <w:tc>
          <w:tcPr>
            <w:tcW w:w="19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Prior to the March 2023 merit increases, the annual base salaries for Dr. Farokhzad, Mr. Horn, and Ms. Kogan were $575,484, $430,830, and $398,250, respectively.</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Subsequently, on November 17, 2023, our Chief Financial Officer, David Horn, was promoted to the additional role of President. Mr. Horn's salary increased from $460,000 to $510,000.</w:t>
      </w:r>
    </w:p>
    <w:tbl>
      <w:tblPr>
        <w:tblW w:w="9552" w:type="dxa"/>
        <w:jc w:val="left"/>
        <w:tblInd w:w="0" w:type="dxa"/>
        <w:tblLayout w:type="fixed"/>
        <w:tblCellMar>
          <w:top w:w="28" w:type="dxa"/>
          <w:left w:w="28" w:type="dxa"/>
          <w:bottom w:w="28" w:type="dxa"/>
          <w:right w:w="28" w:type="dxa"/>
        </w:tblCellMar>
      </w:tblPr>
      <w:tblGrid>
        <w:gridCol w:w="1081"/>
        <w:gridCol w:w="146"/>
        <w:gridCol w:w="146"/>
        <w:gridCol w:w="478"/>
        <w:gridCol w:w="1577"/>
        <w:gridCol w:w="286"/>
        <w:gridCol w:w="146"/>
        <w:gridCol w:w="146"/>
        <w:gridCol w:w="826"/>
        <w:gridCol w:w="4529"/>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5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 Promotion Increase</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3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 Annual Base Salary (following November 2023 Promotion) ($)</w:t>
            </w:r>
          </w:p>
        </w:tc>
        <w:tc>
          <w:tcPr>
            <w:tcW w:w="1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08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Horn</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510,000</w:t>
            </w:r>
          </w:p>
        </w:tc>
        <w:tc>
          <w:tcPr>
            <w:tcW w:w="1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i/>
          <w:color w:val="000000"/>
          <w:sz w:val="20"/>
        </w:rPr>
      </w:pPr>
      <w:r>
        <w:rPr>
          <w:rFonts w:ascii="Arial" w:hAnsi="Arial"/>
          <w:i/>
          <w:color w:val="000000"/>
          <w:sz w:val="20"/>
        </w:rPr>
        <w:t>Annual Cash Incentives</w:t>
      </w:r>
    </w:p>
    <w:p>
      <w:pPr>
        <w:pStyle w:val="TextBody"/>
        <w:bidi w:val="0"/>
        <w:spacing w:before="240" w:after="283"/>
        <w:jc w:val="left"/>
        <w:rPr>
          <w:rFonts w:ascii="Arial" w:hAnsi="Arial"/>
          <w:color w:val="000000"/>
          <w:sz w:val="20"/>
        </w:rPr>
      </w:pPr>
      <w:r>
        <w:rPr>
          <w:rFonts w:ascii="Arial" w:hAnsi="Arial"/>
          <w:color w:val="000000"/>
          <w:sz w:val="20"/>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other employees who significantly impact our corporate results.</w:t>
      </w:r>
    </w:p>
    <w:p>
      <w:pPr>
        <w:pStyle w:val="TextBody"/>
        <w:bidi w:val="0"/>
        <w:spacing w:before="240" w:after="283"/>
        <w:jc w:val="left"/>
        <w:rPr>
          <w:rFonts w:ascii="Arial" w:hAnsi="Arial"/>
          <w:color w:val="000000"/>
          <w:sz w:val="20"/>
        </w:rPr>
      </w:pPr>
      <w:r>
        <w:rPr>
          <w:rFonts w:ascii="Arial" w:hAnsi="Arial"/>
          <w:color w:val="000000"/>
          <w:sz w:val="20"/>
        </w:rPr>
        <w:t>Annual corporate goals are developed and recommended by management to the Board of Directors. The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For each named executive officer, our talent and compensation committee sets the target bonus as a percentage of base salary, each of which is set forth below for 2023:</w:t>
      </w:r>
    </w:p>
    <w:p>
      <w:pPr>
        <w:pStyle w:val="TextBody"/>
        <w:bidi w:val="0"/>
        <w:jc w:val="left"/>
        <w:rPr/>
      </w:pPr>
      <w:r>
        <w:rPr/>
        <w:t> </w:t>
      </w:r>
    </w:p>
    <w:tbl>
      <w:tblPr>
        <w:tblW w:w="6924" w:type="dxa"/>
        <w:jc w:val="left"/>
        <w:tblInd w:w="0" w:type="dxa"/>
        <w:tblLayout w:type="fixed"/>
        <w:tblCellMar>
          <w:top w:w="28" w:type="dxa"/>
          <w:left w:w="28" w:type="dxa"/>
          <w:bottom w:w="28" w:type="dxa"/>
          <w:right w:w="28" w:type="dxa"/>
        </w:tblCellMar>
      </w:tblPr>
      <w:tblGrid>
        <w:gridCol w:w="2101"/>
        <w:gridCol w:w="146"/>
        <w:gridCol w:w="146"/>
        <w:gridCol w:w="1326"/>
        <w:gridCol w:w="2874"/>
        <w:gridCol w:w="3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0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 Target Bonus (As a Percentage of Base Salary)</w:t>
            </w:r>
          </w:p>
        </w:tc>
        <w:tc>
          <w:tcPr>
            <w:tcW w:w="3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10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Omid Farokhzad, M.D.</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3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0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Horn</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3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0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Elona Kogan</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3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On November 17, 2023, the talent and compensation committee changed Mr. Horn’s bonus percentage from 50% to 55% in connection with his promotion to President.</w:t>
      </w:r>
    </w:p>
    <w:p>
      <w:pPr>
        <w:pStyle w:val="TextBody"/>
        <w:bidi w:val="0"/>
        <w:spacing w:before="240" w:after="240"/>
        <w:jc w:val="left"/>
        <w:rPr>
          <w:rFonts w:ascii="Arial" w:hAnsi="Arial"/>
          <w:color w:val="000000"/>
          <w:sz w:val="20"/>
        </w:rPr>
      </w:pPr>
      <w:r>
        <w:rPr>
          <w:rFonts w:ascii="Arial" w:hAnsi="Arial"/>
          <w:color w:val="000000"/>
          <w:sz w:val="20"/>
        </w:rPr>
        <w:t>Each year, our talent and compensation committee sets the goals that will apply to that year’s executive bonuses, and the weightings attributable to such goals. The actual performance-based bonus paid, if any, is calculated by multiplying the executive’s annual base salary and target bonus percentage times percentage achievement of the applicable goals. For 2023, named executive officer bonuses were 100% based on corporate objectives, in order to focus our named executive officers on our most critical and strategic goals for the year, and the corporate objectives were divided into four categories as specified below:</w:t>
      </w:r>
    </w:p>
    <w:tbl>
      <w:tblPr>
        <w:tblW w:w="5350" w:type="dxa"/>
        <w:jc w:val="left"/>
        <w:tblInd w:w="0" w:type="dxa"/>
        <w:tblLayout w:type="fixed"/>
        <w:tblCellMar>
          <w:top w:w="28" w:type="dxa"/>
          <w:left w:w="28" w:type="dxa"/>
          <w:bottom w:w="28" w:type="dxa"/>
          <w:right w:w="28" w:type="dxa"/>
        </w:tblCellMar>
      </w:tblPr>
      <w:tblGrid>
        <w:gridCol w:w="4066"/>
        <w:gridCol w:w="146"/>
        <w:gridCol w:w="146"/>
        <w:gridCol w:w="208"/>
        <w:gridCol w:w="453"/>
        <w:gridCol w:w="33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66"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Corporate Objectives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w:t>
            </w:r>
          </w:p>
        </w:tc>
        <w:tc>
          <w:tcPr>
            <w:tcW w:w="3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406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Financial Objectives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6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Objectives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6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&amp; Product Development Objectives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6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Organizational Objectives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In general, corporate objectives are set at levels that were considered difficult to achieve, but achievable with significant effort, and if achieved at 100% would have exceeded the Company’s operational expectations for the measurement period.</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At the close of the applicable fiscal year, the talent and compensation committee comes to a general, subjective conclusion as to whether the corporate goals were met, and whether there were any other factors that should be considered in determining the amount of bonus earned for the year. The talent and compensation committee may decide to pay bonuses to the named executive officers even if the specified performance goals are not met, in recognition of the Company’s performance throughout the year in meeting other objectives not contemplated at the beginning of the performance period, or alternatively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subjective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important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pStyle w:val="TextBody"/>
        <w:bidi w:val="0"/>
        <w:spacing w:before="240" w:after="283"/>
        <w:jc w:val="left"/>
        <w:rPr>
          <w:rFonts w:ascii="Arial" w:hAnsi="Arial"/>
          <w:color w:val="000000"/>
          <w:sz w:val="20"/>
        </w:rPr>
      </w:pPr>
      <w:r>
        <w:rPr>
          <w:rFonts w:ascii="Arial" w:hAnsi="Arial"/>
          <w:color w:val="000000"/>
          <w:sz w:val="20"/>
        </w:rPr>
        <w:t>On February 6, 2024, the talent and compensation committee evaluated our achievement of the 2023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2023. After taking into consideration performance against corporate objectives as well as successes on other key Company’s projects, the talent and compensation committee approved an 83% achievement level of our 2023 corporate objectives.</w:t>
      </w:r>
    </w:p>
    <w:p>
      <w:pPr>
        <w:pStyle w:val="TextBody"/>
        <w:bidi w:val="0"/>
        <w:spacing w:before="240" w:after="240"/>
        <w:jc w:val="left"/>
        <w:rPr>
          <w:rFonts w:ascii="Arial" w:hAnsi="Arial"/>
          <w:color w:val="000000"/>
          <w:sz w:val="20"/>
        </w:rPr>
      </w:pPr>
      <w:r>
        <w:rPr>
          <w:rFonts w:ascii="Arial" w:hAnsi="Arial"/>
          <w:color w:val="000000"/>
          <w:sz w:val="20"/>
        </w:rPr>
        <w:t>Bonus payments made for 2023 performance were as follows:</w:t>
      </w:r>
    </w:p>
    <w:tbl>
      <w:tblPr>
        <w:tblW w:w="10050" w:type="dxa"/>
        <w:jc w:val="left"/>
        <w:tblInd w:w="0" w:type="dxa"/>
        <w:tblLayout w:type="fixed"/>
        <w:tblCellMar>
          <w:top w:w="28" w:type="dxa"/>
          <w:left w:w="28" w:type="dxa"/>
          <w:bottom w:w="28" w:type="dxa"/>
          <w:right w:w="28" w:type="dxa"/>
        </w:tblCellMar>
      </w:tblPr>
      <w:tblGrid>
        <w:gridCol w:w="2101"/>
        <w:gridCol w:w="146"/>
        <w:gridCol w:w="146"/>
        <w:gridCol w:w="286"/>
        <w:gridCol w:w="1559"/>
        <w:gridCol w:w="146"/>
        <w:gridCol w:w="146"/>
        <w:gridCol w:w="146"/>
        <w:gridCol w:w="293"/>
        <w:gridCol w:w="1597"/>
        <w:gridCol w:w="146"/>
        <w:gridCol w:w="146"/>
        <w:gridCol w:w="146"/>
        <w:gridCol w:w="854"/>
        <w:gridCol w:w="1861"/>
        <w:gridCol w:w="3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01"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 Target Bonus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 Bonus Payout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 Bonus Payout (% of Target)</w:t>
            </w:r>
          </w:p>
        </w:tc>
        <w:tc>
          <w:tcPr>
            <w:tcW w:w="3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10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Omid Farokhzad, M.D.</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3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0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David Horn</w:t>
            </w:r>
            <w:r>
              <w:rPr>
                <w:rFonts w:ascii="Arial" w:hAnsi="Arial"/>
                <w:color w:val="000000"/>
                <w:sz w:val="13"/>
              </w:rPr>
              <w:t>(1)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3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0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Elona Kogan</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3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Mr. Horn's target bonus was prorated based on his promotion in November 2023 using his pre-promotion salary and bonus opportunity for ten months and new salary and bonus opportunity for two months.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Long-Term Incentives</w:t>
      </w:r>
    </w:p>
    <w:p>
      <w:pPr>
        <w:pStyle w:val="TextBody"/>
        <w:bidi w:val="0"/>
        <w:spacing w:before="240" w:after="283"/>
        <w:jc w:val="left"/>
        <w:rPr>
          <w:rFonts w:ascii="Arial" w:hAnsi="Arial"/>
          <w:color w:val="000000"/>
          <w:sz w:val="20"/>
        </w:rPr>
      </w:pPr>
      <w:r>
        <w:rPr>
          <w:rFonts w:ascii="Arial" w:hAnsi="Arial"/>
          <w:color w:val="000000"/>
          <w:sz w:val="20"/>
        </w:rPr>
        <w:t>Our focus on long-term value creation results in our executive compensation program having a strong weighting toward equity compensation. We rely heavily on equity compensation that vests over a multi-year period to ensure that a significant portion of a named executive officer’s compensation opportunity is related to factors that directly and indirectly influence stockholder value. Our talent and compensation committee believes this serves as a reward for appreciation in our stock price, and long-term value creation and enables us to achieve our retention objectives. Further, equity participation establishes a sense of ownership and more closely aligns executives’ interests with those of our other stockholders.</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2023 Annual Equity Grants</w:t>
      </w:r>
    </w:p>
    <w:p>
      <w:pPr>
        <w:pStyle w:val="TextBody"/>
        <w:bidi w:val="0"/>
        <w:spacing w:before="240" w:after="283"/>
        <w:jc w:val="left"/>
        <w:rPr>
          <w:rFonts w:ascii="Arial" w:hAnsi="Arial"/>
          <w:color w:val="000000"/>
          <w:sz w:val="20"/>
        </w:rPr>
      </w:pPr>
      <w:r>
        <w:rPr>
          <w:rFonts w:ascii="Arial" w:hAnsi="Arial"/>
          <w:color w:val="000000"/>
          <w:sz w:val="20"/>
        </w:rPr>
        <w:t>In 2023, our annual equity awards to our executives were in the form of stock options with market performance conditions and restricted stock units with time-based vesting. Stock options with a market performance condition provide value only if the average of our closing price over a consecutive 20-day trading period increases to 150% of the stock price on the date of grant, thereby further aligning company performance with stockholder interests. Furthermore, we believe that RSU awards provide tangible value to our executive officers and serve as an incentive and retention tool during a difficult operating or volatile business environment, while still being tied to stockholder value. Additionally, RSU awards enable our executive officers to accumulate stock ownership in the Company.</w:t>
      </w:r>
    </w:p>
    <w:p>
      <w:pPr>
        <w:pStyle w:val="TextBody"/>
        <w:bidi w:val="0"/>
        <w:spacing w:before="240" w:after="283"/>
        <w:jc w:val="left"/>
        <w:rPr>
          <w:rFonts w:ascii="Arial" w:hAnsi="Arial"/>
          <w:color w:val="000000"/>
          <w:sz w:val="20"/>
        </w:rPr>
      </w:pPr>
      <w:r>
        <w:rPr>
          <w:rFonts w:ascii="Arial" w:hAnsi="Arial"/>
          <w:color w:val="000000"/>
          <w:sz w:val="20"/>
        </w:rPr>
        <w:t>We grant equity awards to our named executive officers as part of the talent and compensation committee’s annual review of executive compensation. The talent and compensation committee has not applied a rigid formula in determining the size of these equity awards or mix between options and RSUs. In February 2023, the talent and compensation committee reviewed and approved the option and RSU grants for the named executive officers, basing its decision on a market assessment of peer companies, as well as by utilizing a blend of factors that included value of equity compensation and Company ownership. The talent and compensation committee determined that the annual equity grants would be split approximately equally in terms of value between stock options with a market performance condition and RSUs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7"/>
        <w:gridCol w:w="146"/>
        <w:gridCol w:w="146"/>
        <w:gridCol w:w="146"/>
        <w:gridCol w:w="796"/>
        <w:gridCol w:w="146"/>
        <w:gridCol w:w="146"/>
        <w:gridCol w:w="146"/>
        <w:gridCol w:w="283"/>
        <w:gridCol w:w="1862"/>
        <w:gridCol w:w="146"/>
        <w:gridCol w:w="146"/>
        <w:gridCol w:w="146"/>
        <w:gridCol w:w="146"/>
        <w:gridCol w:w="796"/>
        <w:gridCol w:w="146"/>
        <w:gridCol w:w="146"/>
        <w:gridCol w:w="146"/>
        <w:gridCol w:w="146"/>
        <w:gridCol w:w="283"/>
        <w:gridCol w:w="1862"/>
        <w:gridCol w:w="192"/>
      </w:tblGrid>
      <w:tr>
        <w:trPr/>
        <w:tc>
          <w:tcPr>
            <w:tcW w:w="2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087"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pPr>
            <w:r>
              <w:rPr/>
              <w:t> </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25"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RSUs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71"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 Options</w:t>
            </w:r>
          </w:p>
        </w:tc>
        <w:tc>
          <w:tcPr>
            <w:tcW w:w="19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08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Grant Date Fair Value</w:t>
            </w:r>
            <w:r>
              <w:rPr>
                <w:rFonts w:ascii="Arial" w:hAnsi="Arial"/>
                <w:b/>
                <w:color w:val="000000"/>
                <w:sz w:val="11"/>
              </w:rPr>
              <w:t>(1)</w:t>
            </w:r>
            <w:r>
              <w:rPr>
                <w:rFonts w:ascii="Times New Roman" w:hAnsi="Times New Roman"/>
                <w:color w:val="000000"/>
                <w:sz w:val="16"/>
              </w:rPr>
              <w:t> </w:t>
            </w: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w:t>
            </w:r>
            <w:r>
              <w:rPr>
                <w:rFonts w:ascii="Arial" w:hAnsi="Arial"/>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Grant Date Fair Value</w:t>
            </w:r>
            <w:r>
              <w:rPr>
                <w:rFonts w:ascii="Arial" w:hAnsi="Arial"/>
                <w:b/>
                <w:color w:val="000000"/>
                <w:sz w:val="11"/>
              </w:rPr>
              <w:t>(1)</w:t>
            </w:r>
            <w:r>
              <w:rPr>
                <w:rFonts w:ascii="Times New Roman" w:hAnsi="Times New Roman"/>
                <w:color w:val="000000"/>
                <w:sz w:val="16"/>
              </w:rPr>
              <w:t> </w:t>
            </w:r>
            <w:r>
              <w:rPr>
                <w:rFonts w:ascii="Arial" w:hAnsi="Arial"/>
                <w:b/>
                <w:color w:val="000000"/>
                <w:sz w:val="16"/>
              </w:rPr>
              <w:t>($)</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87"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Omid Farokhzad, M.D.</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1,845,180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2,170,350</w:t>
            </w:r>
          </w:p>
        </w:tc>
        <w:tc>
          <w:tcPr>
            <w:tcW w:w="19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208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Horn</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467,460</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087"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Elona Kogan</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467,460</w:t>
            </w:r>
          </w:p>
        </w:tc>
        <w:tc>
          <w:tcPr>
            <w:tcW w:w="19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The dollar amounts in this column represent the aggregate full grant date fair value of the equity awards calculated in accordance with FASB ASC Topic 718. Please see the Summary Compensation Table for more details regarding how this value is calculated.</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Arial" w:hAnsi="Arial"/>
          <w:color w:val="000000"/>
          <w:sz w:val="12"/>
        </w:rPr>
        <w:t xml:space="preserve">(2) </w:t>
      </w:r>
      <w:r>
        <w:rPr>
          <w:rFonts w:ascii="Arial" w:hAnsi="Arial"/>
          <w:color w:val="000000"/>
          <w:sz w:val="18"/>
        </w:rPr>
        <w:t>To maximize the alignment of our named executive officers' interests with those of our stockholders, the talent and compensation committee added a market performance condition to the options granted to our executive team in 2023. These stock options will begin to vest only if the average closing price of our stock over a consecutive 20-trading day period increases to 150% (an average closing price of $6.89 over a consecutive 20-trading day period) of the price on the date of grant ($4.59). These options have a seven-year performance period. If the market conditions are not met by February 15, 2030, all options will be forfeited.</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We believe that the multi-year vesting requirements applicable to both stock options and RSUs encourage employee retention. The 2023 RSUs grants to our named executive officers are scheduled to vest annually over a four-year period. In order for our 2023 option grants to be eligible to vest, the average closing price of our stock over a consecutive 20-trading day period is required to grow to 150% of the fair market value on the date of grant (that is, to an average closing price of $6.89 for 20 consecutive trading days from the exercise price of $4.59 per share). Upon the achievement of that stock price goal, one quarter of the 2023 option grants immediately vest and then the remainder vest in equal annual installments over a subsequent three-year period. Both types of equity awards are subject to the executive’s continuing service on each vesting date and to the vesting acceleration provisions of the company’s key executive change in control and severance plan (the Severance Plan) or, with respect to our CEO, his change in control and severance agreement (the Severance Agreement), as discussed further above. In order to encourage a successful change in control that is in the best interests of our stockholders and avoid causing the named executive officers distraction based on the possibility of their termination in connection with a change in control, the performance-based options provide that if we undergo a change in control, the achievement of this stock price target is determined based on the change in control price. If the stock price target is achieved in the change in control, the time-based vesting requirements otherwise applicable to these options are waived, and the options vest in full, as long as the named executive remains in service to us as of immediately prior to the completion of the change in control. For our CEO only, if, during the three months prior to a change in control, his employment with us is involuntarily terminated (within the meaning of his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 and will vest in full. This is consistent with the change in control-related acceleration of vesting provisions that apply to our CEO’s time-based equity awards under his Severance Agreement.</w:t>
      </w:r>
    </w:p>
    <w:p>
      <w:pPr>
        <w:pStyle w:val="TextBody"/>
        <w:bidi w:val="0"/>
        <w:spacing w:before="240" w:after="283"/>
        <w:jc w:val="left"/>
        <w:rPr>
          <w:rFonts w:ascii="Times New Roman" w:hAnsi="Times New Roman"/>
          <w:sz w:val="20"/>
        </w:rPr>
      </w:pPr>
      <w:bookmarkStart w:id="42" w:name="additional_comp_policies_procedures"/>
      <w:bookmarkEnd w:id="42"/>
      <w:r>
        <w:rPr>
          <w:rFonts w:ascii="Arial" w:hAnsi="Arial"/>
          <w:b/>
          <w:color w:val="000000"/>
          <w:sz w:val="20"/>
        </w:rPr>
        <w:t>V. Additional Compensation Policies and Practices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Employment and Other Service Arrangements with our Named Executive Officers</w:t>
      </w:r>
    </w:p>
    <w:p>
      <w:pPr>
        <w:pStyle w:val="TextBody"/>
        <w:bidi w:val="0"/>
        <w:spacing w:before="240" w:after="283"/>
        <w:jc w:val="left"/>
        <w:rPr>
          <w:rFonts w:ascii="Arial" w:hAnsi="Arial"/>
          <w:color w:val="000000"/>
          <w:sz w:val="20"/>
        </w:rPr>
      </w:pPr>
      <w:r>
        <w:rPr>
          <w:rFonts w:ascii="Arial" w:hAnsi="Arial"/>
          <w:color w:val="000000"/>
          <w:sz w:val="20"/>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Each of our named executive officers has executed our standard form of confidential information, invention assignment and arbitration agreement.</w:t>
      </w:r>
    </w:p>
    <w:p>
      <w:pPr>
        <w:pStyle w:val="TextBody"/>
        <w:bidi w:val="0"/>
        <w:spacing w:before="240" w:after="283"/>
        <w:jc w:val="left"/>
        <w:rPr>
          <w:rFonts w:ascii="Arial" w:hAnsi="Arial"/>
          <w:color w:val="000000"/>
          <w:sz w:val="20"/>
        </w:rPr>
      </w:pPr>
      <w:r>
        <w:rPr>
          <w:rFonts w:ascii="Arial" w:hAnsi="Arial"/>
          <w:color w:val="000000"/>
          <w:sz w:val="20"/>
        </w:rPr>
        <w:t>For Dr. Farokhzad, his employment letter provides for reimbursement of reasonable travel and lodging expenses incurred by him for his travel between his primary residence and our office in Redwood City, California, as well as for additional payments sufficient to make such reimbursements tax neutral to Dr. Farokhzad.</w:t>
      </w:r>
    </w:p>
    <w:p>
      <w:pPr>
        <w:pStyle w:val="TextBody"/>
        <w:bidi w:val="0"/>
        <w:spacing w:before="240" w:after="283"/>
        <w:jc w:val="left"/>
        <w:rPr>
          <w:rFonts w:ascii="Times New Roman" w:hAnsi="Times New Roman"/>
          <w:sz w:val="20"/>
        </w:rPr>
      </w:pPr>
      <w:r>
        <w:rPr>
          <w:rFonts w:ascii="Arial" w:hAnsi="Arial"/>
          <w:i/>
          <w:color w:val="000000"/>
          <w:sz w:val="20"/>
        </w:rPr>
        <w:t>Severance Benefits, including Change in Control</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connection with our initial public offering, we adopted the Severance Plan, in which each of our named executive officers other than Dr. Farokhzad participate. In addition, Dr. Farokhzad is subject to the Severance Agreement, which provides for certain severance and change in control benefits.</w:t>
      </w:r>
    </w:p>
    <w:p>
      <w:pPr>
        <w:pStyle w:val="TextBody"/>
        <w:bidi w:val="0"/>
        <w:spacing w:before="240" w:after="283"/>
        <w:jc w:val="left"/>
        <w:rPr>
          <w:rFonts w:ascii="Times New Roman" w:hAnsi="Times New Roman"/>
          <w:sz w:val="20"/>
        </w:rPr>
      </w:pPr>
      <w:r>
        <w:rPr>
          <w:rFonts w:ascii="Arial" w:hAnsi="Arial"/>
          <w:color w:val="000000"/>
          <w:sz w:val="20"/>
        </w:rPr>
        <w:t>We offer the severance and other termination benefits to the named executive officers under these arrangements if their employment is terminated without cause or they resign for good reason in certain circumstances,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or her income and benefits.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believe the level of severance and change in control benefits provided is appropriate and is necessary to attract and retain key employees.</w:t>
      </w:r>
    </w:p>
    <w:p>
      <w:pPr>
        <w:pStyle w:val="TextBody"/>
        <w:bidi w:val="0"/>
        <w:spacing w:before="240" w:after="283"/>
        <w:jc w:val="left"/>
        <w:rPr>
          <w:rFonts w:ascii="Arial" w:hAnsi="Arial"/>
          <w:color w:val="000000"/>
          <w:sz w:val="20"/>
        </w:rPr>
      </w:pPr>
      <w:r>
        <w:rPr>
          <w:rFonts w:ascii="Arial" w:hAnsi="Arial"/>
          <w:color w:val="000000"/>
          <w:sz w:val="20"/>
        </w:rPr>
        <w:t>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w:t>
      </w:r>
    </w:p>
    <w:p>
      <w:pPr>
        <w:pStyle w:val="TextBody"/>
        <w:bidi w:val="0"/>
        <w:spacing w:before="240" w:after="283"/>
        <w:jc w:val="left"/>
        <w:rPr>
          <w:rFonts w:ascii="Arial" w:hAnsi="Arial"/>
          <w:color w:val="000000"/>
          <w:sz w:val="20"/>
        </w:rPr>
      </w:pPr>
      <w:r>
        <w:rPr>
          <w:rFonts w:ascii="Arial" w:hAnsi="Arial"/>
          <w:color w:val="000000"/>
          <w:sz w:val="20"/>
        </w:rPr>
        <w:t>These arrangements are described more fully under the section of this proxy statement entitled “Change in Control and Severance Agreement” (with respect to Dr. Farokhzad’s agreement) and “Key Executive Change in Control and Severance Plan” (with respect to the arrangements for our other named executive officers).</w:t>
      </w:r>
    </w:p>
    <w:p>
      <w:pPr>
        <w:pStyle w:val="TextBody"/>
        <w:bidi w:val="0"/>
        <w:spacing w:before="240" w:after="283"/>
        <w:jc w:val="left"/>
        <w:rPr>
          <w:rFonts w:ascii="Times New Roman" w:hAnsi="Times New Roman"/>
          <w:sz w:val="20"/>
        </w:rPr>
      </w:pPr>
      <w:r>
        <w:rPr>
          <w:rFonts w:ascii="Arial" w:hAnsi="Arial"/>
          <w:i/>
          <w:color w:val="000000"/>
          <w:sz w:val="20"/>
        </w:rPr>
        <w:t>Certain Broad-based Employee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Personal benefits currently are not a significant component of our executive compensation program. Accordingly,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 Please see “Employment and Other Service Arrangements with our Named Executive Officers” above for a discussion of certain travel and lodging reimbursements we have provided to Dr. Farokhzad.</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Hedging and Pledging Policies; Stock Ownership Guidelines</w:t>
      </w:r>
    </w:p>
    <w:p>
      <w:pPr>
        <w:pStyle w:val="TextBody"/>
        <w:bidi w:val="0"/>
        <w:spacing w:before="240" w:after="283"/>
        <w:jc w:val="left"/>
        <w:rPr>
          <w:rFonts w:ascii="Times New Roman" w:hAnsi="Times New Roman"/>
          <w:sz w:val="20"/>
        </w:rPr>
      </w:pPr>
      <w:r>
        <w:rPr>
          <w:rFonts w:ascii="Arial" w:hAnsi="Arial"/>
          <w:color w:val="000000"/>
          <w:sz w:val="20"/>
        </w:rPr>
        <w:t>Our insider trading policy prohibits our executives from engaging in “hedging” or “pledging” transactions with respect to our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w:t>
      </w:r>
      <w:r>
        <w:rPr>
          <w:rFonts w:ascii="Times New Roman" w:hAnsi="Times New Roman"/>
          <w:color w:val="000000"/>
          <w:sz w:val="20"/>
        </w:rPr>
        <w:t xml:space="preserve"> </w:t>
      </w:r>
    </w:p>
    <w:p>
      <w:pPr>
        <w:pStyle w:val="TextBody"/>
        <w:bidi w:val="0"/>
        <w:spacing w:before="240" w:after="240"/>
        <w:jc w:val="left"/>
        <w:rPr>
          <w:rFonts w:ascii="Arial" w:hAnsi="Arial"/>
          <w:i/>
          <w:color w:val="000000"/>
          <w:sz w:val="20"/>
        </w:rPr>
      </w:pPr>
      <w:r>
        <w:rPr>
          <w:rFonts w:ascii="Arial" w:hAnsi="Arial"/>
          <w:i/>
          <w:color w:val="000000"/>
          <w:sz w:val="20"/>
        </w:rPr>
        <w:t>Compensation Recovery (“Clawback”) Policy</w:t>
      </w:r>
    </w:p>
    <w:p>
      <w:pPr>
        <w:pStyle w:val="TextBody"/>
        <w:bidi w:val="0"/>
        <w:jc w:val="left"/>
        <w:rPr>
          <w:rFonts w:ascii="Times New Roman" w:hAnsi="Times New Roman"/>
          <w:sz w:val="20"/>
        </w:rPr>
      </w:pPr>
      <w:r>
        <w:rPr>
          <w:rFonts w:ascii="Arial" w:hAnsi="Arial"/>
          <w:color w:val="000000"/>
          <w:sz w:val="20"/>
        </w:rPr>
        <w:t xml:space="preserve">On November 14, 2023, the talent and compensation committee adopted the clawback policy (the Clawback Policy). </w:t>
      </w:r>
      <w:r>
        <w:rPr>
          <w:rFonts w:ascii="Arial" w:hAnsi="Arial"/>
          <w:color w:val="3F3F3F"/>
          <w:sz w:val="20"/>
        </w:rPr>
        <w:t>The Clawback Policy is intended to comply with Section 10D of the Exchange Act, with Exchange Act Rule 10D-1 and with the listing standards of Nasdaq, and to further the Company’s pay-for-performance philosophy by providing rules relating to the reasonably prompt recovery of certain compensation received by Covered Executives (as defined in the policy), which includes our named executive officers, in the event of an Accounting Restatement (as defined in the policy). The application of the Clawback Policy to Covered Executives is not discretionary, except to the limited extent permitted by Exchange Act rules and Nasdaq listing standards, and applies without regard to whether a Covered Executive was at fault.</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chief financial officer may be legally required to reimburse us for any bonus or incentive-based or equity-based compensation they receive. Our 2020 Equity Incentive Plan provides that awards granted under it is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w:t>
      </w:r>
    </w:p>
    <w:p>
      <w:pPr>
        <w:pStyle w:val="TextBody"/>
        <w:bidi w:val="0"/>
        <w:spacing w:before="240" w:after="283"/>
        <w:jc w:val="left"/>
        <w:rPr>
          <w:rFonts w:ascii="Arial" w:hAnsi="Arial"/>
          <w:i/>
          <w:color w:val="000000"/>
          <w:sz w:val="20"/>
        </w:rPr>
      </w:pPr>
      <w:r>
        <w:rPr>
          <w:rFonts w:ascii="Arial" w:hAnsi="Arial"/>
          <w:i/>
          <w:color w:val="000000"/>
          <w:sz w:val="20"/>
        </w:rPr>
        <w:t>Accounting and Tax Consideration and Treatment</w:t>
      </w:r>
    </w:p>
    <w:p>
      <w:pPr>
        <w:pStyle w:val="TextBody"/>
        <w:bidi w:val="0"/>
        <w:spacing w:before="240" w:after="283"/>
        <w:jc w:val="left"/>
        <w:rPr>
          <w:rFonts w:ascii="Arial" w:hAnsi="Arial"/>
          <w:color w:val="000000"/>
          <w:sz w:val="20"/>
        </w:rPr>
      </w:pPr>
      <w:r>
        <w:rPr>
          <w:rFonts w:ascii="Arial" w:hAnsi="Arial"/>
          <w:color w:val="000000"/>
          <w:sz w:val="20"/>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2023 fiscal year, the Company generally is eligible to receive a federal income tax deduction for compensation paid to our CEO and certain other current and former executives only if the compensation paid to the individual executive was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pStyle w:val="TextBody"/>
        <w:bidi w:val="0"/>
        <w:spacing w:before="240" w:after="283"/>
        <w:jc w:val="left"/>
        <w:rPr>
          <w:rFonts w:ascii="Arial" w:hAnsi="Arial"/>
          <w:color w:val="000000"/>
          <w:sz w:val="20"/>
        </w:rPr>
      </w:pPr>
      <w:r>
        <w:rPr>
          <w:rFonts w:ascii="Arial" w:hAnsi="Arial"/>
          <w:color w:val="000000"/>
          <w:sz w:val="20"/>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43" w:name="security_ownership_of_certain_beneficial"/>
      <w:bookmarkEnd w:id="43"/>
      <w:r>
        <w:rPr>
          <w:rFonts w:ascii="Arial" w:hAnsi="Arial"/>
          <w:b/>
          <w:color w:val="000000"/>
          <w:sz w:val="20"/>
        </w:rPr>
        <w:t>SECURITY OWNERSHIP OF CERTAIN</w:t>
      </w:r>
      <w:r>
        <w:rPr>
          <w:rFonts w:ascii="Times New Roman" w:hAnsi="Times New Roman"/>
          <w:color w:val="000000"/>
          <w:sz w:val="20"/>
        </w:rPr>
        <w:t xml:space="preserve"> </w:t>
      </w:r>
      <w:r>
        <w:rPr>
          <w:rFonts w:ascii="Arial" w:hAnsi="Arial"/>
          <w:b/>
          <w:color w:val="000000"/>
          <w:sz w:val="20"/>
        </w:rPr>
        <w:t>BENEFICIAL OWNERS AND MANAGEMENT</w:t>
      </w:r>
    </w:p>
    <w:p>
      <w:pPr>
        <w:pStyle w:val="TextBody"/>
        <w:bidi w:val="0"/>
        <w:spacing w:before="240" w:after="283"/>
        <w:jc w:val="left"/>
        <w:rPr>
          <w:rFonts w:ascii="Arial" w:hAnsi="Arial"/>
          <w:color w:val="000000"/>
          <w:sz w:val="20"/>
        </w:rPr>
      </w:pPr>
      <w:r>
        <w:rPr>
          <w:rFonts w:ascii="Arial" w:hAnsi="Arial"/>
          <w:color w:val="000000"/>
          <w:sz w:val="20"/>
        </w:rPr>
        <w:t>The following table sets forth certain information with respect to the beneficial ownership of our common stock as of March 31, 2024 for: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each of our directors and nominees for director;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each of our named executive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all of our current directors and executive officers as a group;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each person or group known by us to be the beneficial owner of more than 5% of our common stock.</w:t>
      </w:r>
    </w:p>
    <w:p>
      <w:pPr>
        <w:pStyle w:val="TextBody"/>
        <w:bidi w:val="0"/>
        <w:spacing w:before="240" w:after="283"/>
        <w:jc w:val="left"/>
        <w:rPr>
          <w:rFonts w:ascii="Arial" w:hAnsi="Arial"/>
          <w:color w:val="000000"/>
          <w:sz w:val="20"/>
        </w:rPr>
      </w:pPr>
      <w:r>
        <w:rPr>
          <w:rFonts w:ascii="Arial" w:hAnsi="Arial"/>
          <w:color w:val="000000"/>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pStyle w:val="TextBody"/>
        <w:bidi w:val="0"/>
        <w:spacing w:before="240" w:after="283"/>
        <w:jc w:val="left"/>
        <w:rPr>
          <w:rFonts w:ascii="Arial" w:hAnsi="Arial"/>
          <w:color w:val="000000"/>
          <w:sz w:val="20"/>
        </w:rPr>
      </w:pPr>
      <w:r>
        <w:rPr>
          <w:rFonts w:ascii="Arial" w:hAnsi="Arial"/>
          <w:color w:val="000000"/>
          <w:sz w:val="20"/>
        </w:rPr>
        <w:t>We have based our calculation of the percentage of beneficial ownership on 60,891,711 shares of our Class A common stock and 4,044,969 shares of our Class B common stock outstanding as of March 31, 2024. We have deemed shares of our Class A common stock subject to stock options that are currently exercisable or exercisable within 60 days of March 31, 2024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before="240" w:after="283"/>
        <w:jc w:val="left"/>
        <w:rPr>
          <w:rFonts w:ascii="Arial" w:hAnsi="Arial"/>
          <w:color w:val="000000"/>
          <w:sz w:val="20"/>
        </w:rPr>
      </w:pPr>
      <w:r>
        <w:rPr>
          <w:rFonts w:ascii="Arial" w:hAnsi="Arial"/>
          <w:color w:val="000000"/>
          <w:sz w:val="20"/>
        </w:rPr>
        <w:t>Each share of our Class B common stock is convertible at any time at the option of the holder into one share of our Class A common stock. Holders of our Class A common stock are entitled to one vote for each share held on all matters submitted to a vote of stockholders and holders of our Class B common stock are entitled to ten votes for each share held.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Unless otherwise indicated, the address of each beneficial owner listed in the table below is c/o Seer, Inc. 3800 Bridge Parkway, Suite 102, Redwood City, California 94065.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5"/>
        <w:gridCol w:w="146"/>
        <w:gridCol w:w="148"/>
        <w:gridCol w:w="982"/>
        <w:gridCol w:w="148"/>
        <w:gridCol w:w="148"/>
        <w:gridCol w:w="148"/>
        <w:gridCol w:w="383"/>
        <w:gridCol w:w="146"/>
        <w:gridCol w:w="146"/>
        <w:gridCol w:w="146"/>
        <w:gridCol w:w="961"/>
        <w:gridCol w:w="146"/>
        <w:gridCol w:w="146"/>
        <w:gridCol w:w="146"/>
        <w:gridCol w:w="481"/>
        <w:gridCol w:w="146"/>
        <w:gridCol w:w="146"/>
        <w:gridCol w:w="258"/>
        <w:gridCol w:w="853"/>
        <w:gridCol w:w="196"/>
      </w:tblGrid>
      <w:tr>
        <w:trPr/>
        <w:tc>
          <w:tcPr>
            <w:tcW w:w="4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1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 and Nature of Beneficial 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41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4185"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Name of Beneficial Owner</w:t>
            </w:r>
          </w:p>
        </w:tc>
        <w:tc>
          <w:tcPr>
            <w:tcW w:w="146" w:type="dxa"/>
            <w:tcBorders/>
            <w:shd w:fill="FFFFFF" w:val="cle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Voting % of</w:t>
              <w:br/>
              <w:t>Total</w:t>
              <w:br/>
              <w:t>Outstanding</w:t>
              <w:br/>
              <w:t>Capital</w:t>
              <w:br/>
              <w:t>Stock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Directors and Named Executive Officers:</w:t>
            </w:r>
          </w:p>
        </w:tc>
        <w:tc>
          <w:tcPr>
            <w:tcW w:w="146" w:type="dxa"/>
            <w:tcBorders/>
            <w:shd w:fill="CFF0FC" w:val="clear"/>
            <w:vAlign w:val="center"/>
          </w:tcPr>
          <w:p>
            <w:pPr>
              <w:pStyle w:val="TableContents"/>
              <w:bidi w:val="0"/>
              <w:spacing w:before="0" w:after="283"/>
              <w:jc w:val="left"/>
              <w:rPr/>
            </w:pPr>
            <w:r>
              <w:rPr/>
              <w:t> </w:t>
            </w:r>
          </w:p>
        </w:tc>
        <w:tc>
          <w:tcPr>
            <w:tcW w:w="1130"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5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4185"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Omid Farokhzad, M.D.</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2,920,507</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3,555,195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196" w:type="dxa"/>
            <w:tcBorders/>
            <w:shd w:fill="FFFFFF" w:val="clear"/>
            <w:vAlign w:val="center"/>
          </w:tcPr>
          <w:p>
            <w:pPr>
              <w:pStyle w:val="TableContents"/>
              <w:bidi w:val="0"/>
              <w:spacing w:before="0" w:after="283"/>
              <w:jc w:val="lef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David Horn </w:t>
            </w:r>
            <w:r>
              <w:rPr>
                <w:rFonts w:ascii="Arial" w:hAnsi="Arial"/>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1,143,543</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6" w:type="dxa"/>
            <w:tcBorders/>
            <w:shd w:fill="CFF0FC" w:val="clear"/>
            <w:vAlign w:val="center"/>
          </w:tcPr>
          <w:p>
            <w:pPr>
              <w:pStyle w:val="TableContents"/>
              <w:bidi w:val="0"/>
              <w:spacing w:before="0" w:after="283"/>
              <w:jc w:val="left"/>
              <w:rPr/>
            </w:pPr>
            <w:r>
              <w:rPr/>
              <w:t> </w:t>
            </w:r>
          </w:p>
        </w:tc>
      </w:tr>
      <w:tr>
        <w:trPr/>
        <w:tc>
          <w:tcPr>
            <w:tcW w:w="4185"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Elona Kogan</w:t>
            </w:r>
            <w:r>
              <w:rPr>
                <w:rFonts w:ascii="Arial" w:hAnsi="Arial"/>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510,070</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3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righ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David Hallal</w:t>
            </w:r>
            <w:r>
              <w:rPr>
                <w:rFonts w:ascii="Arial" w:hAnsi="Arial"/>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528,899</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31"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right"/>
              <w:rPr/>
            </w:pPr>
            <w:r>
              <w:rPr/>
              <w:t> </w:t>
            </w:r>
          </w:p>
        </w:tc>
      </w:tr>
      <w:tr>
        <w:trPr/>
        <w:tc>
          <w:tcPr>
            <w:tcW w:w="4185"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Robert Langer, Sc.D.</w:t>
            </w:r>
            <w:r>
              <w:rPr>
                <w:rFonts w:ascii="Arial" w:hAnsi="Arial"/>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400,772</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3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righ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Terrance McGuire</w:t>
            </w:r>
            <w:r>
              <w:rPr>
                <w:rFonts w:ascii="Arial" w:hAnsi="Arial"/>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523,506</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31"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right"/>
              <w:rPr/>
            </w:pPr>
            <w:r>
              <w:rPr/>
              <w:t> </w:t>
            </w:r>
          </w:p>
        </w:tc>
      </w:tr>
      <w:tr>
        <w:trPr/>
        <w:tc>
          <w:tcPr>
            <w:tcW w:w="4185"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Dipchand (Deep) Nishar</w:t>
            </w:r>
            <w:r>
              <w:rPr>
                <w:rFonts w:ascii="Arial" w:hAnsi="Arial"/>
                <w:color w:val="000000"/>
                <w:sz w:val="13"/>
              </w:rPr>
              <w:t>(7)</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61,252</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3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righ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Rachel Haurwitz, Ph.D.</w:t>
            </w:r>
            <w:r>
              <w:rPr>
                <w:rFonts w:ascii="Arial" w:hAnsi="Arial"/>
                <w:color w:val="000000"/>
                <w:sz w:val="13"/>
              </w:rPr>
              <w:t>(8)</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48,859</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31"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right"/>
              <w:rPr/>
            </w:pPr>
            <w:r>
              <w:rPr/>
              <w:t> </w:t>
            </w:r>
          </w:p>
        </w:tc>
      </w:tr>
      <w:tr>
        <w:trPr/>
        <w:tc>
          <w:tcPr>
            <w:tcW w:w="4185"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Meeta Gulyani</w:t>
            </w:r>
            <w:r>
              <w:rPr>
                <w:rFonts w:ascii="Arial" w:hAnsi="Arial"/>
                <w:color w:val="000000"/>
                <w:sz w:val="13"/>
              </w:rPr>
              <w:t>(9)</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46,581</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3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righ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All executive officers and directors as a group (9 persons)</w:t>
            </w:r>
            <w:r>
              <w:rPr>
                <w:rFonts w:ascii="Arial" w:hAnsi="Arial"/>
                <w:color w:val="000000"/>
                <w:sz w:val="13"/>
              </w:rPr>
              <w:t>(10)</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6,183,989</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3,559,283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196" w:type="dxa"/>
            <w:tcBorders/>
            <w:shd w:fill="CFF0FC" w:val="clear"/>
            <w:vAlign w:val="center"/>
          </w:tcPr>
          <w:p>
            <w:pPr>
              <w:pStyle w:val="TableContents"/>
              <w:bidi w:val="0"/>
              <w:spacing w:before="0" w:after="283"/>
              <w:jc w:val="left"/>
              <w:rPr/>
            </w:pPr>
            <w:r>
              <w:rPr/>
              <w:t> </w:t>
            </w:r>
          </w:p>
        </w:tc>
      </w:tr>
      <w:tr>
        <w:trPr/>
        <w:tc>
          <w:tcPr>
            <w:tcW w:w="418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Greater than 5% Stockholders:</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BlackRock, Inc.</w:t>
            </w:r>
            <w:r>
              <w:rPr>
                <w:rFonts w:ascii="Arial" w:hAnsi="Arial"/>
                <w:color w:val="000000"/>
                <w:sz w:val="13"/>
              </w:rPr>
              <w:t>(11)</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5,791,042</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96" w:type="dxa"/>
            <w:tcBorders/>
            <w:shd w:fill="CFF0FC" w:val="clear"/>
            <w:vAlign w:val="center"/>
          </w:tcPr>
          <w:p>
            <w:pPr>
              <w:pStyle w:val="TableContents"/>
              <w:bidi w:val="0"/>
              <w:spacing w:before="0" w:after="283"/>
              <w:jc w:val="lef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SoftBank SB Global Advisers Limited</w:t>
            </w:r>
            <w:r>
              <w:rPr>
                <w:rFonts w:ascii="Arial" w:hAnsi="Arial"/>
                <w:color w:val="000000"/>
                <w:sz w:val="13"/>
              </w:rPr>
              <w:t>(12)</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5,135,383</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96" w:type="dxa"/>
            <w:tcBorders/>
            <w:shd w:fill="CFF0FC" w:val="clear"/>
            <w:vAlign w:val="center"/>
          </w:tcPr>
          <w:p>
            <w:pPr>
              <w:pStyle w:val="TableContents"/>
              <w:bidi w:val="0"/>
              <w:spacing w:before="0" w:after="283"/>
              <w:jc w:val="lef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aMoon Fund Growth Fund Limited Partnership</w:t>
            </w:r>
            <w:r>
              <w:rPr>
                <w:rFonts w:ascii="Arial" w:hAnsi="Arial"/>
                <w:color w:val="000000"/>
                <w:sz w:val="13"/>
              </w:rPr>
              <w:t>(13)</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4,923,196</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96" w:type="dxa"/>
            <w:tcBorders/>
            <w:shd w:fill="CFF0FC" w:val="clear"/>
            <w:vAlign w:val="center"/>
          </w:tcPr>
          <w:p>
            <w:pPr>
              <w:pStyle w:val="TableContents"/>
              <w:bidi w:val="0"/>
              <w:spacing w:before="0" w:after="283"/>
              <w:jc w:val="lef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Invus Public Equities, LP </w:t>
            </w:r>
            <w:r>
              <w:rPr>
                <w:rFonts w:ascii="Arial" w:hAnsi="Arial"/>
                <w:color w:val="000000"/>
                <w:sz w:val="13"/>
              </w:rPr>
              <w:t>(14)</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4,750,000</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96" w:type="dxa"/>
            <w:tcBorders/>
            <w:shd w:fill="CFF0FC" w:val="clear"/>
            <w:vAlign w:val="center"/>
          </w:tcPr>
          <w:p>
            <w:pPr>
              <w:pStyle w:val="TableContents"/>
              <w:bidi w:val="0"/>
              <w:spacing w:before="0" w:after="283"/>
              <w:jc w:val="lef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FMR LLC</w:t>
            </w:r>
            <w:r>
              <w:rPr>
                <w:rFonts w:ascii="Arial" w:hAnsi="Arial"/>
                <w:color w:val="000000"/>
                <w:sz w:val="13"/>
              </w:rPr>
              <w:t>(15)</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4,307,202</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96"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Arial" w:hAnsi="Arial"/>
          <w:color w:val="000000"/>
          <w:sz w:val="18"/>
        </w:rPr>
      </w:pPr>
      <w:r>
        <w:rPr>
          <w:rFonts w:ascii="Arial" w:hAnsi="Arial"/>
          <w:color w:val="000000"/>
          <w:sz w:val="18"/>
        </w:rPr>
        <w:t>* Represents beneficial ownership of less than 1%.</w:t>
      </w:r>
    </w:p>
    <w:p>
      <w:pPr>
        <w:pStyle w:val="TextBody"/>
        <w:bidi w:val="0"/>
        <w:spacing w:before="120" w:after="283"/>
        <w:jc w:val="left"/>
        <w:rPr>
          <w:rFonts w:ascii="Arial" w:hAnsi="Arial"/>
          <w:color w:val="000000"/>
          <w:sz w:val="18"/>
        </w:rPr>
      </w:pPr>
      <w:r>
        <w:rPr>
          <w:rFonts w:ascii="Arial" w:hAnsi="Arial"/>
          <w:color w:val="000000"/>
          <w:sz w:val="18"/>
        </w:rPr>
        <w:t># 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pStyle w:val="TextBody"/>
        <w:bidi w:val="0"/>
        <w:spacing w:before="120" w:after="283"/>
        <w:jc w:val="left"/>
        <w:rPr>
          <w:rFonts w:ascii="Arial" w:hAnsi="Arial"/>
          <w:color w:val="000000"/>
          <w:sz w:val="18"/>
        </w:rPr>
      </w:pPr>
      <w:r>
        <w:rPr>
          <w:rFonts w:ascii="Arial" w:hAnsi="Arial"/>
          <w:color w:val="000000"/>
          <w:sz w:val="18"/>
        </w:rPr>
        <w:t>(1)</w:t>
      </w:r>
    </w:p>
    <w:p>
      <w:pPr>
        <w:pStyle w:val="TextBody"/>
        <w:bidi w:val="0"/>
        <w:spacing w:before="120" w:after="283"/>
        <w:jc w:val="left"/>
        <w:rPr>
          <w:rFonts w:ascii="Arial" w:hAnsi="Arial"/>
          <w:color w:val="000000"/>
          <w:sz w:val="18"/>
        </w:rPr>
      </w:pPr>
      <w:r>
        <w:rPr>
          <w:rFonts w:ascii="Arial" w:hAnsi="Arial"/>
          <w:color w:val="000000"/>
          <w:sz w:val="18"/>
        </w:rPr>
        <w:t>Includes (i) 737,311 shares of Class A common stock and 134,579 shares of Class B common stock held of record by Dr. Farokhzad; (ii) 1,303,478 shares of Class B common stock held of record by Dynamics Group LLC for which Dr. Farokhzad serves as the sole member; (iii) 2,117,138 shares of Class B shares held of record by SAF-BND Trust for which Dr. Farokhzad’s spouse serves as trustee; and (iv) 2,183,196 shares of Class A common stock subject to options exercisable within 60 days of March 31, 2024, of which 2,160,999 are fully vested. Dr. Farokhzad disclaims beneficial ownership of the shares held by the SAF-BND Trust.</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Includes (i) 223,441 shares of Class A common stock and (ii) 920,102 shares of Class A common stock subject to options exercisable within 60 days of March 31, 2024, of which 913,039 are fully vested.</w:t>
      </w:r>
    </w:p>
    <w:p>
      <w:pPr>
        <w:pStyle w:val="TextBody"/>
        <w:bidi w:val="0"/>
        <w:spacing w:before="120" w:after="283"/>
        <w:jc w:val="left"/>
        <w:rPr>
          <w:rFonts w:ascii="Arial" w:hAnsi="Arial"/>
          <w:color w:val="000000"/>
          <w:sz w:val="18"/>
        </w:rPr>
      </w:pPr>
      <w:r>
        <w:rPr>
          <w:rFonts w:ascii="Arial" w:hAnsi="Arial"/>
          <w:color w:val="000000"/>
          <w:sz w:val="18"/>
        </w:rPr>
        <w:t>(3)</w:t>
      </w:r>
    </w:p>
    <w:p>
      <w:pPr>
        <w:pStyle w:val="TextBody"/>
        <w:bidi w:val="0"/>
        <w:spacing w:before="120" w:after="283"/>
        <w:jc w:val="left"/>
        <w:rPr>
          <w:rFonts w:ascii="Arial" w:hAnsi="Arial"/>
          <w:color w:val="000000"/>
          <w:sz w:val="18"/>
        </w:rPr>
      </w:pPr>
      <w:r>
        <w:rPr>
          <w:rFonts w:ascii="Arial" w:hAnsi="Arial"/>
          <w:color w:val="000000"/>
          <w:sz w:val="18"/>
        </w:rPr>
        <w:t>Includes (i) 66,489 shares of Class A common stock and (ii) 443,581 shares of Class A common stock subject to options exercisable within 60 days of March 31, 2024, of which 381,275 are fully vested.</w:t>
      </w:r>
    </w:p>
    <w:p>
      <w:pPr>
        <w:pStyle w:val="TextBody"/>
        <w:bidi w:val="0"/>
        <w:spacing w:before="120" w:after="283"/>
        <w:jc w:val="left"/>
        <w:rPr>
          <w:rFonts w:ascii="Arial" w:hAnsi="Arial"/>
          <w:color w:val="000000"/>
          <w:sz w:val="18"/>
        </w:rPr>
      </w:pPr>
      <w:r>
        <w:rPr>
          <w:rFonts w:ascii="Arial" w:hAnsi="Arial"/>
          <w:color w:val="000000"/>
          <w:sz w:val="18"/>
        </w:rPr>
        <w:t>(4)</w:t>
      </w:r>
    </w:p>
    <w:p>
      <w:pPr>
        <w:pStyle w:val="TextBody"/>
        <w:bidi w:val="0"/>
        <w:spacing w:before="120" w:after="283"/>
        <w:jc w:val="left"/>
        <w:rPr>
          <w:rFonts w:ascii="Arial" w:hAnsi="Arial"/>
          <w:color w:val="000000"/>
          <w:sz w:val="18"/>
        </w:rPr>
      </w:pPr>
      <w:r>
        <w:rPr>
          <w:rFonts w:ascii="Arial" w:hAnsi="Arial"/>
          <w:color w:val="000000"/>
          <w:sz w:val="18"/>
        </w:rPr>
        <w:t>Includes (i) 273,507 shares of Class A common stock held of record by Mr. Hallal, and (ii) 255,392 shares of Class A common stock subject to options exercisable within 60 days of March 31, 2024, of which 250,032 are fully vested.</w:t>
      </w:r>
    </w:p>
    <w:p>
      <w:pPr>
        <w:pStyle w:val="TextBody"/>
        <w:bidi w:val="0"/>
        <w:spacing w:before="120" w:after="283"/>
        <w:jc w:val="left"/>
        <w:rPr>
          <w:rFonts w:ascii="Arial" w:hAnsi="Arial"/>
          <w:color w:val="000000"/>
          <w:sz w:val="18"/>
        </w:rPr>
      </w:pPr>
      <w:r>
        <w:rPr>
          <w:rFonts w:ascii="Arial" w:hAnsi="Arial"/>
          <w:color w:val="000000"/>
          <w:sz w:val="18"/>
        </w:rPr>
        <w:t>(5)</w:t>
      </w:r>
    </w:p>
    <w:p>
      <w:pPr>
        <w:pStyle w:val="TextBody"/>
        <w:bidi w:val="0"/>
        <w:spacing w:before="120" w:after="283"/>
        <w:jc w:val="left"/>
        <w:rPr>
          <w:rFonts w:ascii="Arial" w:hAnsi="Arial"/>
          <w:color w:val="000000"/>
          <w:sz w:val="18"/>
        </w:rPr>
      </w:pPr>
      <w:r>
        <w:rPr>
          <w:rFonts w:ascii="Arial" w:hAnsi="Arial"/>
          <w:color w:val="000000"/>
          <w:sz w:val="18"/>
        </w:rPr>
        <w:t>Includes (i) 9,945 shares of Class A common stock held of record by Dr. Langer, and (ii) 390,827 shares of Class A common stock subject to options exercisable within 60 days of March 31, 2024, of which 385,761 are fully vested.</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(6)</w:t>
      </w:r>
    </w:p>
    <w:p>
      <w:pPr>
        <w:pStyle w:val="TextBody"/>
        <w:bidi w:val="0"/>
        <w:spacing w:before="120" w:after="283"/>
        <w:jc w:val="left"/>
        <w:rPr>
          <w:rFonts w:ascii="Arial" w:hAnsi="Arial"/>
          <w:color w:val="000000"/>
          <w:sz w:val="18"/>
        </w:rPr>
      </w:pPr>
      <w:r>
        <w:rPr>
          <w:rFonts w:ascii="Arial" w:hAnsi="Arial"/>
          <w:color w:val="000000"/>
          <w:sz w:val="18"/>
        </w:rPr>
        <w:t>Includes (i) 299,874 shares of Class A common stock and 4,088 shares of Class B common stock held of record by Strong Bridge, LLC for which Mr. McGuire serves as an operating manager; (ii) 223,632 shares of Class A common stock subject to options exercisable within 60 days of March 31, 2024, of which 221,197 are fully vested; and (iii) 78,947 shares of Class A common stock held of record by Polaris Founders Capital Fund I, L.P., for which Mr. McGuire serves as general partner of the managing member.</w:t>
      </w:r>
    </w:p>
    <w:p>
      <w:pPr>
        <w:pStyle w:val="TextBody"/>
        <w:bidi w:val="0"/>
        <w:spacing w:before="120" w:after="283"/>
        <w:jc w:val="left"/>
        <w:rPr>
          <w:rFonts w:ascii="Arial" w:hAnsi="Arial"/>
          <w:color w:val="000000"/>
          <w:sz w:val="18"/>
        </w:rPr>
      </w:pPr>
      <w:r>
        <w:rPr>
          <w:rFonts w:ascii="Arial" w:hAnsi="Arial"/>
          <w:color w:val="000000"/>
          <w:sz w:val="18"/>
        </w:rPr>
        <w:t>(7)</w:t>
      </w:r>
    </w:p>
    <w:p>
      <w:pPr>
        <w:pStyle w:val="TextBody"/>
        <w:bidi w:val="0"/>
        <w:spacing w:before="120" w:after="283"/>
        <w:jc w:val="left"/>
        <w:rPr>
          <w:rFonts w:ascii="Arial" w:hAnsi="Arial"/>
          <w:color w:val="000000"/>
          <w:sz w:val="18"/>
        </w:rPr>
      </w:pPr>
      <w:r>
        <w:rPr>
          <w:rFonts w:ascii="Arial" w:hAnsi="Arial"/>
          <w:color w:val="000000"/>
          <w:sz w:val="18"/>
        </w:rPr>
        <w:t>Includes (i) 9,945 shares of Class A common stock held of record by Mr. Nishar, and (ii) 51,307 shares of Class A common stock subject to options exercisable within 60 days of March 31, 2024, of which all are fully vested.</w:t>
      </w:r>
    </w:p>
    <w:p>
      <w:pPr>
        <w:pStyle w:val="TextBody"/>
        <w:bidi w:val="0"/>
        <w:spacing w:before="120" w:after="283"/>
        <w:jc w:val="left"/>
        <w:rPr>
          <w:rFonts w:ascii="Arial" w:hAnsi="Arial"/>
          <w:color w:val="000000"/>
          <w:sz w:val="18"/>
        </w:rPr>
      </w:pPr>
      <w:r>
        <w:rPr>
          <w:rFonts w:ascii="Arial" w:hAnsi="Arial"/>
          <w:color w:val="000000"/>
          <w:sz w:val="18"/>
        </w:rPr>
        <w:t>(8)</w:t>
      </w:r>
    </w:p>
    <w:p>
      <w:pPr>
        <w:pStyle w:val="TextBody"/>
        <w:bidi w:val="0"/>
        <w:spacing w:before="120" w:after="283"/>
        <w:jc w:val="left"/>
        <w:rPr>
          <w:rFonts w:ascii="Arial" w:hAnsi="Arial"/>
          <w:color w:val="000000"/>
          <w:sz w:val="18"/>
        </w:rPr>
      </w:pPr>
      <w:r>
        <w:rPr>
          <w:rFonts w:ascii="Arial" w:hAnsi="Arial"/>
          <w:color w:val="000000"/>
          <w:sz w:val="18"/>
        </w:rPr>
        <w:t>Includes (i) 5,994 shares of Class A common stock held of record by Dr. Haurwitz, and (ii) 42,865 shares of Class A common stock subject to options exercisable within 60 days of March 31, 2024, of which are fully vested.</w:t>
      </w:r>
    </w:p>
    <w:p>
      <w:pPr>
        <w:pStyle w:val="TextBody"/>
        <w:bidi w:val="0"/>
        <w:spacing w:before="120" w:after="283"/>
        <w:jc w:val="left"/>
        <w:rPr>
          <w:rFonts w:ascii="Arial" w:hAnsi="Arial"/>
          <w:color w:val="000000"/>
          <w:sz w:val="18"/>
        </w:rPr>
      </w:pPr>
      <w:r>
        <w:rPr>
          <w:rFonts w:ascii="Arial" w:hAnsi="Arial"/>
          <w:color w:val="000000"/>
          <w:sz w:val="18"/>
        </w:rPr>
        <w:t>(9)</w:t>
      </w:r>
    </w:p>
    <w:p>
      <w:pPr>
        <w:pStyle w:val="TextBody"/>
        <w:bidi w:val="0"/>
        <w:spacing w:before="120" w:after="283"/>
        <w:jc w:val="left"/>
        <w:rPr>
          <w:rFonts w:ascii="Arial" w:hAnsi="Arial"/>
          <w:color w:val="000000"/>
          <w:sz w:val="18"/>
        </w:rPr>
      </w:pPr>
      <w:r>
        <w:rPr>
          <w:rFonts w:ascii="Arial" w:hAnsi="Arial"/>
          <w:color w:val="000000"/>
          <w:sz w:val="18"/>
        </w:rPr>
        <w:t>Includes (i) 5,422 shares of Class A common stock held of record by Ms. Gulyani, and (ii) 41,159 shares of Class A common stock subject to options exercisable within 60 days of March 31, 2024, of which are fully vested.</w:t>
      </w:r>
    </w:p>
    <w:p>
      <w:pPr>
        <w:pStyle w:val="TextBody"/>
        <w:bidi w:val="0"/>
        <w:spacing w:before="120" w:after="283"/>
        <w:jc w:val="left"/>
        <w:rPr>
          <w:rFonts w:ascii="Arial" w:hAnsi="Arial"/>
          <w:color w:val="000000"/>
          <w:sz w:val="18"/>
        </w:rPr>
      </w:pPr>
      <w:r>
        <w:rPr>
          <w:rFonts w:ascii="Arial" w:hAnsi="Arial"/>
          <w:color w:val="000000"/>
          <w:sz w:val="18"/>
        </w:rPr>
        <w:t>(10)</w:t>
      </w:r>
    </w:p>
    <w:p>
      <w:pPr>
        <w:pStyle w:val="TextBody"/>
        <w:bidi w:val="0"/>
        <w:spacing w:before="120" w:after="283"/>
        <w:jc w:val="left"/>
        <w:rPr>
          <w:rFonts w:ascii="Arial" w:hAnsi="Arial"/>
          <w:color w:val="000000"/>
          <w:sz w:val="18"/>
        </w:rPr>
      </w:pPr>
      <w:r>
        <w:rPr>
          <w:rFonts w:ascii="Arial" w:hAnsi="Arial"/>
          <w:color w:val="000000"/>
          <w:sz w:val="18"/>
        </w:rPr>
        <w:t xml:space="preserve">Includes (i) 1,735,046 shares of Class A common stock of which 54,323 shares may be repurchased by us at the original exercise price and 3,573,593 shares of Class B common stock beneficially owned by our current executive officers and directors and (ii) 4,262,423 shares of Class A common stock subject to options exercisable within 60 days of March 31, 2023 and held by our current executive officers and directors, of which 3,455,055 are fully vested. </w:t>
      </w:r>
    </w:p>
    <w:p>
      <w:pPr>
        <w:pStyle w:val="TextBody"/>
        <w:bidi w:val="0"/>
        <w:spacing w:before="120" w:after="283"/>
        <w:jc w:val="left"/>
        <w:rPr>
          <w:rFonts w:ascii="Arial" w:hAnsi="Arial"/>
          <w:color w:val="000000"/>
          <w:sz w:val="18"/>
        </w:rPr>
      </w:pPr>
      <w:r>
        <w:rPr>
          <w:rFonts w:ascii="Arial" w:hAnsi="Arial"/>
          <w:color w:val="000000"/>
          <w:sz w:val="18"/>
        </w:rPr>
        <w:t>(11)</w:t>
      </w:r>
    </w:p>
    <w:p>
      <w:pPr>
        <w:pStyle w:val="TextBody"/>
        <w:bidi w:val="0"/>
        <w:spacing w:before="120" w:after="283"/>
        <w:jc w:val="left"/>
        <w:rPr>
          <w:rFonts w:ascii="Arial" w:hAnsi="Arial"/>
          <w:color w:val="000000"/>
          <w:sz w:val="18"/>
        </w:rPr>
      </w:pPr>
      <w:r>
        <w:rPr>
          <w:rFonts w:ascii="Arial" w:hAnsi="Arial"/>
          <w:color w:val="000000"/>
          <w:sz w:val="18"/>
        </w:rPr>
        <w:t>Based on the information reported by BlackRock, Inc. (BlackRock) on a Schedule 13G/A filed with the SEC on January 24, 2024. BlackRock holds sole voting power with respect to 5,249,101 shares of Class A common stock and sole dispositive power with respect to 5,791,042 shares of Class A common stock. The address for Blackrock is 50 Hudson Yards, New York, New York 10001.</w:t>
      </w:r>
    </w:p>
    <w:p>
      <w:pPr>
        <w:pStyle w:val="TextBody"/>
        <w:bidi w:val="0"/>
        <w:spacing w:before="120" w:after="283"/>
        <w:jc w:val="left"/>
        <w:rPr>
          <w:rFonts w:ascii="Arial" w:hAnsi="Arial"/>
          <w:color w:val="000000"/>
          <w:sz w:val="18"/>
        </w:rPr>
      </w:pPr>
      <w:r>
        <w:rPr>
          <w:rFonts w:ascii="Arial" w:hAnsi="Arial"/>
          <w:color w:val="000000"/>
          <w:sz w:val="18"/>
        </w:rPr>
        <w:t>(12)</w:t>
      </w:r>
    </w:p>
    <w:p>
      <w:pPr>
        <w:pStyle w:val="TextBody"/>
        <w:bidi w:val="0"/>
        <w:spacing w:before="120" w:after="283"/>
        <w:jc w:val="left"/>
        <w:rPr>
          <w:rFonts w:ascii="Arial" w:hAnsi="Arial"/>
          <w:color w:val="000000"/>
          <w:sz w:val="18"/>
        </w:rPr>
      </w:pPr>
      <w:r>
        <w:rPr>
          <w:rFonts w:ascii="Arial" w:hAnsi="Arial"/>
          <w:color w:val="000000"/>
          <w:sz w:val="18"/>
        </w:rPr>
        <w:t xml:space="preserve">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 The address for each of the other Reporting Persons is 251 Little Falls Drive, Wilmington, DE 19808. </w:t>
      </w:r>
    </w:p>
    <w:p>
      <w:pPr>
        <w:pStyle w:val="TextBody"/>
        <w:bidi w:val="0"/>
        <w:spacing w:before="120" w:after="283"/>
        <w:jc w:val="left"/>
        <w:rPr>
          <w:rFonts w:ascii="Arial" w:hAnsi="Arial"/>
          <w:color w:val="000000"/>
          <w:sz w:val="18"/>
        </w:rPr>
      </w:pPr>
      <w:r>
        <w:rPr>
          <w:rFonts w:ascii="Arial" w:hAnsi="Arial"/>
          <w:color w:val="000000"/>
          <w:sz w:val="18"/>
        </w:rPr>
        <w:t>(13)</w:t>
      </w:r>
    </w:p>
    <w:p>
      <w:pPr>
        <w:pStyle w:val="TextBody"/>
        <w:bidi w:val="0"/>
        <w:spacing w:before="120" w:after="283"/>
        <w:jc w:val="left"/>
        <w:rPr>
          <w:rFonts w:ascii="Arial" w:hAnsi="Arial"/>
          <w:color w:val="000000"/>
          <w:sz w:val="18"/>
        </w:rPr>
      </w:pPr>
      <w:r>
        <w:rPr>
          <w:rFonts w:ascii="Arial" w:hAnsi="Arial"/>
          <w:color w:val="000000"/>
          <w:sz w:val="18"/>
        </w:rPr>
        <w:t>Based on the information reported by aMoon Growth Fund Limited Partnership (aMoon) on a Schedule 13G/A filed with the SEC on January 3, 2024, aMoon holds shared voting and dispositive power with respect to 4,112,235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(14)</w:t>
      </w:r>
    </w:p>
    <w:p>
      <w:pPr>
        <w:pStyle w:val="TextBody"/>
        <w:bidi w:val="0"/>
        <w:spacing w:before="120" w:after="283"/>
        <w:jc w:val="left"/>
        <w:rPr>
          <w:rFonts w:ascii="Arial" w:hAnsi="Arial"/>
          <w:color w:val="000000"/>
          <w:sz w:val="18"/>
        </w:rPr>
      </w:pPr>
      <w:r>
        <w:rPr>
          <w:rFonts w:ascii="Arial" w:hAnsi="Arial"/>
          <w:color w:val="000000"/>
          <w:sz w:val="18"/>
        </w:rPr>
        <w:t>Based on the information reported by Invus Public Equities, L.P. (Invus Public Equities) on a Schedule 13G/A filed with the SEC on February 11, 2022, Invus Public Equities holds sole voting and dispositive power with respect to 4,750,000 shares of Class A common stock, Invus Public Equities Advisors, LLC, the general partner of Invus Public Equities, may be deemed to beneficially own the Shares held by Invus Public Equities. Artal Treasury Limited (Artal Treasury), the managing member of Invus PE Advisors, may be deemed to beneficially own the shares of Class A common stock that Invus PE Advisors may be deemed to beneficially own. Artal International S.C.A. (Artal International), the sole stockholder of Artal Treasury, may be deemed to beneficially own the shares of Class A common stock that Artal Treasury may be deemed to beneficially own. Artal International Management S.A. (Artal International Management), the managing partner of Artal International, controls Artal International and, accordingly, may be deemed to beneficially own the shares of Class A common stock that Artal International may be deemed to beneficially own. Artal Group S.A. (Artal Group), the parent company of Artal International Management, controls Artal International Management and, accordingly, may be deemed to beneficially own the shares of Class A common stock that Artal International Management may be deemed to beneficially own. Westend S.A. (Westend), the parent company of Artal Group, controls Artal Group and, accordingly, may be deemed to beneficially own the Shares that Artal Group may be deemed to beneficially own. Stichting Administratiekantoor Westend (Stichting),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 As of February 9, 2022, in connection with an internal reorganization, Artal Treasury ceased to be the managing member of Invus PE Advisors, and the Geneva branch of Artal International, the sole stockholder of Artal Treasury, became the managing member of Invus PE Advisors and, accordingly, may be deemed to beneficially own the Shares that Invus PE Advisors may be deemed to beneficially own. Effective as of such date, Artal Treasury is no longer deemed to beneficially own the Shares that Invus PE Advisors may be deemed to beneficially own. The address for Invus Public Equities and Invus Public Advisors is 750 Lexington Avenue, 30th Floor, New York, New York 10022. The address for Artal Treasury is Suite 4, Borough House, Rue du Pré, St. Peter Port, Guernsey GY1 3JJ. The address for Stichting is Claude Debussylaan, 46, 1082 MD Amsterdam, The Netherlands. The address for the remaining entities is Valley Park, 44, Rue de la Vallée, L-2661, Luxembourg.</w:t>
      </w:r>
    </w:p>
    <w:p>
      <w:pPr>
        <w:pStyle w:val="TextBody"/>
        <w:bidi w:val="0"/>
        <w:spacing w:before="120" w:after="283"/>
        <w:jc w:val="left"/>
        <w:rPr>
          <w:rFonts w:ascii="Arial" w:hAnsi="Arial"/>
          <w:color w:val="000000"/>
          <w:sz w:val="18"/>
        </w:rPr>
      </w:pPr>
      <w:r>
        <w:rPr>
          <w:rFonts w:ascii="Arial" w:hAnsi="Arial"/>
          <w:color w:val="000000"/>
          <w:sz w:val="18"/>
        </w:rPr>
        <w:t>(15)</w:t>
      </w:r>
    </w:p>
    <w:p>
      <w:pPr>
        <w:pStyle w:val="TextBody"/>
        <w:bidi w:val="0"/>
        <w:spacing w:before="120" w:after="283"/>
        <w:jc w:val="left"/>
        <w:rPr>
          <w:rFonts w:ascii="Arial" w:hAnsi="Arial"/>
          <w:color w:val="000000"/>
          <w:sz w:val="18"/>
        </w:rPr>
      </w:pPr>
      <w:r>
        <w:rPr>
          <w:rFonts w:ascii="Arial" w:hAnsi="Arial"/>
          <w:color w:val="000000"/>
          <w:sz w:val="18"/>
        </w:rPr>
        <w:t>Based on the information reported by FMR LLC (FMR) on a Schedule 13G/A filed with the SEC on February 9, 2024. Of the shares of Class A common stock beneficially owned, FMR has sole voting power with respect to 4,305,115 shares of Class A common stock and sole dispositive power with respect to 4,307,202 shares of Class A common stock.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stockholders have entered into a stockholders’ voting agreement under which all Series B voting common shares will be voted in accordance with the majority vote of Series B voting common shares. The address for FMR is 245 Summer Street, Boston, Massachusetts 02210.</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44" w:name="certain_relationships_related_party_and"/>
      <w:bookmarkEnd w:id="44"/>
      <w:r>
        <w:rPr>
          <w:rFonts w:ascii="Arial" w:hAnsi="Arial"/>
          <w:b/>
          <w:color w:val="000000"/>
          <w:sz w:val="20"/>
        </w:rPr>
        <w:t>CERTAIN RELATIONSHIPS, RELATED PARTY AND OTHER TRANSACTIONS</w:t>
      </w:r>
    </w:p>
    <w:p>
      <w:pPr>
        <w:pStyle w:val="TextBody"/>
        <w:bidi w:val="0"/>
        <w:spacing w:before="240" w:after="283"/>
        <w:jc w:val="left"/>
        <w:rPr>
          <w:rFonts w:ascii="Arial" w:hAnsi="Arial"/>
          <w:color w:val="000000"/>
          <w:sz w:val="20"/>
        </w:rPr>
      </w:pPr>
      <w:r>
        <w:rPr>
          <w:rFonts w:ascii="Arial" w:hAnsi="Arial"/>
          <w:color w:val="000000"/>
          <w:sz w:val="20"/>
        </w:rPr>
        <w:t>We describe below transactions and series of similar transactions in our last fiscal year to which we were a party or will be a party, in which:</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amounts involved exceeded or will exceed $120,000;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pStyle w:val="TextBody"/>
        <w:bidi w:val="0"/>
        <w:spacing w:before="240" w:after="283"/>
        <w:jc w:val="left"/>
        <w:rPr>
          <w:rFonts w:ascii="Times New Roman" w:hAnsi="Times New Roman"/>
          <w:sz w:val="20"/>
        </w:rPr>
      </w:pPr>
      <w:r>
        <w:rPr>
          <w:rFonts w:ascii="Arial" w:hAnsi="Arial"/>
          <w:color w:val="000000"/>
          <w:sz w:val="20"/>
        </w:rPr>
        <w:t>We have granted stock options and RSUs to our executive officers and certain of our directors. See the sections titled “Executive Compensation—Outstanding Equity Awards at Fiscal Year-End” and “Management—Director Compensation” for a description of these stock incentive awards.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2023, we were party to an amended and restated investors’ rights agreement, dated as of December 9, 2020 (IRA), which provided,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pStyle w:val="TextBody"/>
        <w:bidi w:val="0"/>
        <w:spacing w:before="240" w:after="283"/>
        <w:jc w:val="left"/>
        <w:rPr>
          <w:rFonts w:ascii="Arial" w:hAnsi="Arial"/>
          <w:color w:val="000000"/>
          <w:sz w:val="20"/>
        </w:rPr>
      </w:pPr>
      <w:r>
        <w:rPr>
          <w:rFonts w:ascii="Arial" w:hAnsi="Arial"/>
          <w:color w:val="000000"/>
          <w:sz w:val="20"/>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pStyle w:val="TextBody"/>
        <w:bidi w:val="0"/>
        <w:spacing w:before="240" w:after="283"/>
        <w:jc w:val="left"/>
        <w:rPr>
          <w:rFonts w:ascii="Arial" w:hAnsi="Arial"/>
          <w:color w:val="000000"/>
          <w:sz w:val="20"/>
        </w:rPr>
      </w:pPr>
      <w:r>
        <w:rPr>
          <w:rFonts w:ascii="Arial" w:hAnsi="Arial"/>
          <w:color w:val="000000"/>
          <w:sz w:val="20"/>
        </w:rPr>
        <w:t>Other than as described above under this section titled “Certain Relationships and Related Party and Other Transactions,” since January 1, 2023,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pStyle w:val="TextBody"/>
        <w:bidi w:val="0"/>
        <w:spacing w:before="240" w:after="283"/>
        <w:jc w:val="left"/>
        <w:rPr>
          <w:rFonts w:ascii="Times New Roman" w:hAnsi="Times New Roman"/>
          <w:sz w:val="20"/>
        </w:rPr>
      </w:pPr>
      <w:r>
        <w:rPr>
          <w:rFonts w:ascii="Arial" w:hAnsi="Arial"/>
          <w:b/>
          <w:color w:val="000000"/>
          <w:sz w:val="20"/>
        </w:rPr>
        <w:t>Policies and Procedures for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bookmarkStart w:id="45" w:name="environmental_social_responsibility_and"/>
      <w:bookmarkEnd w:id="45"/>
      <w:r>
        <w:rPr>
          <w:rFonts w:ascii="Arial" w:hAnsi="Arial"/>
          <w:b/>
          <w:color w:val="000000"/>
          <w:sz w:val="20"/>
        </w:rPr>
        <w:t>Environmental, Social Responsibility and Governance Matters</w:t>
      </w:r>
    </w:p>
    <w:p>
      <w:pPr>
        <w:pStyle w:val="TextBody"/>
        <w:bidi w:val="0"/>
        <w:spacing w:before="240" w:after="283"/>
        <w:jc w:val="left"/>
        <w:rPr>
          <w:rFonts w:ascii="Times New Roman" w:hAnsi="Times New Roman"/>
          <w:sz w:val="20"/>
        </w:rPr>
      </w:pPr>
      <w:r>
        <w:rPr>
          <w:rFonts w:ascii="Arial" w:hAnsi="Arial"/>
          <w:color w:val="000000"/>
          <w:sz w:val="20"/>
        </w:rPr>
        <w:t>We believe in sustainable business operations, social responsibility and maintaining governance structures that promote effective oversight. Our corporate governance and nominating committee will oversee and advise the board of directors on management of the Company’s strategy, initiatives, risks, opportunities and reporting on matters related to Environmental, Social Responsibility and Governance (ESG). Included below is a description of certain early key ESG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Diversity &amp; Inclusion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strive to create and maintain a workplace free from discrimination or harassment on the basis of color, race, sex, national origin, ethnicity, religion, age, disability, sexual orientation, gender identification or expression or any other status protected by applicable law. Currently, approximately 62% of our full-time employees are female or from underrepresented communities and approximately 29% of our board is comprised of women. In 2021, we formed an employee resource group aimed at promoting the engagement of women. Our management team and employees are expected to exhibit and promote ethical and respectful conduct in the workplace. All of our employees must adhere to a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color, race, sex, national origin, ethnicity, religion, age, disability, sexual orientation, or gender identification.</w:t>
      </w:r>
    </w:p>
    <w:p>
      <w:pPr>
        <w:pStyle w:val="TextBody"/>
        <w:bidi w:val="0"/>
        <w:spacing w:before="240" w:after="283"/>
        <w:jc w:val="left"/>
        <w:rPr>
          <w:rFonts w:ascii="Times New Roman" w:hAnsi="Times New Roman"/>
          <w:sz w:val="20"/>
        </w:rPr>
      </w:pPr>
      <w:r>
        <w:rPr>
          <w:rFonts w:ascii="Arial" w:hAnsi="Arial"/>
          <w:b/>
          <w:color w:val="000000"/>
          <w:sz w:val="20"/>
        </w:rPr>
        <w:t>Competitive Pay &amp; Benefits and Pay Equity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strive to provide competitive and robust compensation and benefits programs that help meet the varying needs of our employees. Our total rewards package includes competitive pay, comprehensive healthcare benefits package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employees the opportunity to participate in our ESPP and 401(k)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Employee Development &amp; Training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 review process in which managers help set stretch goals and provide regular feedback to assist with the development of our employees. We have partnered with Ken Blanchard Companies to offer leadership development training to our current and potential people leaders. On an annual basis, we conduct a company-wide survey developed by Great Place to Work. For three years in a row, (2021, 2022, and 2023), the results of the survey allowed us to be certified and use the Great Place to Work badge until May 2024.</w:t>
      </w:r>
    </w:p>
    <w:p>
      <w:pPr>
        <w:pStyle w:val="TextBody"/>
        <w:bidi w:val="0"/>
        <w:spacing w:before="240" w:after="283"/>
        <w:jc w:val="left"/>
        <w:rPr>
          <w:rFonts w:ascii="Times New Roman" w:hAnsi="Times New Roman"/>
          <w:sz w:val="20"/>
        </w:rPr>
      </w:pPr>
      <w:r>
        <w:rPr>
          <w:rFonts w:ascii="Arial" w:hAnsi="Arial"/>
          <w:b/>
          <w:color w:val="000000"/>
          <w:sz w:val="20"/>
        </w:rPr>
        <w:t>Safety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safety, health and wellness of our employees is a top priority. We maintain an Injury &amp; Illness Protection Plan (IIPP) designed to sustain the health and safety of our employees and comply with health and safety standards as required by federal, state and local government agencies, taking into consideration guidelines of the Centers for Disease Control and Prevention and other public health authorities.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Giving Back to Communities in Which We Operate</w:t>
      </w:r>
    </w:p>
    <w:p>
      <w:pPr>
        <w:pStyle w:val="TextBody"/>
        <w:bidi w:val="0"/>
        <w:spacing w:before="240" w:after="283"/>
        <w:jc w:val="left"/>
        <w:rPr>
          <w:rFonts w:ascii="Times New Roman" w:hAnsi="Times New Roman"/>
          <w:sz w:val="20"/>
        </w:rPr>
      </w:pPr>
      <w:r>
        <w:rPr>
          <w:rFonts w:ascii="Arial" w:hAnsi="Arial"/>
          <w:color w:val="000000"/>
          <w:sz w:val="20"/>
        </w:rPr>
        <w:t>One of our corporate values is “We Are Difference Makers.” We support the communities in which we live and work. We strive to make the world a better place.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Since January 2022, we have maintained a Community Service Committee made up of cross functional employees and leaders. The committee’s charter is to help set the giving priorities for the year and they have been tasked with offering quarterly opportunities to give back to our community. We are proud that our team has donated money and volunteered their time to organizations such as Family Giving Tree, Second Harvest Food Bank, SF Marin Food Bank, Feeding San Diego and the Alzheimer's Association among others.</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6" w:name="other_matters"/>
      <w:bookmarkEnd w:id="46"/>
      <w:r>
        <w:rPr>
          <w:rFonts w:ascii="Arial" w:hAnsi="Arial"/>
          <w:b/>
          <w:color w:val="000000"/>
          <w:sz w:val="20"/>
        </w:rPr>
        <w:t>OTHER</w:t>
      </w:r>
      <w:r>
        <w:rPr>
          <w:rFonts w:ascii="Times New Roman" w:hAnsi="Times New Roman"/>
          <w:color w:val="000000"/>
          <w:sz w:val="20"/>
        </w:rPr>
        <w:t xml:space="preserve"> </w:t>
      </w:r>
      <w:r>
        <w:rPr>
          <w:rFonts w:ascii="Arial" w:hAnsi="Arial"/>
          <w:b/>
          <w:color w:val="000000"/>
          <w:sz w:val="20"/>
        </w:rPr>
        <w:t>MATTERS</w:t>
      </w:r>
    </w:p>
    <w:p>
      <w:pPr>
        <w:pStyle w:val="TextBody"/>
        <w:bidi w:val="0"/>
        <w:spacing w:before="240" w:after="283"/>
        <w:jc w:val="left"/>
        <w:rPr>
          <w:rFonts w:ascii="Arial" w:hAnsi="Arial"/>
          <w:b/>
          <w:color w:val="000000"/>
          <w:sz w:val="20"/>
        </w:rPr>
      </w:pPr>
      <w:bookmarkStart w:id="47" w:name="delinquent_section_16a_reports"/>
      <w:bookmarkEnd w:id="47"/>
      <w:r>
        <w:rPr>
          <w:rFonts w:ascii="Arial" w:hAnsi="Arial"/>
          <w:b/>
          <w:color w:val="000000"/>
          <w:sz w:val="20"/>
        </w:rPr>
        <w:t>Delinquent Section 16(a) Reports</w:t>
      </w:r>
    </w:p>
    <w:p>
      <w:pPr>
        <w:pStyle w:val="TextBody"/>
        <w:bidi w:val="0"/>
        <w:spacing w:before="240" w:after="283"/>
        <w:jc w:val="left"/>
        <w:rPr>
          <w:rFonts w:ascii="Arial" w:hAnsi="Arial"/>
          <w:color w:val="000000"/>
          <w:sz w:val="20"/>
        </w:rPr>
      </w:pPr>
      <w:r>
        <w:rPr>
          <w:rFonts w:ascii="Arial" w:hAnsi="Arial"/>
          <w:color w:val="000000"/>
          <w:sz w:val="20"/>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before="240" w:after="240"/>
        <w:jc w:val="left"/>
        <w:rPr>
          <w:rFonts w:ascii="Arial" w:hAnsi="Arial"/>
          <w:color w:val="000000"/>
          <w:sz w:val="20"/>
        </w:rPr>
      </w:pPr>
      <w:r>
        <w:rPr>
          <w:rFonts w:ascii="Arial" w:hAnsi="Arial"/>
          <w:color w:val="000000"/>
          <w:sz w:val="20"/>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2023, all executive officers, directors and greater than 10% stockholders complied with all applicable SEC filing requirements.</w:t>
      </w:r>
    </w:p>
    <w:p>
      <w:pPr>
        <w:pStyle w:val="TextBody"/>
        <w:bidi w:val="0"/>
        <w:spacing w:before="240" w:after="240"/>
        <w:jc w:val="left"/>
        <w:rPr>
          <w:rFonts w:ascii="Arial" w:hAnsi="Arial"/>
          <w:b/>
          <w:color w:val="000000"/>
          <w:sz w:val="20"/>
        </w:rPr>
      </w:pPr>
      <w:bookmarkStart w:id="48" w:name="fiscal_year_2022_annual_report_and_sec_f"/>
      <w:bookmarkEnd w:id="48"/>
      <w:r>
        <w:rPr>
          <w:rFonts w:ascii="Arial" w:hAnsi="Arial"/>
          <w:b/>
          <w:color w:val="000000"/>
          <w:sz w:val="20"/>
        </w:rPr>
        <w:t>Fiscal Year 2023 Annual Report and SEC Filings</w:t>
      </w:r>
    </w:p>
    <w:p>
      <w:pPr>
        <w:pStyle w:val="TextBody"/>
        <w:bidi w:val="0"/>
        <w:spacing w:before="240" w:after="283"/>
        <w:jc w:val="left"/>
        <w:rPr>
          <w:rFonts w:ascii="Arial" w:hAnsi="Arial"/>
          <w:color w:val="000000"/>
          <w:sz w:val="20"/>
        </w:rPr>
      </w:pPr>
      <w:r>
        <w:rPr>
          <w:rFonts w:ascii="Arial" w:hAnsi="Arial"/>
          <w:color w:val="000000"/>
          <w:sz w:val="20"/>
        </w:rPr>
        <w:t>Our financial statements for our fiscal year ended December 31, 2023 are included in our Annual Report on Form 10-K filed with the SEC on March 4, 2024.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pStyle w:val="TextBody"/>
        <w:bidi w:val="0"/>
        <w:spacing w:before="240" w:after="283"/>
        <w:jc w:val="center"/>
        <w:rPr>
          <w:rFonts w:ascii="Arial" w:hAnsi="Arial"/>
          <w:color w:val="000000"/>
          <w:sz w:val="20"/>
        </w:rPr>
      </w:pPr>
      <w:r>
        <w:rPr>
          <w:rFonts w:ascii="Arial" w:hAnsi="Arial"/>
          <w:color w:val="000000"/>
          <w:sz w:val="20"/>
        </w:rPr>
        <w:t>* * *</w:t>
      </w:r>
    </w:p>
    <w:p>
      <w:pPr>
        <w:pStyle w:val="TextBody"/>
        <w:bidi w:val="0"/>
        <w:spacing w:before="240" w:after="283"/>
        <w:jc w:val="left"/>
        <w:rPr>
          <w:rFonts w:ascii="Arial" w:hAnsi="Arial"/>
          <w:color w:val="000000"/>
          <w:sz w:val="20"/>
        </w:rPr>
      </w:pPr>
      <w:r>
        <w:rPr>
          <w:rFonts w:ascii="Arial" w:hAnsi="Arial"/>
          <w:color w:val="000000"/>
          <w:sz w:val="20"/>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pStyle w:val="TextBody"/>
        <w:bidi w:val="0"/>
        <w:spacing w:before="240" w:after="283"/>
        <w:jc w:val="left"/>
        <w:rPr>
          <w:rFonts w:ascii="Arial" w:hAnsi="Arial"/>
          <w:color w:val="000000"/>
          <w:sz w:val="20"/>
        </w:rPr>
      </w:pPr>
      <w:r>
        <w:rPr>
          <w:rFonts w:ascii="Arial" w:hAnsi="Arial"/>
          <w:color w:val="000000"/>
          <w:sz w:val="20"/>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w:t>
      </w:r>
    </w:p>
    <w:p>
      <w:pPr>
        <w:pStyle w:val="TextBody"/>
        <w:bidi w:val="0"/>
        <w:jc w:val="left"/>
        <w:rPr/>
      </w:pPr>
      <w:r>
        <w:rPr/>
        <w:t> </w:t>
      </w:r>
    </w:p>
    <w:tbl>
      <w:tblPr>
        <w:tblW w:w="2982" w:type="dxa"/>
        <w:jc w:val="left"/>
        <w:tblInd w:w="0" w:type="dxa"/>
        <w:tblLayout w:type="fixed"/>
        <w:tblCellMar>
          <w:top w:w="28" w:type="dxa"/>
          <w:left w:w="28" w:type="dxa"/>
          <w:bottom w:w="28" w:type="dxa"/>
          <w:right w:w="28" w:type="dxa"/>
        </w:tblCellMar>
      </w:tblPr>
      <w:tblGrid>
        <w:gridCol w:w="161"/>
        <w:gridCol w:w="2821"/>
      </w:tblGrid>
      <w:tr>
        <w:trPr/>
        <w:tc>
          <w:tcPr>
            <w:tcW w:w="16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THE BOARD OF DIRECTORS</w:t>
            </w:r>
          </w:p>
        </w:tc>
      </w:tr>
      <w:tr>
        <w:trPr/>
        <w:tc>
          <w:tcPr>
            <w:tcW w:w="161"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jc w:val="left"/>
              <w:rPr>
                <w:rFonts w:ascii="Arial" w:hAnsi="Arial"/>
                <w:color w:val="000000"/>
                <w:sz w:val="20"/>
              </w:rPr>
            </w:pPr>
            <w:r>
              <w:rPr>
                <w:rFonts w:ascii="Arial" w:hAnsi="Arial"/>
                <w:color w:val="000000"/>
                <w:sz w:val="20"/>
              </w:rPr>
              <w:t>Redwood City, California</w:t>
            </w:r>
          </w:p>
          <w:p>
            <w:pPr>
              <w:pStyle w:val="TableContents"/>
              <w:bidi w:val="0"/>
              <w:spacing w:before="0" w:after="283"/>
              <w:jc w:val="left"/>
              <w:rPr>
                <w:rFonts w:ascii="Arial" w:hAnsi="Arial"/>
                <w:color w:val="000000"/>
                <w:sz w:val="20"/>
              </w:rPr>
            </w:pPr>
            <w:r>
              <w:rPr>
                <w:rFonts w:ascii="Arial" w:hAnsi="Arial"/>
                <w:color w:val="000000"/>
                <w:sz w:val="20"/>
              </w:rPr>
              <w:t>April 26, 2024</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505575" cy="8420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505575" cy="84201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THIS PROXY CARD IS VALID ONLY WHEN SIGNED AND DATED. DETACH AND RETURN THIS PORTION ONLY V35548-P07175 The Board of Directors recommends you vote FOR proposal 2. 2. Ratification of the appointment of Deloitte &amp; Touche LLP as our independent registered public accounting firm for our fiscal year ending December 31, 2024. NOTE: The proxy holders will vote in their discretion on any other business as may properly come before the Annual Meeting or any adjournment or postponement thereof. For Against Abstain SEER, INC. SEER, INC. 3800 BRIDGE PARKWAY, SUITE 102 REDWOOD CITY, CALIFORNIA 94065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For All Withhold All For All Except 1. Election of Directors 01) Omid Farokhzad, M.D. 02) Meeta Gulyani 03) David Hallal 04) Terrance McGuire Nominees: The Board of Directors recommends you vote FOR the following: To withhold authority to vote for any individual nominee(s), mark "For All Except" and write the number(s) of the nominee(s) on the line below. VOTE BY INTERNET Before The Meeting - Go to www.proxyvote.com or scan the QR Barcode above Use the Internet to transmit your voting instructions and for electronic delivery of information. Vote by 11:59 P.M. ET on June 11, 2024. Have your proxy card in hand when you access the web site and follow the instructions to obtain your records and to create an electronic voting instruction form. During The Meeting - Go to www.virtualshareholdermeeting.com/SEER2024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ET on June 11, 2024.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 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505575" cy="8420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505575" cy="84201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Important Notice Regarding the Availability of Proxy Materials for the Annual Meeting: The Notice &amp; Proxy Statement and Form 10-K are available at www.proxyvote.com. V35549-P07175 SEER, INC. 2024 Annual Meeting of Stockholders June 12, 2024 at 1:00 p.m. (Pacific Time) This proxy is solicited by the Board of Directors The undersigned hereby appoints David Horn and Elona Kogan, or one of them, as proxies, each with the power to appoint his or her substitute, and hereby authorizes them to represent and to vote, as designated on the reverse side of this ballot, all of the shares of common stock of SEER, INC. that the stockholder(s) is/are entitled to vote at the Annual Meeting of Stockholders to be held at 1:00 p.m. (Pacific Time) on June 12, 2024 and will be conducted virtually via live webcast. You will be able to attend the Annual Meeting virtually by visiting www.virtualshareholdermeeting.com/SEER2024, where you will be able to listen to the meeting live, submit questions and vote online by entering the control number located on your proxy card. This proxy, when properly executed, will be voted in the manner directed herein. If no such direction is made, this proxy will be voted in accordance with the Board of Directors' recommendations. The above named proxies are authorized to vote in their discretion upon such other business as may properly come before the meeting or any adjournments or postponements thereof. Continued and to be signed on reverse sid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33806</Words>
  <Characters>181129</Characters>
  <CharactersWithSpaces>216054</CharactersWithSpaces>
  <Paragraphs>5290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