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November 9, 2021, Seer, Inc. (the “Company”) issued a press release (the “Press Release”) announcing results for the quarter ended September 30, 2021. A copy of the Press Release is attached as Exhibit 99.1 to this current report on Form 8-K and is incorporated by reference herein.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1537970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324"/>
        </w:trPr>
        <w:tc>
          <w:tcPr>
            <w:tcW w:w="20" w:type="dxa"/>
            <w:vAlign w:val="bottom"/>
          </w:tcPr>
          <w:p>
            <w:pPr>
              <w:spacing w:after="0"/>
              <w:rPr>
                <w:sz w:val="24"/>
                <w:szCs w:val="24"/>
                <w:color w:val="auto"/>
              </w:rPr>
            </w:pPr>
          </w:p>
        </w:tc>
        <w:tc>
          <w:tcPr>
            <w:tcW w:w="122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00" w:type="dxa"/>
            <w:vAlign w:val="bottom"/>
          </w:tcPr>
          <w:p>
            <w:pPr>
              <w:ind w:left="340"/>
              <w:spacing w:after="0"/>
              <w:rPr>
                <w:sz w:val="20"/>
                <w:szCs w:val="20"/>
                <w:color w:val="auto"/>
              </w:rPr>
            </w:pPr>
            <w:r>
              <w:rPr>
                <w:rFonts w:ascii="Arial" w:cs="Arial" w:eastAsia="Arial" w:hAnsi="Arial"/>
                <w:sz w:val="18"/>
                <w:szCs w:val="18"/>
                <w:color w:val="auto"/>
              </w:rPr>
              <w:t>Press Release dated November 9, 2021</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900" w:type="dxa"/>
            <w:vAlign w:val="bottom"/>
          </w:tcPr>
          <w:p>
            <w:pPr>
              <w:spacing w:after="0"/>
              <w:rPr>
                <w:sz w:val="21"/>
                <w:szCs w:val="21"/>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350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undersigned hereunto duly authorized.</w:t>
            </w:r>
          </w:p>
        </w:tc>
        <w:tc>
          <w:tcPr>
            <w:tcW w:w="46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485"/>
        </w:trPr>
        <w:tc>
          <w:tcPr>
            <w:tcW w:w="578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5780" w:type="dxa"/>
            <w:vAlign w:val="bottom"/>
          </w:tcPr>
          <w:p>
            <w:pPr>
              <w:ind w:left="4420"/>
              <w:spacing w:after="0"/>
              <w:rPr>
                <w:sz w:val="20"/>
                <w:szCs w:val="20"/>
                <w:color w:val="auto"/>
              </w:rPr>
            </w:pPr>
            <w:r>
              <w:rPr>
                <w:rFonts w:ascii="Arial" w:cs="Arial" w:eastAsia="Arial" w:hAnsi="Arial"/>
                <w:sz w:val="18"/>
                <w:szCs w:val="18"/>
                <w:color w:val="auto"/>
                <w:w w:val="90"/>
              </w:rPr>
              <w:t>November 9, 2021</w:t>
            </w:r>
          </w:p>
        </w:tc>
        <w:tc>
          <w:tcPr>
            <w:tcW w:w="46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Horn</w:t>
            </w:r>
          </w:p>
        </w:tc>
      </w:tr>
      <w:tr>
        <w:trPr>
          <w:trHeight w:val="222"/>
        </w:trPr>
        <w:tc>
          <w:tcPr>
            <w:tcW w:w="5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David Horn</w:t>
            </w:r>
          </w:p>
        </w:tc>
      </w:tr>
      <w:tr>
        <w:trPr>
          <w:trHeight w:val="230"/>
        </w:trPr>
        <w:tc>
          <w:tcPr>
            <w:tcW w:w="5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Seer Reports Third Quarter 2021 Financial Results</w:t>
      </w:r>
    </w:p>
    <w:p>
      <w:pPr>
        <w:spacing w:after="0" w:line="201" w:lineRule="exact"/>
        <w:rPr>
          <w:sz w:val="20"/>
          <w:szCs w:val="20"/>
          <w:color w:val="auto"/>
        </w:rPr>
      </w:pPr>
    </w:p>
    <w:p>
      <w:pPr>
        <w:jc w:val="center"/>
        <w:ind w:left="340" w:right="200"/>
        <w:spacing w:after="0" w:line="310" w:lineRule="auto"/>
        <w:rPr>
          <w:sz w:val="20"/>
          <w:szCs w:val="20"/>
          <w:color w:val="auto"/>
        </w:rPr>
      </w:pPr>
      <w:r>
        <w:rPr>
          <w:rFonts w:ascii="Arial" w:cs="Arial" w:eastAsia="Arial" w:hAnsi="Arial"/>
          <w:sz w:val="20"/>
          <w:szCs w:val="20"/>
          <w:i w:val="1"/>
          <w:iCs w:val="1"/>
          <w:color w:val="auto"/>
        </w:rPr>
        <w:t xml:space="preserve">Customers demonstrate novel methods using </w:t>
      </w:r>
      <w:r>
        <w:rPr>
          <w:rFonts w:ascii="Arial" w:cs="Arial" w:eastAsia="Arial" w:hAnsi="Arial"/>
          <w:sz w:val="18"/>
          <w:szCs w:val="18"/>
          <w:i w:val="1"/>
          <w:iCs w:val="1"/>
          <w:color w:val="auto"/>
        </w:rPr>
        <w:t>the Proteograph Product Suite</w:t>
      </w:r>
      <w:r>
        <w:rPr>
          <w:rFonts w:ascii="Arial" w:cs="Arial" w:eastAsia="Arial" w:hAnsi="Arial"/>
          <w:sz w:val="20"/>
          <w:szCs w:val="20"/>
          <w:i w:val="1"/>
          <w:iCs w:val="1"/>
          <w:color w:val="auto"/>
        </w:rPr>
        <w:t xml:space="preserve"> and continued commercial momentum ahead of Broad Release in early 2022</w:t>
      </w:r>
    </w:p>
    <w:p>
      <w:pPr>
        <w:spacing w:after="0" w:line="6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Nov 9, 2021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third quarter ended September 30, 2021.</w:t>
      </w:r>
    </w:p>
    <w:p>
      <w:pPr>
        <w:spacing w:after="0" w:line="20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“We continued to make outstanding progress this quarter and I could not be more pleased with the momentum of our business as we approach the close of 2021 and prepare for Broad Release in early 2022,” said Omid Farokhzad, Chair and Chief Executive Officer. “There continues to be growing enthusiasm and energy around our technology. I am inspired by the progress of our customers, proud of the strides we are making with our Proteograph Product Suite, and very grateful for the continued hard work of the Seer team.”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7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of $2.2 million for the third quarter of 2021, including $1.6 million of product-related revenue</w:t>
      </w:r>
    </w:p>
    <w:p>
      <w:pPr>
        <w:spacing w:after="0" w:line="174" w:lineRule="exact"/>
        <w:rPr>
          <w:rFonts w:ascii="Arial" w:cs="Arial" w:eastAsia="Arial" w:hAnsi="Arial"/>
          <w:sz w:val="22"/>
          <w:szCs w:val="22"/>
          <w:color w:val="auto"/>
        </w:rPr>
      </w:pPr>
    </w:p>
    <w:p>
      <w:pPr>
        <w:ind w:left="340" w:right="20" w:hanging="332"/>
        <w:spacing w:after="0" w:line="239"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18"/>
          <w:szCs w:val="18"/>
          <w:color w:val="auto"/>
        </w:rPr>
        <w:t>Added new Limited Release customers during the third quarter and are on track to meet our target of a high single-digit number of Limited Release customers across key applications and markets</w:t>
      </w:r>
    </w:p>
    <w:p>
      <w:pPr>
        <w:spacing w:after="0" w:line="95"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Demonstrated traction with customer adoption, seen with submissions to recent scientific conferences:</w:t>
      </w:r>
    </w:p>
    <w:p>
      <w:pPr>
        <w:spacing w:after="0" w:line="252"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Oregon Health Sciences University, Knight Cancer Institute has initiated their large-scale, prostate cancer proteomics study - that will include at least 500, and possibly up to 1000, serum samples.</w:t>
      </w:r>
    </w:p>
    <w:p>
      <w:pPr>
        <w:spacing w:after="0" w:line="89" w:lineRule="exact"/>
        <w:rPr>
          <w:rFonts w:ascii="Arial" w:cs="Arial" w:eastAsia="Arial" w:hAnsi="Arial"/>
          <w:sz w:val="18"/>
          <w:szCs w:val="18"/>
          <w:color w:val="auto"/>
        </w:rPr>
      </w:pPr>
    </w:p>
    <w:p>
      <w:pPr>
        <w:ind w:left="980" w:hanging="324"/>
        <w:spacing w:after="0" w:line="277" w:lineRule="auto"/>
        <w:tabs>
          <w:tab w:leader="none" w:pos="100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Broad Institute demonstrated the Proteograph’s ability to reduce time and labor dramatically, while robustly and deeply sampling the proteome, with increased sensitivity.</w:t>
      </w:r>
    </w:p>
    <w:p>
      <w:pPr>
        <w:spacing w:after="0" w:line="89" w:lineRule="exact"/>
        <w:rPr>
          <w:rFonts w:ascii="Arial" w:cs="Arial" w:eastAsia="Arial" w:hAnsi="Arial"/>
          <w:sz w:val="18"/>
          <w:szCs w:val="18"/>
          <w:color w:val="auto"/>
        </w:rPr>
      </w:pPr>
    </w:p>
    <w:p>
      <w:pPr>
        <w:ind w:left="980" w:hanging="324"/>
        <w:spacing w:after="0" w:line="277" w:lineRule="auto"/>
        <w:tabs>
          <w:tab w:leader="none" w:pos="103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Sanford Burnham Prebys Medical Discovery Institute demonstrated the compatibility of the Proteograph with a popular multiplexing method - Tandem Mass Tag (TMT).</w:t>
      </w:r>
    </w:p>
    <w:p>
      <w:pPr>
        <w:spacing w:after="0" w:line="89" w:lineRule="exact"/>
        <w:rPr>
          <w:rFonts w:ascii="Arial" w:cs="Arial" w:eastAsia="Arial" w:hAnsi="Arial"/>
          <w:sz w:val="18"/>
          <w:szCs w:val="18"/>
          <w:color w:val="auto"/>
        </w:rPr>
      </w:pPr>
    </w:p>
    <w:p>
      <w:pPr>
        <w:ind w:left="980" w:hanging="324"/>
        <w:spacing w:after="0" w:line="277" w:lineRule="auto"/>
        <w:tabs>
          <w:tab w:leader="none" w:pos="101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Protein Metrics data showed that the Proteograph can analyze subpopulations of the glycoproteome, an important post-translation modification for biomarker discovery, without the need for glycopeptide-specific enrichment.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Revenue was $2.2 million for the three months ended September 30, 2021, as compared to $72 thousand for the three months ended September 30, 2020. The increase was the result of sales of products related to our Proteograph Product Suite and services performed for a large pharmaceutical company. Product-related revenue was $1.6 million, including $787 thousand of related party revenue, service revenue was $500 thousand, and grant revenue was $10 thousand.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revenue, was $1.2 million and gross margin was 54% for the third quarter of 2021.</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expenses were $19.6 million for the third quarter of 2021, as compared to $8.5 million for the corresponding prior year period. The increase in expenses was driven by increased compensation, benefit and stock-based compensation expense associated with an increase in personnel, and an increase in costs associated with becoming a publicly traded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Net loss was $18.4 million for the third quarter of 2021, as compared to $8.2 million for the corresponding prior year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0" w:right="339" w:bottom="1440" w:gutter="0" w:footer="0" w:header="0"/>
        </w:sectPr>
      </w:pPr>
    </w:p>
    <w:bookmarkStart w:id="5" w:name="page6"/>
    <w:bookmarkEnd w:id="5"/>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$506.6 million as of September 30, 2021.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Seer will host a conference call to discuss the third quarter 2021 financial results on Tuesday, November 9, 2021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Seer is a life sciences company developing transformative products that open up a new gateway to the proteome. Seer is commercializing its Proteograph™ Product Suite, an integrated solution that includes proprietary engineered nanoparticles, consumables, automation instrumentation and software to perform deep, unbiased proteomic analysis at scale in a matter of hours. Seer designed the Proteograph workflow to be efficient and easy-to-use, leveraging widely adopted laboratory instrumentation to provide a decentralized solution that can be adopted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000FF"/>
        </w:rPr>
        <w:t>www.seer.bio</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our timing and ability to enable unbiased, deep and rapid proteomics available at scale. These and other risks are described more fully in the Company’s filings with the Securities and Exchange Commission (“SEC”), including the Company’s Quarterly Report on Form 10-Q, to be filed with the SEC on November 9, 2021,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pr@seer.bio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Seer, Inc.</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24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Pr>
          <w:p>
            <w:pPr>
              <w:ind w:left="240"/>
              <w:spacing w:after="0"/>
              <w:rPr>
                <w:sz w:val="20"/>
                <w:szCs w:val="20"/>
                <w:color w:val="auto"/>
              </w:rPr>
            </w:pPr>
            <w:r>
              <w:rPr>
                <w:rFonts w:ascii="Arial" w:cs="Arial" w:eastAsia="Arial" w:hAnsi="Arial"/>
                <w:sz w:val="18"/>
                <w:szCs w:val="18"/>
                <w:color w:val="auto"/>
              </w:rPr>
              <w:t>Related party</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394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24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Related party</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50"/>
        </w:trPr>
        <w:tc>
          <w:tcPr>
            <w:tcW w:w="39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(18,385)</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94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8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9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Weighted-average common shares outstanding, basic</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61,133,518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10,285,401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60,625,601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99"/>
          </w:cols>
          <w:pgMar w:left="8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599"/>
          </w:cols>
          <w:pgMar w:left="860" w:top="1440" w:right="1440" w:bottom="1440" w:gutter="0" w:footer="0" w:header="0"/>
          <w:type w:val="continuous"/>
        </w:sectPr>
      </w:pPr>
    </w:p>
    <w:bookmarkStart w:id="7" w:name="page8"/>
    <w:bookmarkEnd w:id="7"/>
    <w:p>
      <w:pPr>
        <w:jc w:val="center"/>
        <w:ind w:right="-520"/>
        <w:spacing w:after="0"/>
        <w:rPr>
          <w:sz w:val="20"/>
          <w:szCs w:val="20"/>
          <w:color w:val="auto"/>
        </w:rPr>
      </w:pPr>
      <w:r>
        <w:rPr>
          <w:rFonts w:ascii="Arial" w:cs="Arial" w:eastAsia="Arial" w:hAnsi="Arial"/>
          <w:sz w:val="16"/>
          <w:szCs w:val="16"/>
          <w:b w:val="1"/>
          <w:bCs w:val="1"/>
          <w:color w:val="auto"/>
        </w:rPr>
        <w:t>Seer, Inc.</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6"/>
        </w:trPr>
        <w:tc>
          <w:tcPr>
            <w:tcW w:w="6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4"/>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331,402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333,585</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175,202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98,278</w:t>
            </w: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Related party receivables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r>
      <w:tr>
        <w:trPr>
          <w:trHeight w:val="257"/>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514,267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433,128</w:t>
            </w: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r>
      <w:tr>
        <w:trPr>
          <w:trHeight w:val="257"/>
        </w:trPr>
        <w:tc>
          <w:tcPr>
            <w:tcW w:w="64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527,838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442,319</w:t>
            </w:r>
          </w:p>
        </w:tc>
        <w:tc>
          <w:tcPr>
            <w:tcW w:w="100" w:type="dxa"/>
            <w:vAlign w:val="bottom"/>
          </w:tcPr>
          <w:p>
            <w:pPr>
              <w:spacing w:after="0"/>
              <w:rPr>
                <w:sz w:val="22"/>
                <w:szCs w:val="22"/>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85"/>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research and development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r>
      <w:tr>
        <w:trPr>
          <w:trHeight w:val="257"/>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21"/>
                <w:szCs w:val="2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21"/>
                <w:szCs w:val="21"/>
                <w:color w:val="auto"/>
              </w:rPr>
            </w:pPr>
          </w:p>
        </w:tc>
      </w:tr>
      <w:tr>
        <w:trPr>
          <w:trHeight w:val="25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12,642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22"/>
                <w:szCs w:val="22"/>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69"/>
        </w:trPr>
        <w:tc>
          <w:tcPr>
            <w:tcW w:w="6480" w:type="dxa"/>
            <w:vAlign w:val="bottom"/>
          </w:tcPr>
          <w:p>
            <w:pPr>
              <w:ind w:left="220"/>
              <w:spacing w:after="0"/>
              <w:rPr>
                <w:sz w:val="20"/>
                <w:szCs w:val="20"/>
                <w:color w:val="auto"/>
              </w:rPr>
            </w:pPr>
            <w:r>
              <w:rPr>
                <w:rFonts w:ascii="Arial" w:cs="Arial" w:eastAsia="Arial" w:hAnsi="Arial"/>
                <w:sz w:val="18"/>
                <w:szCs w:val="18"/>
                <w:color w:val="auto"/>
                <w:w w:val="90"/>
              </w:rPr>
              <w:t>Preferred stock, $0.00001 par value; 5,000,000 shares authorized as of September 30,</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w w:val="90"/>
              </w:rPr>
              <w:t>2021 and December 31, 2020; zero shares issued and outstanding as of September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6480" w:type="dxa"/>
            <w:vAlign w:val="bottom"/>
          </w:tcPr>
          <w:p>
            <w:pPr>
              <w:ind w:left="380"/>
              <w:spacing w:after="0"/>
              <w:rPr>
                <w:sz w:val="20"/>
                <w:szCs w:val="20"/>
                <w:color w:val="auto"/>
              </w:rPr>
            </w:pPr>
            <w:r>
              <w:rPr>
                <w:rFonts w:ascii="Arial" w:cs="Arial" w:eastAsia="Arial" w:hAnsi="Arial"/>
                <w:sz w:val="18"/>
                <w:szCs w:val="18"/>
                <w:color w:val="auto"/>
              </w:rPr>
              <w:t>30, 2021 and December 31, 2020</w:t>
            </w:r>
          </w:p>
        </w:tc>
        <w:tc>
          <w:tcPr>
            <w:tcW w:w="18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Class A common stock, $0.00001 par value; 94,000,000 shares authorized as of</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3"/>
        </w:trPr>
        <w:tc>
          <w:tcPr>
            <w:tcW w:w="6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3"/>
              </w:rPr>
              <w:t>September 30, 2021 and December 31, 2020; 56,967,870 and 53,395,319 shares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issued and outstanding as of September 30, 2021 and December 31, 2020,</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r>
      <w:tr>
        <w:trPr>
          <w:trHeight w:val="269"/>
        </w:trPr>
        <w:tc>
          <w:tcPr>
            <w:tcW w:w="6480" w:type="dxa"/>
            <w:vAlign w:val="bottom"/>
          </w:tcPr>
          <w:p>
            <w:pPr>
              <w:ind w:left="220"/>
              <w:spacing w:after="0"/>
              <w:rPr>
                <w:sz w:val="20"/>
                <w:szCs w:val="20"/>
                <w:color w:val="auto"/>
              </w:rPr>
            </w:pPr>
            <w:r>
              <w:rPr>
                <w:rFonts w:ascii="Arial" w:cs="Arial" w:eastAsia="Arial" w:hAnsi="Arial"/>
                <w:sz w:val="18"/>
                <w:szCs w:val="18"/>
                <w:color w:val="auto"/>
                <w:w w:val="99"/>
              </w:rPr>
              <w:t>Class B common stock, $0.00001 par value; 6,000,000 shares authorized as of</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w w:val="96"/>
              </w:rPr>
              <w:t>September 30, 2021 and December 31, 2020; 4,686,028 and 5,865,732 shares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rPr>
              <w:t>issued and outstanding as of September 30, 2021 and December 31, 2020,</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64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2"/>
                <w:szCs w:val="2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621,994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486,915</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r>
      <w:tr>
        <w:trPr>
          <w:trHeight w:val="257"/>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(106,791)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(55,361)</w:t>
            </w:r>
          </w:p>
        </w:tc>
        <w:tc>
          <w:tcPr>
            <w:tcW w:w="100" w:type="dxa"/>
            <w:vAlign w:val="bottom"/>
            <w:shd w:val="clear" w:color="auto" w:fill="CCEEFF"/>
          </w:tcPr>
          <w:p>
            <w:pPr>
              <w:spacing w:after="0"/>
              <w:rPr>
                <w:sz w:val="22"/>
                <w:szCs w:val="22"/>
                <w:color w:val="auto"/>
              </w:rPr>
            </w:pPr>
          </w:p>
        </w:tc>
      </w:tr>
      <w:tr>
        <w:trPr>
          <w:trHeight w:val="250"/>
        </w:trPr>
        <w:tc>
          <w:tcPr>
            <w:tcW w:w="6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515,196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431,609</w:t>
            </w:r>
          </w:p>
        </w:tc>
        <w:tc>
          <w:tcPr>
            <w:tcW w:w="100" w:type="dxa"/>
            <w:vAlign w:val="bottom"/>
            <w:tcBorders>
              <w:bottom w:val="single" w:sz="8" w:color="CCEEFF"/>
            </w:tcBorders>
          </w:tcPr>
          <w:p>
            <w:pPr>
              <w:spacing w:after="0"/>
              <w:rPr>
                <w:sz w:val="21"/>
                <w:szCs w:val="21"/>
                <w:color w:val="auto"/>
              </w:rPr>
            </w:pPr>
          </w:p>
        </w:tc>
      </w:tr>
      <w:tr>
        <w:trPr>
          <w:trHeight w:val="281"/>
        </w:trPr>
        <w:tc>
          <w:tcPr>
            <w:tcW w:w="6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527,838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59"/>
          </w:cols>
          <w:pgMar w:left="900" w:top="14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4</w:t>
      </w:r>
    </w:p>
    <w:sectPr>
      <w:pgSz w:w="11900" w:h="16838" w:orient="portrait"/>
      <w:cols w:equalWidth="0" w:num="1">
        <w:col w:w="9559"/>
      </w:cols>
      <w:pgMar w:left="900" w:top="14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2021-11-09T15:32:20Z</dcterms:created>
  <dcterms:modified xsi:type="dcterms:W3CDTF">2021-11-09T15:32:20Z</dcterms:modified>
</cp:coreProperties>
</file>