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5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Ronaghi Mostafa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02/13/2021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5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3800 BRIDGE PARKWAY,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29" w:lineRule="exact"/>
        <w:rPr>
          <w:sz w:val="24"/>
          <w:szCs w:val="24"/>
          <w:color w:val="auto"/>
        </w:rPr>
      </w:pPr>
    </w:p>
    <w:p>
      <w:pPr>
        <w:sectPr>
          <w:pgSz w:w="11900" w:h="16850" w:orient="portrait"/>
          <w:cols w:equalWidth="0" w:num="3">
            <w:col w:w="4277" w:space="720"/>
            <w:col w:w="3003" w:space="269"/>
            <w:col w:w="2671"/>
          </w:cols>
          <w:pgMar w:left="480" w:top="230" w:right="479" w:bottom="0" w:gutter="0" w:footer="0" w:header="0"/>
          <w:type w:val="continuous"/>
        </w:sectPr>
      </w:pPr>
    </w:p>
    <w:p>
      <w:pPr>
        <w:spacing w:after="0" w:line="6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2010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20104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40" w:type="dxa"/>
            <w:vAlign w:val="bottom"/>
          </w:tcPr>
          <w:p>
            <w:pPr>
              <w:jc w:val="center"/>
              <w:ind w:left="1062"/>
              <w:spacing w:after="0"/>
              <w:rPr>
                <w:sz w:val="20"/>
                <w:szCs w:val="20"/>
                <w:color w:val="auto"/>
              </w:rPr>
            </w:pPr>
            <w:r>
              <w:rPr>
                <w:rFonts w:ascii="Times New Roman" w:cs="Times New Roman" w:eastAsia="Times New Roman" w:hAnsi="Times New Roman"/>
                <w:sz w:val="20"/>
                <w:szCs w:val="20"/>
                <w:color w:val="0000FF"/>
                <w:w w:val="98"/>
              </w:rPr>
              <w:t>191,515</w:t>
            </w:r>
          </w:p>
        </w:tc>
        <w:tc>
          <w:tcPr>
            <w:tcW w:w="1060" w:type="dxa"/>
            <w:vAlign w:val="bottom"/>
          </w:tcPr>
          <w:p>
            <w:pPr>
              <w:jc w:val="center"/>
              <w:ind w:left="22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740" w:type="dxa"/>
            <w:vAlign w:val="bottom"/>
            <w:tcBorders>
              <w:bottom w:val="single" w:sz="8" w:color="2C2C2C"/>
            </w:tcBorders>
          </w:tcPr>
          <w:p>
            <w:pPr>
              <w:spacing w:after="0"/>
              <w:rPr>
                <w:sz w:val="6"/>
                <w:szCs w:val="6"/>
                <w:color w:val="auto"/>
              </w:rPr>
            </w:pPr>
          </w:p>
        </w:tc>
        <w:tc>
          <w:tcPr>
            <w:tcW w:w="3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4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4"/>
              </w:rPr>
              <w:t>15,157</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4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4"/>
              </w:rPr>
              <w:t>76,722</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4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4"/>
              </w:rPr>
              <w:t>76,722</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04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4"/>
              </w:rPr>
              <w:t>76,722</w:t>
            </w:r>
          </w:p>
        </w:tc>
        <w:tc>
          <w:tcPr>
            <w:tcW w:w="1060" w:type="dxa"/>
            <w:vAlign w:val="bottom"/>
            <w:tcBorders>
              <w:bottom w:val="single" w:sz="8" w:color="2C2C2C"/>
            </w:tcBorders>
          </w:tcPr>
          <w:p>
            <w:pPr>
              <w:jc w:val="center"/>
              <w:ind w:left="22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4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3"/>
                <w:szCs w:val="13"/>
                <w:color w:val="auto"/>
              </w:rPr>
            </w:pPr>
          </w:p>
        </w:tc>
        <w:tc>
          <w:tcPr>
            <w:tcW w:w="800" w:type="dxa"/>
            <w:vAlign w:val="bottom"/>
          </w:tcPr>
          <w:p>
            <w:pPr>
              <w:ind w:left="14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(5)</w:t>
            </w:r>
          </w:p>
        </w:tc>
        <w:tc>
          <w:tcPr>
            <w:tcW w:w="178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14,310</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Phi-X Capital, LLC, for which the reporting person serves as a manager.</w:t>
      </w:r>
    </w:p>
    <w:p>
      <w:pPr>
        <w:spacing w:after="0" w:line="52"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First Republic Trust Company of Delaware LLC, trustee of a dynasty trust for the reporting person's minor daughter and for which the reporting person serves as an investment advisor.</w:t>
      </w:r>
    </w:p>
    <w:p>
      <w:pPr>
        <w:spacing w:after="0" w:line="17"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First Republic Trust Company of Delaware LLC, trustee of a dynasty trust for the reporting person's minor son and for which the reporting person serves as an investment advisor.</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Ronaghi Children's Trust UTD December 2014 for which the reporting person serves as a 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Class B Common Stock is convertible at any time into Class A Common Stock on a one-to-one basis at the reporting person's election and has no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Elona Kogan, by power</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02/18/2021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96"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50" w:orient="portrait"/>
          <w:cols w:equalWidth="0" w:num="1">
            <w:col w:w="10940"/>
          </w:cols>
          <w:pgMar w:left="480" w:top="230" w:right="479" w:bottom="0" w:gutter="0" w:footer="0" w:header="0"/>
          <w:type w:val="continuous"/>
        </w:sectPr>
      </w:pPr>
    </w:p>
    <w:bookmarkStart w:id="1" w:name="page2"/>
    <w:bookmarkEnd w:id="1"/>
    <w:p>
      <w:pPr>
        <w:spacing w:after="0" w:line="28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8" w:right="559" w:bottom="1440" w:gutter="0" w:footer="0" w:header="0"/>
        </w:sectPr>
      </w:pPr>
    </w:p>
    <w:bookmarkStart w:id="2" w:name="page3"/>
    <w:bookmarkEnd w:id="2"/>
    <w:p>
      <w:pPr>
        <w:jc w:val="center"/>
        <w:ind w:right="49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559" w:firstLine="937"/>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Seer, Inc. (the "Company"), hereby constitutes and appoints David Horn, Elona Kogan and Jen Maggio, and each of them, the undersigned's true and lawful attorney-in-fact, to:</w:t>
      </w:r>
    </w:p>
    <w:p>
      <w:pPr>
        <w:spacing w:after="0" w:line="87" w:lineRule="exact"/>
        <w:rPr>
          <w:sz w:val="20"/>
          <w:szCs w:val="20"/>
          <w:color w:val="auto"/>
        </w:rPr>
      </w:pPr>
    </w:p>
    <w:p>
      <w:pPr>
        <w:ind w:right="1319" w:firstLine="702"/>
        <w:spacing w:after="0" w:line="256"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09" w:lineRule="exact"/>
        <w:rPr>
          <w:rFonts w:ascii="Courier New" w:cs="Courier New" w:eastAsia="Courier New" w:hAnsi="Courier New"/>
          <w:sz w:val="20"/>
          <w:szCs w:val="20"/>
          <w:color w:val="auto"/>
        </w:rPr>
      </w:pPr>
    </w:p>
    <w:p>
      <w:pPr>
        <w:ind w:right="1439" w:firstLine="702"/>
        <w:spacing w:after="0" w:line="275"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U.S.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1199" w:firstLine="702"/>
        <w:spacing w:after="0" w:line="294"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7" w:lineRule="exact"/>
        <w:rPr>
          <w:sz w:val="20"/>
          <w:szCs w:val="20"/>
          <w:color w:val="auto"/>
        </w:rPr>
      </w:pPr>
    </w:p>
    <w:p>
      <w:pPr>
        <w:ind w:right="1079" w:firstLine="702"/>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w:t>
      </w:r>
    </w:p>
    <w:p>
      <w:pPr>
        <w:ind w:right="1319"/>
        <w:spacing w:after="0" w:line="274" w:lineRule="auto"/>
        <w:rPr>
          <w:sz w:val="20"/>
          <w:szCs w:val="20"/>
          <w:color w:val="auto"/>
        </w:rPr>
      </w:pPr>
      <w:r>
        <w:rPr>
          <w:rFonts w:ascii="Courier New" w:cs="Courier New" w:eastAsia="Courier New" w:hAnsi="Courier New"/>
          <w:sz w:val="20"/>
          <w:szCs w:val="20"/>
          <w:color w:val="auto"/>
        </w:rPr>
        <w:t>to the undersigned's holdings of and transactions in securities issued by the Company, unless earlier revoked by the undersigned in a signed writing delivered to the Company and the foregoing attorneys-in-fact.</w:t>
      </w:r>
    </w:p>
    <w:p>
      <w:pPr>
        <w:spacing w:after="0" w:line="88" w:lineRule="exact"/>
        <w:rPr>
          <w:sz w:val="20"/>
          <w:szCs w:val="20"/>
          <w:color w:val="auto"/>
        </w:rPr>
      </w:pPr>
    </w:p>
    <w:p>
      <w:pPr>
        <w:ind w:right="119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February, 2021.</w:t>
      </w:r>
    </w:p>
    <w:p>
      <w:pPr>
        <w:spacing w:after="0" w:line="1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Mostafa Ronaghi</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Mostafa Ronaghi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41876"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2021-02-18T20:12:52Z</dcterms:created>
  <dcterms:modified xsi:type="dcterms:W3CDTF">2021-02-18T20:12:52Z</dcterms:modified>
</cp:coreProperties>
</file>