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71" w:lineRule="exact"/>
        <w:rPr>
          <w:sz w:val="24"/>
          <w:szCs w:val="24"/>
          <w:color w:val="auto"/>
        </w:rPr>
      </w:pPr>
    </w:p>
    <w:p>
      <w:pPr>
        <w:ind w:left="4160" w:right="3020" w:hanging="4152"/>
        <w:spacing w:after="0" w:line="335" w:lineRule="auto"/>
        <w:tabs>
          <w:tab w:leader="none" w:pos="266"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December 31, 2024</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or</w:t>
      </w:r>
    </w:p>
    <w:p>
      <w:pPr>
        <w:spacing w:after="0" w:line="71" w:lineRule="exact"/>
        <w:rPr>
          <w:sz w:val="24"/>
          <w:szCs w:val="24"/>
          <w:color w:val="auto"/>
        </w:rPr>
      </w:pPr>
    </w:p>
    <w:p>
      <w:pPr>
        <w:ind w:left="3320" w:right="2760" w:hanging="3312"/>
        <w:spacing w:after="0" w:line="335" w:lineRule="auto"/>
        <w:tabs>
          <w:tab w:leader="none" w:pos="1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 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 w:lineRule="exact"/>
        <w:rPr>
          <w:rFonts w:ascii="Times New Roman" w:cs="Times New Roman" w:eastAsia="Times New Roman" w:hAnsi="Times New Roman"/>
          <w:sz w:val="16"/>
          <w:szCs w:val="16"/>
          <w:b w:val="1"/>
          <w:bCs w:val="1"/>
          <w:color w:val="auto"/>
        </w:rPr>
      </w:pPr>
    </w:p>
    <w:p>
      <w:pPr>
        <w:ind w:left="44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SEER, INC.</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p>
      <w:pPr>
        <w:spacing w:after="0" w:line="132"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82-1153150</w:t>
      </w:r>
    </w:p>
    <w:p>
      <w:pPr>
        <w:spacing w:after="0" w:line="42" w:lineRule="exact"/>
        <w:rPr>
          <w:sz w:val="24"/>
          <w:szCs w:val="24"/>
          <w:color w:val="auto"/>
        </w:rPr>
      </w:pPr>
    </w:p>
    <w:p>
      <w:pPr>
        <w:sectPr>
          <w:pgSz w:w="11900" w:h="16838" w:orient="portrait"/>
          <w:cols w:equalWidth="0" w:num="2">
            <w:col w:w="7940" w:space="720"/>
            <w:col w:w="2560"/>
          </w:cols>
          <w:pgMar w:left="320" w:top="1359" w:right="35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42" w:lineRule="exact"/>
        <w:rPr>
          <w:sz w:val="24"/>
          <w:szCs w:val="24"/>
          <w:color w:val="auto"/>
        </w:rPr>
      </w:pPr>
    </w:p>
    <w:p>
      <w:pPr>
        <w:sectPr>
          <w:pgSz w:w="11900" w:h="16838" w:orient="portrait"/>
          <w:cols w:equalWidth="0" w:num="2">
            <w:col w:w="7020" w:space="720"/>
            <w:col w:w="3480"/>
          </w:cols>
          <w:pgMar w:left="320" w:top="1359"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jc w:val="center"/>
        <w:ind w:right="-39"/>
        <w:spacing w:after="0" w:line="229" w:lineRule="auto"/>
        <w:rPr>
          <w:sz w:val="20"/>
          <w:szCs w:val="20"/>
          <w:color w:val="auto"/>
        </w:rPr>
      </w:pPr>
      <w:r>
        <w:rPr>
          <w:rFonts w:ascii="Times New Roman" w:cs="Times New Roman" w:eastAsia="Times New Roman" w:hAnsi="Times New Roman"/>
          <w:sz w:val="14"/>
          <w:szCs w:val="14"/>
          <w:b w:val="1"/>
          <w:bCs w:val="1"/>
          <w:color w:val="auto"/>
        </w:rPr>
        <w:t>Redwood City, California 94065</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650-453-0000</w:t>
      </w:r>
    </w:p>
    <w:p>
      <w:pPr>
        <w:sectPr>
          <w:pgSz w:w="11900" w:h="16838" w:orient="portrait"/>
          <w:cols w:equalWidth="0" w:num="1">
            <w:col w:w="11220"/>
          </w:cols>
          <w:pgMar w:left="320" w:top="1359" w:right="359" w:bottom="1440" w:gutter="0" w:footer="0" w:header="0"/>
          <w:type w:val="continuous"/>
        </w:sectPr>
      </w:pP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120" w:type="dxa"/>
            <w:vAlign w:val="bottom"/>
            <w:gridSpan w:val="7"/>
          </w:tcPr>
          <w:p>
            <w:pPr>
              <w:jc w:val="center"/>
              <w:ind w:left="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80" w:type="dxa"/>
            <w:vAlign w:val="bottom"/>
          </w:tcPr>
          <w:p>
            <w:pPr>
              <w:spacing w:after="0"/>
              <w:rPr>
                <w:sz w:val="16"/>
                <w:szCs w:val="16"/>
                <w:color w:val="auto"/>
              </w:rPr>
            </w:pPr>
          </w:p>
        </w:tc>
      </w:tr>
      <w:tr>
        <w:trPr>
          <w:trHeight w:val="131"/>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580" w:type="dxa"/>
            <w:vAlign w:val="bottom"/>
          </w:tcPr>
          <w:p>
            <w:pPr>
              <w:spacing w:after="0"/>
              <w:rPr>
                <w:sz w:val="11"/>
                <w:szCs w:val="11"/>
                <w:color w:val="auto"/>
              </w:rPr>
            </w:pPr>
          </w:p>
        </w:tc>
      </w:tr>
      <w:tr>
        <w:trPr>
          <w:trHeight w:val="267"/>
        </w:trPr>
        <w:tc>
          <w:tcPr>
            <w:tcW w:w="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120" w:type="dxa"/>
            <w:vAlign w:val="bottom"/>
            <w:gridSpan w:val="4"/>
          </w:tcPr>
          <w:p>
            <w:pPr>
              <w:jc w:val="center"/>
              <w:ind w:right="920"/>
              <w:spacing w:after="0"/>
              <w:rPr>
                <w:sz w:val="20"/>
                <w:szCs w:val="20"/>
                <w:color w:val="auto"/>
              </w:rPr>
            </w:pPr>
            <w:r>
              <w:rPr>
                <w:rFonts w:ascii="Times New Roman" w:cs="Times New Roman" w:eastAsia="Times New Roman" w:hAnsi="Times New Roman"/>
                <w:sz w:val="14"/>
                <w:szCs w:val="14"/>
                <w:i w:val="1"/>
                <w:iCs w:val="1"/>
                <w:color w:val="auto"/>
              </w:rPr>
              <w:t>Copies to:</w:t>
            </w:r>
          </w:p>
        </w:tc>
        <w:tc>
          <w:tcPr>
            <w:tcW w:w="3580" w:type="dxa"/>
            <w:vAlign w:val="bottom"/>
          </w:tcPr>
          <w:p>
            <w:pPr>
              <w:spacing w:after="0"/>
              <w:rPr>
                <w:sz w:val="23"/>
                <w:szCs w:val="23"/>
                <w:color w:val="auto"/>
              </w:rPr>
            </w:pPr>
          </w:p>
        </w:tc>
      </w:tr>
      <w:tr>
        <w:trPr>
          <w:trHeight w:val="213"/>
        </w:trPr>
        <w:tc>
          <w:tcPr>
            <w:tcW w:w="20" w:type="dxa"/>
            <w:vAlign w:val="bottom"/>
          </w:tcPr>
          <w:p>
            <w:pPr>
              <w:spacing w:after="0"/>
              <w:rPr>
                <w:sz w:val="18"/>
                <w:szCs w:val="18"/>
                <w:color w:val="auto"/>
              </w:rPr>
            </w:pPr>
          </w:p>
        </w:tc>
        <w:tc>
          <w:tcPr>
            <w:tcW w:w="350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20" w:type="dxa"/>
            <w:vAlign w:val="bottom"/>
            <w:gridSpan w:val="4"/>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173"/>
        </w:trPr>
        <w:tc>
          <w:tcPr>
            <w:tcW w:w="20" w:type="dxa"/>
            <w:vAlign w:val="bottom"/>
          </w:tcPr>
          <w:p>
            <w:pPr>
              <w:spacing w:after="0"/>
              <w:rPr>
                <w:sz w:val="15"/>
                <w:szCs w:val="15"/>
                <w:color w:val="auto"/>
              </w:rPr>
            </w:pPr>
          </w:p>
        </w:tc>
        <w:tc>
          <w:tcPr>
            <w:tcW w:w="3500" w:type="dxa"/>
            <w:vAlign w:val="bottom"/>
            <w:tcBorders>
              <w:top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SEER</w:t>
            </w:r>
          </w:p>
        </w:tc>
        <w:tc>
          <w:tcPr>
            <w:tcW w:w="120" w:type="dxa"/>
            <w:vAlign w:val="bottom"/>
            <w:gridSpan w:val="2"/>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580" w:type="dxa"/>
            <w:vAlign w:val="bottom"/>
            <w:tcBorders>
              <w:top w:val="single" w:sz="8" w:color="auto"/>
            </w:tcBorders>
          </w:tcPr>
          <w:p>
            <w:pPr>
              <w:jc w:val="center"/>
              <w:ind w:right="68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120" w:type="dxa"/>
            <w:vAlign w:val="bottom"/>
            <w:gridSpan w:val="7"/>
          </w:tcPr>
          <w:p>
            <w:pPr>
              <w:jc w:val="center"/>
              <w:ind w:left="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580" w:type="dxa"/>
            <w:vAlign w:val="bottom"/>
          </w:tcPr>
          <w:p>
            <w:pPr>
              <w:spacing w:after="0"/>
              <w:rPr>
                <w:sz w:val="16"/>
                <w:szCs w:val="16"/>
                <w:color w:val="auto"/>
              </w:rPr>
            </w:pPr>
          </w:p>
        </w:tc>
      </w:tr>
      <w:tr>
        <w:trPr>
          <w:trHeight w:val="230"/>
        </w:trPr>
        <w:tc>
          <w:tcPr>
            <w:tcW w:w="11220" w:type="dxa"/>
            <w:vAlign w:val="bottom"/>
            <w:gridSpan w:val="10"/>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r>
        <w:trPr>
          <w:trHeight w:val="242"/>
        </w:trPr>
        <w:tc>
          <w:tcPr>
            <w:tcW w:w="764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5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6"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8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84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 w:lineRule="exact"/>
        <w:rPr>
          <w:sz w:val="24"/>
          <w:szCs w:val="24"/>
          <w:color w:val="auto"/>
        </w:rPr>
      </w:pPr>
    </w:p>
    <w:p>
      <w:pPr>
        <w:ind w:right="5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00" w:val="left"/>
          <w:tab w:leader="none" w:pos="72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Stock Market on June 28, 2024, was approximately $95.8 million.</w:t>
      </w:r>
    </w:p>
    <w:p>
      <w:pPr>
        <w:spacing w:after="0" w:line="1"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As of February 26, 2025, the registrant had 55,737,066 shares of Class A common stock, $0.00001 par value per share, and 4,044,969 of Class B common stock, $0.00001 par value per share, outstanding.</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2"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2025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20" w:type="dxa"/>
            <w:vAlign w:val="bottom"/>
            <w:gridSpan w:val="15"/>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432"/>
        </w:trPr>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color w:val="0000FF"/>
                <w:w w:val="99"/>
              </w:rPr>
              <w:t>Part I.</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3380" w:type="dxa"/>
            <w:vAlign w:val="bottom"/>
            <w:gridSpan w:val="17"/>
          </w:tcPr>
          <w:p>
            <w:pPr>
              <w:spacing w:after="0"/>
              <w:rPr>
                <w:sz w:val="24"/>
                <w:szCs w:val="24"/>
                <w:color w:val="auto"/>
              </w:rPr>
            </w:pPr>
          </w:p>
        </w:tc>
        <w:tc>
          <w:tcPr>
            <w:tcW w:w="440" w:type="dxa"/>
            <w:vAlign w:val="bottom"/>
            <w:tcBorders>
              <w:top w:val="single" w:sz="8" w:color="0000FF"/>
            </w:tcBorders>
            <w:gridSpan w:val="3"/>
          </w:tcPr>
          <w:p>
            <w:pPr>
              <w:spacing w:after="0"/>
              <w:rPr>
                <w:sz w:val="24"/>
                <w:szCs w:val="24"/>
                <w:color w:val="auto"/>
              </w:rPr>
            </w:pPr>
          </w:p>
        </w:tc>
        <w:tc>
          <w:tcPr>
            <w:tcW w:w="3600" w:type="dxa"/>
            <w:vAlign w:val="bottom"/>
            <w:gridSpan w:val="8"/>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7160" w:type="dxa"/>
            <w:vAlign w:val="bottom"/>
            <w:gridSpan w:val="24"/>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40" w:type="dxa"/>
            <w:vAlign w:val="bottom"/>
            <w:gridSpan w:val="17"/>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80" w:type="dxa"/>
            <w:vAlign w:val="bottom"/>
            <w:gridSpan w:val="23"/>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0"/>
        </w:trPr>
        <w:tc>
          <w:tcPr>
            <w:tcW w:w="124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277"/>
        </w:trPr>
        <w:tc>
          <w:tcPr>
            <w:tcW w:w="12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50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Part II.</w:t>
            </w:r>
          </w:p>
        </w:tc>
        <w:tc>
          <w:tcPr>
            <w:tcW w:w="3560" w:type="dxa"/>
            <w:vAlign w:val="bottom"/>
            <w:gridSpan w:val="7"/>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[Reserved]</w:t>
            </w:r>
          </w:p>
        </w:tc>
      </w:tr>
      <w:tr>
        <w:trPr>
          <w:trHeight w:val="20"/>
        </w:trPr>
        <w:tc>
          <w:tcPr>
            <w:tcW w:w="124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6"/>
          </w:tcPr>
          <w:p>
            <w:pPr>
              <w:spacing w:after="0"/>
              <w:rPr>
                <w:sz w:val="24"/>
                <w:szCs w:val="24"/>
                <w:color w:val="auto"/>
              </w:rPr>
            </w:pPr>
          </w:p>
        </w:tc>
        <w:tc>
          <w:tcPr>
            <w:tcW w:w="1620" w:type="dxa"/>
            <w:vAlign w:val="bottom"/>
            <w:gridSpan w:val="3"/>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r>
      <w:tr>
        <w:trPr>
          <w:trHeight w:val="20"/>
        </w:trPr>
        <w:tc>
          <w:tcPr>
            <w:tcW w:w="124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80" w:type="dxa"/>
            <w:vAlign w:val="bottom"/>
            <w:gridSpan w:val="2"/>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320" w:type="dxa"/>
            <w:vAlign w:val="bottom"/>
            <w:gridSpan w:val="20"/>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180" w:type="dxa"/>
            <w:vAlign w:val="bottom"/>
            <w:gridSpan w:val="5"/>
          </w:tcPr>
          <w:p>
            <w:pPr>
              <w:spacing w:after="0"/>
              <w:rPr>
                <w:sz w:val="24"/>
                <w:szCs w:val="24"/>
                <w:color w:val="auto"/>
              </w:rPr>
            </w:pPr>
          </w:p>
        </w:tc>
      </w:tr>
      <w:tr>
        <w:trPr>
          <w:trHeight w:val="277"/>
        </w:trPr>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80" w:type="dxa"/>
            <w:vAlign w:val="bottom"/>
            <w:gridSpan w:val="13"/>
          </w:tcPr>
          <w:p>
            <w:pPr>
              <w:jc w:val="center"/>
              <w:ind w:right="3540"/>
              <w:spacing w:after="0"/>
              <w:rPr>
                <w:sz w:val="20"/>
                <w:szCs w:val="20"/>
                <w:color w:val="auto"/>
              </w:rPr>
            </w:pPr>
            <w:r>
              <w:rPr>
                <w:rFonts w:ascii="Times New Roman" w:cs="Times New Roman" w:eastAsia="Times New Roman" w:hAnsi="Times New Roman"/>
                <w:sz w:val="18"/>
                <w:szCs w:val="18"/>
                <w:color w:val="0000FF"/>
                <w:w w:val="96"/>
              </w:rPr>
              <w:t>Part III.</w:t>
            </w:r>
          </w:p>
        </w:tc>
      </w:tr>
      <w:tr>
        <w:trPr>
          <w:trHeight w:val="20"/>
        </w:trPr>
        <w:tc>
          <w:tcPr>
            <w:tcW w:w="12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2260" w:type="dxa"/>
            <w:vAlign w:val="bottom"/>
            <w:tcBorders>
              <w:top w:val="single" w:sz="8" w:color="0000FF"/>
            </w:tcBorders>
            <w:gridSpan w:val="8"/>
          </w:tcPr>
          <w:p>
            <w:pPr>
              <w:spacing w:after="0"/>
              <w:rPr>
                <w:sz w:val="24"/>
                <w:szCs w:val="24"/>
                <w:color w:val="auto"/>
              </w:rPr>
            </w:pPr>
          </w:p>
        </w:tc>
        <w:tc>
          <w:tcPr>
            <w:tcW w:w="4000" w:type="dxa"/>
            <w:vAlign w:val="bottom"/>
            <w:gridSpan w:val="10"/>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2640" w:type="dxa"/>
            <w:vAlign w:val="bottom"/>
            <w:gridSpan w:val="4"/>
          </w:tcPr>
          <w:p>
            <w:pPr>
              <w:spacing w:after="0"/>
              <w:rPr>
                <w:sz w:val="24"/>
                <w:szCs w:val="24"/>
                <w:color w:val="auto"/>
              </w:rPr>
            </w:pPr>
          </w:p>
        </w:tc>
      </w:tr>
      <w:tr>
        <w:trPr>
          <w:trHeight w:val="277"/>
        </w:trPr>
        <w:tc>
          <w:tcPr>
            <w:tcW w:w="12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gridSpan w:val="14"/>
          </w:tcPr>
          <w:p>
            <w:pPr>
              <w:jc w:val="center"/>
              <w:ind w:right="2900"/>
              <w:spacing w:after="0"/>
              <w:rPr>
                <w:sz w:val="20"/>
                <w:szCs w:val="20"/>
                <w:color w:val="auto"/>
              </w:rPr>
            </w:pPr>
            <w:r>
              <w:rPr>
                <w:rFonts w:ascii="Times New Roman" w:cs="Times New Roman" w:eastAsia="Times New Roman" w:hAnsi="Times New Roman"/>
                <w:sz w:val="18"/>
                <w:szCs w:val="18"/>
                <w:color w:val="0000FF"/>
                <w:w w:val="98"/>
              </w:rPr>
              <w:t>Part IV.</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840" w:type="dxa"/>
            <w:vAlign w:val="bottom"/>
            <w:gridSpan w:val="2"/>
          </w:tcPr>
          <w:p>
            <w:pPr>
              <w:spacing w:after="0"/>
              <w:rPr>
                <w:sz w:val="24"/>
                <w:szCs w:val="24"/>
                <w:color w:val="auto"/>
              </w:rPr>
            </w:pPr>
          </w:p>
        </w:tc>
        <w:tc>
          <w:tcPr>
            <w:tcW w:w="540" w:type="dxa"/>
            <w:vAlign w:val="bottom"/>
            <w:tcBorders>
              <w:top w:val="single" w:sz="8" w:color="0000FF"/>
            </w:tcBorders>
            <w:gridSpan w:val="7"/>
          </w:tcPr>
          <w:p>
            <w:pPr>
              <w:spacing w:after="0"/>
              <w:rPr>
                <w:sz w:val="24"/>
                <w:szCs w:val="24"/>
                <w:color w:val="auto"/>
              </w:rPr>
            </w:pPr>
          </w:p>
        </w:tc>
        <w:tc>
          <w:tcPr>
            <w:tcW w:w="3540" w:type="dxa"/>
            <w:vAlign w:val="bottom"/>
            <w:gridSpan w:val="6"/>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6500" w:type="dxa"/>
            <w:vAlign w:val="bottom"/>
            <w:gridSpan w:val="21"/>
          </w:tcPr>
          <w:p>
            <w:pPr>
              <w:spacing w:after="0"/>
              <w:rPr>
                <w:sz w:val="24"/>
                <w:szCs w:val="24"/>
                <w:color w:val="auto"/>
              </w:rPr>
            </w:pPr>
          </w:p>
        </w:tc>
      </w:tr>
      <w:tr>
        <w:trPr>
          <w:trHeight w:val="277"/>
        </w:trPr>
        <w:tc>
          <w:tcPr>
            <w:tcW w:w="124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300" w:type="dxa"/>
            <w:vAlign w:val="bottom"/>
            <w:gridSpan w:val="2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1256030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-7620</wp:posOffset>
            </wp:positionV>
            <wp:extent cx="5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14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14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143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14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143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14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14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143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14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14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2">
            <w:col w:w="9840" w:space="720"/>
            <w:col w:w="280"/>
          </w:cols>
          <w:pgMar w:left="440" w:top="1413" w:right="61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122"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key performance indicators,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760" w:right="180" w:hanging="75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among others, revenue, cost of revenue, gross profit, operating expenses, loss from operations and net losses;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commercial strategy and attract customers, including our plans for international expansion;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and pricing for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Proteograph Product Suite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government regulation;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to manage our future growth effectively;</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Class A common stock;</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and risks of our investment in PrognomiQ,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3" w:name="page4"/>
    <w:bookmarkEnd w:id="3"/>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and national and international economic conditions and events;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pandemics, inflation, supply chain interruptions and foreign hostilities, on our business;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Annual Report, whether as a result of any new information, future events or otherwise.</w:t>
      </w:r>
    </w:p>
    <w:p>
      <w:pPr>
        <w:spacing w:after="0" w:line="1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imagine and pioneer new ways to decode the biology of the proteome to improve human health. Through our product, the Proteograph</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Product Suite (Proteograph), we provide researchers with unbiased, deep, rapid and large-scale access to the proteome. With our pioneering development of the Proteograph, its unique capabilities and growing body of scientific evidence, we believe researchers view us as their trusted partner in unlocking novel biological insights that were previously beyond reach. Since our commercial launch in 2021, we have served more than 135 customers in over 20 countries to enable them to drive scientific discoveries and innovation.</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Proteograph is a comprehensive solution that includes consumables, an automation instrument and data analysis software. It leverages our proprietary engineered nanoparticle (NP) technology to provide unprecedented unbiased access to the proteome at scale. The Proteograph has detected over 36,000 proteins across multiple species, and its performance and capabilities have been demonstrated in over 33 peer-reviewed publications, preprints and reviews. With this growing body of third-party validation, a broad range of new customers, including biobanks, biopharmaceutical companies, and academic institutions, are adopting the Proteograph for large-scale proteomic studies, advancing breakthrough discoveries and multi-omics driven precision medicine.</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Prior to the Proteograph, interrogating the human proteome was historically challenging due to its complexity, as multiple protein variants can arise from each gene. This complexity stems from various biological processes that contribute to the functional proteome, including transcription, translation, post-translational modifications (PTMs) and protein interactions.</w:t>
      </w:r>
    </w:p>
    <w:p>
      <w:pPr>
        <w:spacing w:after="0" w:line="122"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To unravel this complexity, researchers require deep, unbiased population-scale studies. Before the introduction of the Proteograph, the largest published deep unbiased plasma proteomics study, which measured at least 600 proteins, was limited to just 48 samples.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traditional proteomic approaches have struggled to provide both depth and scale in studying samples with high dynamic range. Traditional methods fall into two broad categories: (i) unbiased but not scalable; or (ii) scalable but targeted. Traditional deep, unbiased approaches require complex, lengthy, labor- and capital-intensive workflows, restricting their application to small, under-powered studies. Targeted methods, while scalable, are limited to predetermined proteins and lack the peptide-level resolution to accurately differentiate between protein variants within the same biological sample. These limitations have historically forced researchers to choose between study scale and protein coverage depth.</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Today, the Proteograph eliminates this trade-off, enabling researchers to conduct deep, unbiased, population-scale studies over time, allowing them to catalog the proteome, explore protein variants, and understand the intricate relationships between the proteome and disease. Our customers have successfully completed deep, unbiased plasma proteomics studies at scale, quantifying thousands of proteins and hundreds of thousands of peptides across thousands of samples. This deeper level of analysis is driving novel insights into disease mechanisms, biomarker discovery, and potential therapeutic targets.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Researchers in both the proteomics and genomics markets are increasingly adopting the Proteograph to bridge the gap between genome, proteome, and disease. The Proteograph facilitates unprecedented unbiased, deep, large-scale studies, complementing genomics research by adding essential functional context to genetic variation. Advances in next-generation sequencing have enabled the sequencing of millions of human genomes and exomes, identifying more than 1.1 billion individual genetic variants, according to the dbSNP database. However, less than 0.3% of these variants have been cataloged in the ClinVar database with a known relationship to phenotype. This lack of functional annotation is partly due to the imbalance between access to genomic and proteomic data. We believe the Proteograph Product Suite is helping to close this gap.</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Just as large-scale genomic access has transformed that field, large-scale proteomic access is beginning to do the same—revealing new biological insights, mapping novel protein variants, and advancing disease research, diagnostics, and treatment development. By aligning unbiased genomic data at the nucleotide level with proteomic data at the peptide and amino acid level, researchers can better connect genotype to phenotype. We believe our customers are developing more accurate disease biomarkers for diagnostics and therapeutics, accelerating multi-omics driven precision medicine.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Importance of Proteomics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Detailed and complex biological information resides within the proteome. Nearly all functions of an organism depend on the interactions between proteins and other biological molecules. Proteins serve as dynamic indicators of health status, disease progression and therapeutic response. As depicted in Figure 1 below, the genome is a static indicator of an individual’s baseline physiology, while the proteome reveals the current physiological state. Despite its importance, the human proteome is relatively unexplored compared to the human genome.</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Understanding the functional context of proteins is essential for linking genomic information with phenotypes. However, this connection remains limited, as the vast majority of genetic variants lack functional context at the protein level. We believe that enabling researchers to generate large-scale, integrated proteomic and genomic data will enhance their understanding of the relationship between variation, function and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226060</wp:posOffset>
            </wp:positionV>
            <wp:extent cx="5417820" cy="1954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1782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360" w:right="20"/>
        <w:spacing w:after="0" w:line="261" w:lineRule="auto"/>
        <w:rPr>
          <w:sz w:val="20"/>
          <w:szCs w:val="20"/>
          <w:color w:val="auto"/>
        </w:rPr>
      </w:pPr>
      <w:r>
        <w:rPr>
          <w:rFonts w:ascii="Times New Roman" w:cs="Times New Roman" w:eastAsia="Times New Roman" w:hAnsi="Times New Roman"/>
          <w:sz w:val="14"/>
          <w:szCs w:val="14"/>
          <w:color w:val="auto"/>
        </w:rPr>
        <w:t>Figure 1: Utility of genomic vs. proteomic information. Over one million human genomes have been highly characterized with over 1.1 billion variants, but they have low utility and represent a static indicator of risk. The human proteome is far less characterized, but has a much higher utility as a dynamic indicator of health status.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Complexity of the Proteome</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human proteome is dynamic, diverse and complex, with approximately 23,000 genes giving rise to over one million protein variants. As shown in Figure 2 below, these variants arise from various mechanisms, including alternative splicing of RNA transcripts, genetic variations that alter the amino acid sequence of the protein, and post-translational modifications such as phosphorylation and glycosylation. It is estimated that our approximately 23,000 genes give rise to approximately 70,000 protein isoforms through alternative splicing. At a population level, a much larger number of protein isoforms exist because of genetic variants and somatic variants that alter RNA processing. Protein variants can have vastly different biological functions and be expressed in different tissues within the same individual. For example, two isoforms of the protein encoded by CD99L2 have different interacting proteins and those two proteins’ networks are related to distinct diseases (Yang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An example of a protein that has tissue-specific isoform abundance is FOX1, which has differential isoform presence in muscle and brain tissue (Nakahata and Kawamoto). Therefore, it is essential to study and understand proteins at the level of protein variants in the appropriate biosample, and this can be achieved only through large-scale analysis of the proteome at the peptide level.</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A study by Backman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published in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revealed the genomic variation identified in a cohort of approximately 455,000 participants of the UK Biobank exome sequencing study. The study identified a vast amount of protein variation, including almost nine million protein variants, of which more than six million are potentially deleterious and 915,289 are protein loss-of-function variants. On the individual level, each participant had on average 9,506 protein variants, of which 2,945 were potentially deleterious and 214 were loss-of-function variants. However, these variants were only identified at the genomic level and did not account for alternative splicing or post-translational modifications. Considering these additional sources of protein variants, the actual number of protein variants at both individual and population-wide levels is significantly higher.</w:t>
      </w:r>
    </w:p>
    <w:p>
      <w:pPr>
        <w:spacing w:after="0" w:line="13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These findings emphasize the unmet need to understand protein variants at the peptide level and underscore how little is currently known about the complexity of the proteome. We believe understanding protein variation at this level could revolutionize how we diagnose, treat, and monitor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80010</wp:posOffset>
            </wp:positionV>
            <wp:extent cx="5417820" cy="2425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178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4"/>
          <w:szCs w:val="14"/>
          <w:color w:val="auto"/>
        </w:rPr>
        <w:t xml:space="preserve">Figure 2: Functional diversity exists through modifications and interactions of different molecules, from static indicators like the genome to increasingly numerous and complex indicators like the proteome and interactome. Modified from Bludau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Importance of Unbiased, Peptide-level Resolution Proteomics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Importance of an Unbiased Approach in the Discovery of Novel Content</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ability to perform unbiased sampling at scale has transformed biological analysis. In genomics, unbiased sequencing of the genome enabled discovery of novel content, creating new end-market opportunities in basic research and discovery, translational research and clinical applications, including early cancer detection, recurrence monitoring and non-invasive prenatal testing.</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Similar to genomics, we believe that peptide-level resolution is crucial to the discovery of novel content and new biological insights. One example is alternative protein isoforms arising from the same gene locus. At the transcriptome level, these alternative transcripts are known as spliceforms. Most human genes can produce more than one protein spliceform and, according to the Ensembl genome database project, as many as 70,000 protein spliceforms are generated by more than 23,000 human genes through alternative splicing. If we account for additional spliceforms at the population level, arising from genetic variants and somatic variants including those responsible for cancers (which affect RNA processing), the number is much larger. Affinity-based approaches generally cannot differentiate between spliceforms, whereas unbiased MS-based approaches survey proteins at the peptide level, enabling differentiation between spliceforms.</w:t>
      </w:r>
    </w:p>
    <w:p>
      <w:pPr>
        <w:spacing w:after="0" w:line="1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Peptide-level resolution is critical for identifying biologically important novel cancer biomarkers, as we demonstrated in our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paper (Blume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Using data from that paper, we identified several biomarkers at the peptide level that would have been missed if we had only focused on overall protein expression, including bone morphogenic protein 1 (BMP1). In </w:t>
      </w:r>
      <w:r>
        <w:rPr>
          <w:rFonts w:ascii="Times New Roman" w:cs="Times New Roman" w:eastAsia="Times New Roman" w:hAnsi="Times New Roman"/>
          <w:sz w:val="18"/>
          <w:szCs w:val="18"/>
          <w:i w:val="1"/>
          <w:iCs w:val="1"/>
          <w:color w:val="auto"/>
        </w:rPr>
        <w:t>PLOS One,</w:t>
      </w:r>
      <w:r>
        <w:rPr>
          <w:rFonts w:ascii="Times New Roman" w:cs="Times New Roman" w:eastAsia="Times New Roman" w:hAnsi="Times New Roman"/>
          <w:sz w:val="18"/>
          <w:szCs w:val="18"/>
          <w:color w:val="auto"/>
        </w:rPr>
        <w:t xml:space="preserve"> Donovan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find that the known spliceforms of BMP1 exhibit differential abundance in cases and controls; the single short form is more abundant in cancer cases, while the long forms are more abundant in controls. In that paper, we propose a mechanism to explain the differential abundance based on lack of domains in the short form. This highlights the importance of generating data at the peptide level, which is made possible by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231140</wp:posOffset>
            </wp:positionV>
            <wp:extent cx="4663440" cy="23660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634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line="261" w:lineRule="auto"/>
        <w:rPr>
          <w:sz w:val="20"/>
          <w:szCs w:val="20"/>
          <w:color w:val="auto"/>
        </w:rPr>
      </w:pPr>
      <w:r>
        <w:rPr>
          <w:rFonts w:ascii="Times New Roman" w:cs="Times New Roman" w:eastAsia="Times New Roman" w:hAnsi="Times New Roman"/>
          <w:sz w:val="14"/>
          <w:szCs w:val="14"/>
          <w:color w:val="auto"/>
        </w:rPr>
        <w:t>Figure 3: Identification of peptide-level variants of BMP1 enabled by an unbiased approach. Peptide-level identification reveals individual BMP1 variants, showing an opposite pattern of differential expression in the short vs. long variants of BMP1 in individuals with non-small-cell lung cancer (NSCLC) compared to normal controls.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Peptide-level resolution is especially important in proteogenomic analyses, where the presence of allelic variants within proteins confounds affinity-based proteomics methods. In recent work, Karsten Suhre and colleagues in collaboration with our team conducted the first deep, large-scale mass spectrometry (MS)-based genome-wide association search (GWAS) for protein quantitative trait loci (pQTLs) (Suhre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In addition to discovering 252 pQTLs across a discovery cohort of 1,260 American participants and a replication in 325 individuals from Asia with diverse ethnic backgrounds, Suhre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investigated 200 of the strongest cis-pQTLs previously identified using two separate leading affinity-based technologies, which were applied to a cohort of 36,000 Icelandic participants and a cohort of 55,000 UK participants, respectively. Suhre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found that up to one third of the affinity proteomics pQTLs may be affected by epitope effects and, therefore, be false positive identifications due to the presence of protein allelic variants that disrupt or alter the binding of the affinity reagent to the protein surface. Another third of the 200 analyzed pQTLs were confirmed by Seer-based MS proteomics. These findings are consistent with the hypothesis that genetic variants induce changes in protein expression. This study demonstrated the ability of peptide-level resolution in distinguishing between true pQTLs and putatively false identifications of affinity-based proteomics technologies, suggesting that many more pQTLs remain to be discovered using MS-based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99060</wp:posOffset>
            </wp:positionV>
            <wp:extent cx="3522980" cy="3257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2298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60"/>
        <w:spacing w:after="0" w:line="231" w:lineRule="auto"/>
        <w:rPr>
          <w:sz w:val="20"/>
          <w:szCs w:val="20"/>
          <w:color w:val="auto"/>
        </w:rPr>
      </w:pPr>
      <w:r>
        <w:rPr>
          <w:rFonts w:ascii="Times New Roman" w:cs="Times New Roman" w:eastAsia="Times New Roman" w:hAnsi="Times New Roman"/>
          <w:sz w:val="14"/>
          <w:szCs w:val="14"/>
          <w:color w:val="auto"/>
        </w:rPr>
        <w:t>Figure 4: The ability of peptide-level resolution to validate affinity-based pQTL identifications. The 100 strongest pQTLs identified in a cohort of 55,000 participants in UK Biobank are scored by Seer MS data obtained in a discovery cohort of 1,260 American participants and a replication cohort of 325 Asian participants. In the x-axis, each of the 100 pQTLs is sorted by statistical significance in UK Biobank, left being the most significant; in the y-axis, each pQTL is scored according to peptide-level evidence in Seer data, with 1.0 being the highest level of evidence. The pQTLs marked green were found by another affinity-based platform performed in a cohort of 36,000 Icelandic participants; such pQTLs are highly reliable, being independently discovered in two cohorts by two technologies. Almost all highly reliable pQTLs are scored highly by Seer data; conversely, pQTLs that are scored low are likely to be false discoveries, potentially due to epitope effects induced by the presence of protein allelic variants that alter the binding of the affinity reagent to the protein surface.</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Engineered Nanoparticle Technology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Proteograph Product Suite leverages our proprietary engineered NP technology to overcome the limitations of existing methods, and enable an easy-to-use workflow for unbiased, deep, rapid and scalable proteomic analysis. Our proprietary engineered NPs provide unbiased sampling of intact proteins across the dynamic range of the proteome, capturing molecular information at the peptide-level, including protein variants. The NPs eliminate the need for complex workflows required by other unbiased approaches, which we believe will make proteomics more accessible to the broader scientific community.</w:t>
      </w:r>
    </w:p>
    <w:p>
      <w:pPr>
        <w:spacing w:after="0" w:line="126"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Typically, nanoparticles have a diameter in the tens to hundreds of nanometers, much smaller than a human hair, which has a diameter of 80,000 nanometers. When nanoparticles come into contact with a biological sample, a thin layer of intact proteins rapidly, selectively and reproducibly adsorbs onto their surface, forming what is called a protein “corona.” Additional intact proteins can also bind directly to proteins already attached to the nanoparticle through protein-protein interactions (PPIs), and intact protein complexes may also attach to the nanoparticle directly. Our engineered NPs capture intact proteins across the dynamic range without requiring prior knowledge of proteome composition or designing the assay for specific protein targets. In combination with an unbiased MS readout, they reveal molecular information at the peptide level revealing protein variants. At binding equilibrium, which occurs within minutes after our NPs encounter a biosample,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124460</wp:posOffset>
            </wp:positionV>
            <wp:extent cx="5417820" cy="1619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1782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4"/>
          <w:szCs w:val="14"/>
          <w:color w:val="auto"/>
        </w:rPr>
        <w:t>Figure 5: Nanoparticles allow unbiased interrogation of proteoform diversity. Our nanoparticle technology leverages engineered physicochemical properties to reproducibly bind to proteins without prior knowledge, forming a protein corona.</w:t>
      </w:r>
    </w:p>
    <w:p>
      <w:pPr>
        <w:spacing w:after="0" w:line="1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binding of proteins to the nanoparticle surface and protein sampling are primarily driven by three factors: (i) the affinity of a particular protein for the physicochemical surface of a specific nanoparticle; (ii) the concentration of a specific protein in a biological sample; and (iii) the affinity of the proteins for other proteins on the surface of the nanoparticle, forming PPIs. A variety of materials and methods are used to create different nanoparticles with distinct physicochemical properties, which generate a unique protein corona pattern and a unique proteomic fingerprint. As the amount of proteomic data increases, we will continue to refine the unique physicochemical properties of our NPs with advanced machine learning.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By incorporating our nanoparticles in an assay, we achieve a representative and thorough sampling across the dynamic range of the proteome, from high- to low-abundance proteins. In this way, we have successfully replaced complex laboratory workflows for the enrichment of samples for deep, unbiased MS, enabling the capture of thousands of proteins from biofluids for large-scale proteomics studies. Nanoparticles can interrogate almost any solubilized biological sample, including cell or tissue homogenates, blood or blood components (such as plasma or serum), urine, saliva, cerebrospinal fluid and synovial fluid. This versatility, we believe, strongly suggests that a vast universe of different nanoparticles with different physicochemical properties could be employed across a broad range of sample types, to selectively, reproducibly and deeply sample the proteome in an unbiased way.</w:t>
      </w:r>
    </w:p>
    <w:p>
      <w:pPr>
        <w:spacing w:after="0" w:line="13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have validated our NP technology and the principle of protein corona formation as a robust and reproducible method to deeply and broadly profile the proteome in a high-throughput manner. We have characterized our technology and its performance in three peer-reviewed publications: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Communications </w:t>
      </w:r>
      <w:r>
        <w:rPr>
          <w:rFonts w:ascii="Times New Roman" w:cs="Times New Roman" w:eastAsia="Times New Roman" w:hAnsi="Times New Roman"/>
          <w:sz w:val="18"/>
          <w:szCs w:val="18"/>
          <w:color w:val="auto"/>
        </w:rPr>
        <w:t>(Blume</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PNAS </w:t>
      </w:r>
      <w:r>
        <w:rPr>
          <w:rFonts w:ascii="Times New Roman" w:cs="Times New Roman" w:eastAsia="Times New Roman" w:hAnsi="Times New Roman"/>
          <w:sz w:val="18"/>
          <w:szCs w:val="18"/>
          <w:color w:val="auto"/>
        </w:rPr>
        <w:t>(Ferdosi</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Advanced Materials </w:t>
      </w:r>
      <w:r>
        <w:rPr>
          <w:rFonts w:ascii="Times New Roman" w:cs="Times New Roman" w:eastAsia="Times New Roman" w:hAnsi="Times New Roman"/>
          <w:sz w:val="18"/>
          <w:szCs w:val="18"/>
          <w:color w:val="auto"/>
        </w:rPr>
        <w:t>(Ferdosi</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Proteograph Product Suite</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Proteograph Product Suite is an integrated solution consisting of consumables, an automation instrument, and data analysis software to perform unbiased, deep proteomic analysis at scale in a matter of hours. We designed the Proteograph workflow to be efficient and easy-to-use, and to leverage common laboratory instrumentation to enable adoption in both centralized and decentralized settings, making deep, unbiased proteomics accessible to nearly any lab.</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Proteograph consumables consist of our NPs and all other consumables necessary to assay samples in an automated workflow on our SP100 automation instrument. Our automated workflow is custom configured for researchers to assay samples in approximately eight hours, which includes approximately 30 minutes of hands-on time and seven and a half hours of automated instrument time. The output from the Proteograph workflow consists of peptides ready to be processed and evaluated on an MS instrument. The Proteograph Product Suite is detector agnostic and, we believe, will be adaptable to other protein detection instruments in the future. The MS component of the Proteograph workflow is either provided by the researcher’s laboratory, can be outsourced to a third-party provider, or be run through the Seer Technology Access Center (STAC), which is our in-house service program. The Proteograph Analysis Suite, a data analytics software suite, provides quality control and allows researchers to analyze and interpret the output from the system to gain insights from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99060</wp:posOffset>
            </wp:positionV>
            <wp:extent cx="5417820" cy="1568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782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Figure 6: Proteograph Product Suite comprises consumables, an automation instrument, and software.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Proteograph, conducting deep, unbiased proteomic studies at scale was not possible due to three primary bottlenecks:</w:t>
      </w:r>
    </w:p>
    <w:p>
      <w:pPr>
        <w:spacing w:after="0" w:line="169" w:lineRule="exact"/>
        <w:rPr>
          <w:sz w:val="20"/>
          <w:szCs w:val="20"/>
          <w:color w:val="auto"/>
        </w:rPr>
      </w:pPr>
    </w:p>
    <w:p>
      <w:pPr>
        <w:ind w:left="1020" w:right="12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Workflow</w:t>
      </w:r>
      <w:r>
        <w:rPr>
          <w:rFonts w:ascii="Times New Roman" w:cs="Times New Roman" w:eastAsia="Times New Roman" w:hAnsi="Times New Roman"/>
          <w:sz w:val="18"/>
          <w:szCs w:val="18"/>
          <w:color w:val="auto"/>
        </w:rPr>
        <w:t>: Researchers had to make tradeoffs between depth of coverage and scale of studies. Studies of scale could only sample a few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hundred higher abundant proteins and process tens of samples due to the complicated nature of the workflows, which were not standardized across research labs. However, we addressed this bottleneck with the introduction of the Proteograph SP100 instrument and assay.</w:t>
      </w:r>
    </w:p>
    <w:p>
      <w:pPr>
        <w:spacing w:after="0" w:line="119" w:lineRule="exact"/>
        <w:rPr>
          <w:rFonts w:ascii="Times New Roman" w:cs="Times New Roman" w:eastAsia="Times New Roman" w:hAnsi="Times New Roman"/>
          <w:sz w:val="18"/>
          <w:szCs w:val="18"/>
          <w:color w:val="auto"/>
        </w:rPr>
      </w:pPr>
    </w:p>
    <w:p>
      <w:pPr>
        <w:ind w:left="1020" w:right="22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Analysis</w:t>
      </w:r>
      <w:r>
        <w:rPr>
          <w:rFonts w:ascii="Times New Roman" w:cs="Times New Roman" w:eastAsia="Times New Roman" w:hAnsi="Times New Roman"/>
          <w:sz w:val="18"/>
          <w:szCs w:val="18"/>
          <w:color w:val="auto"/>
        </w:rPr>
        <w:t>: Processing more than a few hundred samples was challenging due to limitations of data processing and analytical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the Proteograph Analysis Suite is the first cloud scalable MS proteomics analysis solution capable of scaling to over tens of thousands of samples.</w:t>
      </w:r>
    </w:p>
    <w:p>
      <w:pPr>
        <w:spacing w:after="0" w:line="65" w:lineRule="exact"/>
        <w:rPr>
          <w:rFonts w:ascii="Times New Roman" w:cs="Times New Roman" w:eastAsia="Times New Roman" w:hAnsi="Times New Roman"/>
          <w:sz w:val="18"/>
          <w:szCs w:val="18"/>
          <w:color w:val="auto"/>
        </w:rPr>
      </w:pPr>
    </w:p>
    <w:p>
      <w:pPr>
        <w:ind w:left="1020" w:right="8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Detector</w:t>
      </w:r>
      <w:r>
        <w:rPr>
          <w:rFonts w:ascii="Times New Roman" w:cs="Times New Roman" w:eastAsia="Times New Roman" w:hAnsi="Times New Roman"/>
          <w:sz w:val="18"/>
          <w:szCs w:val="18"/>
          <w:color w:val="auto"/>
        </w:rPr>
        <w:t>: MS manufacturers are continuously improving the performance of their instruments. When paired with our Proteograph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Suite, performance is significantly amplified, allowing researchers to conduct unbiased, deep population-scale proteomic studies for the first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-13335</wp:posOffset>
            </wp:positionV>
            <wp:extent cx="5417820" cy="2108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782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Figure 7: Seer is continuously innovating to address bottlenecks across the MS proteomics workflow and enhancing products to improve performance.</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launched our second assay, Proteograph XT, in June 2023, which significantly enhanced the sample throughput of the Proteograph Product Suite and MS instrument, while also improving performance as measured by protein group identification.</w:t>
      </w:r>
    </w:p>
    <w:p>
      <w:pPr>
        <w:spacing w:after="0" w:line="10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Proteograph XT assay employs two wells of NPs, assay buffers and reagents for protein lysis and digestion, peptide purification, peptide quantification and the reconstitution of lyophilized materials. The current product allows for the interrogation and processing of up to 40 samples in parallel on a single 96-well plate in approximately eight hours. Each sample incubates separately in two wells, yielding 80 wells of peptides in a 96-well plate. The remaining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wells are reserved for integrated quality control samples to ensure consistent process performance and to aid in troubleshooting.</w:t>
      </w:r>
    </w:p>
    <w:p>
      <w:pPr>
        <w:spacing w:after="0" w:line="153"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ready availability of non-particle reagents, combined with our ability to efficiently design and fabricate different NPs with different physicochemical properties, greatly facilitates the development and production of future iterations or additional versions of the Proteograph assays to address potential customer needs, such as expanded protein coverage or specialized assays, including potential assays that can be used with clinical products.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the first quarter of 2025, we announced a new supported application on Proteograph XT for cell lysate proteomics, bringing the power of the Proteograph to intracellular proteomics. High-value and difficult-to-characterize protein compartments can now be studied more extensively. With Proteograph XT Cell Lysate, we see substantial increase in protein coverage compared to conventional MS-based cell lysate analysis across a range of protein types including cell membrane proteins, DNA binding proteins, transmembrane proteins, and receptor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91440</wp:posOffset>
            </wp:positionV>
            <wp:extent cx="3797300" cy="3334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9730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line="261" w:lineRule="auto"/>
        <w:rPr>
          <w:sz w:val="20"/>
          <w:szCs w:val="20"/>
          <w:color w:val="auto"/>
        </w:rPr>
      </w:pPr>
      <w:r>
        <w:rPr>
          <w:rFonts w:ascii="Times New Roman" w:cs="Times New Roman" w:eastAsia="Times New Roman" w:hAnsi="Times New Roman"/>
          <w:sz w:val="14"/>
          <w:szCs w:val="14"/>
          <w:color w:val="auto"/>
        </w:rPr>
        <w:t>Figure 8: Proteograph XT Cell Lysate enables customers to move beyond plasma proteomics and delve deeper into the intracellular proteome. Proteograph XT Cell Lysate more deeply interrogates and identifies proteins across several intracellular compartments compared to conventional MS-based cell lysate analysis.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Automation Instrument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designed the Proteograph assay to be run in a robust and automated manner on our SP100 automation instrument, which is a custom-configured, industry-standard, liquid handling workstation. Our SP100 instrument is designed to enable studies of hundreds to thousands of samples, with an automated workflow that allows for rapid, highly-parallel sample processing with approximately 30 minutes of set-up time.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Proteograph workflow is driven by the Instrument Control Software (ICS) on the SP100 automation instrument. The workflow has been configured to process one full 96-well plate at a time, in just eight hours, processing 40 samples in parallel. The output of the Proteograph workflow consists of peptides that are quantified, dried, and can be reconstituted when ready for injection into a MS. MS provides quantitative unbiased detection, either on an instrument provided by the user, or sent out for MS analysis to a third-party provider.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Proteograph Analysis Suite (PAS) is designed for ease-of-use and efficiency to help users arrive at insights quickly. To accommodate varying customer needs and scalability, we have designed the PAS to be cloud-based and, in the future, to be available via more localized solutions that accommodate different customer types and geographies. The PAS offers a predefined workflow for data management and analysis, leveraging publicly available MS data analysis tools as well as our own proprietary analysis tools. Without the PAS, proteomics analysis requires expert knowledge and a scalable high-performance computer infrastructure. We believe that the PAS can accelerate adoption of the Proteograph among non-experts by providing an intuitive user interface that automates data handling, simplifies processing and analysis and provides access to a scalable infrastructure that can be used by any lab.</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PAS also includes a dedicated proteogenomics workflow that maps peptide-level data to genomic data to identify sample-specific variant peptides not captured in canonical reference databases. The workflow provides interactive tables and plots, enables visualization of identified peptides’ relationship to gene structure, protein domain information and functional regions, and creates amino acid-level browsable peptide data maps.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Currently, one potential roadblock for researchers is understanding and evaluating the quality of their results. The Proteograph Assay Kit incorporates a series of controls for monitoring assay performance, and an integrated view of the results of these control runs via the PAS. Customers can evaluate trends over time and implement performance boundaries around the expected values that flag unexpected outcomes in the data. We believe providing a simple, consistent interface to evaluate the control data and generate a quality control (QC) report will help customers understand our approach to QC in the Proteograph workflow, simplifying support.</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2024, the latest version of the PAS introduced a completely updated user interface, offering a more intuitive and professional experience for users. The update includes a completely revamped interface for the cohort analysis tools that expands functionality and makes it easier for users to generate biologically relevant information from their datasets. As we continue to improve and extend our product portfolio, we expect to continue to expand the capabilities and features in the PAS as well.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Proteograph Product Suite Performance</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Proteograph Product Suite provides five essential capabilities: (i) broad protein sampling with peptide-level resolution; (ii) deep coverage; (iii) accurate and precise measurement; (iv) reproducibility and (v) scalability for high-throughput studies. We believe that our integrated solution is the only product in the market that combines all these technical and operational capabilities. Furthermore, we rigorously measure and evaluate each of these technical attributes, as we describe below.</w:t>
      </w:r>
    </w:p>
    <w:p>
      <w:pPr>
        <w:spacing w:after="0" w:line="122" w:lineRule="exact"/>
        <w:rPr>
          <w:sz w:val="20"/>
          <w:szCs w:val="20"/>
          <w:color w:val="auto"/>
        </w:rPr>
      </w:pPr>
    </w:p>
    <w:p>
      <w:pPr>
        <w:ind w:left="760" w:hanging="752"/>
        <w:spacing w:after="0" w:line="26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Breadth of protein sampling</w:t>
      </w:r>
      <w:r>
        <w:rPr>
          <w:rFonts w:ascii="Times New Roman" w:cs="Times New Roman" w:eastAsia="Times New Roman" w:hAnsi="Times New Roman"/>
          <w:sz w:val="18"/>
          <w:szCs w:val="18"/>
          <w:color w:val="auto"/>
        </w:rPr>
        <w:t>. This capability refers to conducting unbiased, highly parallel sampling of the proteome. Each well of the XT assay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contains uniquely engineered NPs that selectively capture thousands of distinct intact proteins from a biosample based on their abundance and affinity for the NP surface. This sampling capability is particularly strong in complex biofluids such as plasma. Our unique NPs capture significantly more proteins than current methods of unbiased proteomic analysis.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60"/>
        <w:spacing w:after="0" w:line="224" w:lineRule="auto"/>
        <w:rPr>
          <w:sz w:val="20"/>
          <w:szCs w:val="20"/>
          <w:color w:val="auto"/>
        </w:rPr>
      </w:pPr>
      <w:r>
        <w:rPr>
          <w:rFonts w:ascii="Times New Roman" w:cs="Times New Roman" w:eastAsia="Times New Roman" w:hAnsi="Times New Roman"/>
          <w:sz w:val="18"/>
          <w:szCs w:val="18"/>
          <w:color w:val="auto"/>
        </w:rPr>
        <w:t>In a head-to-head experiment, Thermo Scientific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directly compared the breadth of the Proteograph Product Suite to other unbiased proteomics methods using the same biological sample. Neat plasma, which represents the simplest form of unbiased proteomic analysis requiring minimal processing time using another method, resulted in a depth of coverage of 767 proteins. Using the Proteograph Product Suite, Thermo Scientific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detected 6,033 proteins in plasma, representing 8.0x expansion in depth of protein coverage.</w:t>
      </w:r>
    </w:p>
    <w:p>
      <w:pPr>
        <w:spacing w:after="0" w:line="145" w:lineRule="exact"/>
        <w:rPr>
          <w:sz w:val="20"/>
          <w:szCs w:val="20"/>
          <w:color w:val="auto"/>
        </w:rPr>
      </w:pPr>
    </w:p>
    <w:p>
      <w:pPr>
        <w:ind w:left="760" w:right="280"/>
        <w:spacing w:after="0" w:line="282" w:lineRule="auto"/>
        <w:rPr>
          <w:sz w:val="20"/>
          <w:szCs w:val="20"/>
          <w:color w:val="auto"/>
        </w:rPr>
      </w:pPr>
      <w:r>
        <w:rPr>
          <w:rFonts w:ascii="Times New Roman" w:cs="Times New Roman" w:eastAsia="Times New Roman" w:hAnsi="Times New Roman"/>
          <w:sz w:val="18"/>
          <w:szCs w:val="18"/>
          <w:color w:val="auto"/>
        </w:rPr>
        <w:t>In another study performed by PrognomiQ, a 2021 spinout of Seer, across a set of 2,840 plasma samples, approximately 13,000 proteins were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354330</wp:posOffset>
            </wp:positionV>
            <wp:extent cx="3780155" cy="2905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8015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1040" w:right="280"/>
        <w:spacing w:after="0" w:line="261" w:lineRule="auto"/>
        <w:rPr>
          <w:sz w:val="20"/>
          <w:szCs w:val="20"/>
          <w:color w:val="auto"/>
        </w:rPr>
      </w:pPr>
      <w:r>
        <w:rPr>
          <w:rFonts w:ascii="Times New Roman" w:cs="Times New Roman" w:eastAsia="Times New Roman" w:hAnsi="Times New Roman"/>
          <w:sz w:val="14"/>
          <w:szCs w:val="14"/>
          <w:color w:val="auto"/>
        </w:rPr>
        <w:t>Figure 9: Proteograph XT demonstrates an 8.0x expansion in depth of coverage compared to neat plasma. In a study performed by PrognomiQ across 2,840 plasma samples, approximately 13,000 proteins were identified.</w:t>
      </w:r>
    </w:p>
    <w:p>
      <w:pPr>
        <w:spacing w:after="0" w:line="11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Proteograph is not limited to a defined set of proteins, and samples across the dynamic range of proteins and protein variants that may be present in biosamples. We have exemplified the utility of the Proteograph in studying secreted proteins across several different sample types, including cell or tissue homogenates, blood or blood components (such as plasma or serum), urine, saliva, cerebrospinal fluid, synovial fluid and conditioned media. Importantly, the Proteograph protein data is obtained using an MS detector, which is the gold standard for proteomics, and data is conventionally reported with a less than one percent False Discovery Rate (FDR). This means that the reported proteins are identified with over 99% confidence.</w:t>
      </w:r>
    </w:p>
    <w:p>
      <w:pPr>
        <w:spacing w:after="0" w:line="125" w:lineRule="exact"/>
        <w:rPr>
          <w:sz w:val="20"/>
          <w:szCs w:val="20"/>
          <w:color w:val="auto"/>
        </w:rPr>
      </w:pPr>
    </w:p>
    <w:p>
      <w:pPr>
        <w:ind w:left="760" w:right="180" w:hanging="752"/>
        <w:spacing w:after="0" w:line="26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Depth of coverage</w:t>
      </w:r>
      <w:r>
        <w:rPr>
          <w:rFonts w:ascii="Times New Roman" w:cs="Times New Roman" w:eastAsia="Times New Roman" w:hAnsi="Times New Roman"/>
          <w:sz w:val="18"/>
          <w:szCs w:val="18"/>
          <w:color w:val="auto"/>
        </w:rPr>
        <w:t>. The Proteograph can quantify the proteome across a wide dynamic range of protein abundance. Figure 10 compares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depth of coverage of our assay with that of plasma. Figure 10 below demonstrates that the Proteograph assay samples proteins across the entire dynamic range of the plasma proteome, as defined in the Human Plasma Proteome Project database (Schwenk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whereas neat plasma samples only the most abundant proteins.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420370</wp:posOffset>
            </wp:positionV>
            <wp:extent cx="5143500" cy="2854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1080"/>
        <w:spacing w:after="0" w:line="261" w:lineRule="auto"/>
        <w:rPr>
          <w:sz w:val="20"/>
          <w:szCs w:val="20"/>
          <w:color w:val="auto"/>
        </w:rPr>
      </w:pPr>
      <w:r>
        <w:rPr>
          <w:rFonts w:ascii="Times New Roman" w:cs="Times New Roman" w:eastAsia="Times New Roman" w:hAnsi="Times New Roman"/>
          <w:sz w:val="14"/>
          <w:szCs w:val="14"/>
          <w:color w:val="auto"/>
        </w:rPr>
        <w:t>Figure 10: The Proteograph identifies more proteomic content. The Proteograph workflow identifies protein across the dynamic range of the plasma proteome whereas neat plasma is limited to the most abundant proteins.</w:t>
      </w:r>
    </w:p>
    <w:p>
      <w:pPr>
        <w:spacing w:after="0" w:line="109" w:lineRule="exact"/>
        <w:rPr>
          <w:sz w:val="20"/>
          <w:szCs w:val="20"/>
          <w:color w:val="auto"/>
        </w:rPr>
      </w:pPr>
    </w:p>
    <w:p>
      <w:pPr>
        <w:ind w:left="760" w:right="20" w:hanging="752"/>
        <w:spacing w:after="0" w:line="269"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Accuracy of measurement. </w:t>
      </w:r>
      <w:r>
        <w:rPr>
          <w:rFonts w:ascii="Times New Roman" w:cs="Times New Roman" w:eastAsia="Times New Roman" w:hAnsi="Times New Roman"/>
          <w:sz w:val="17"/>
          <w:szCs w:val="17"/>
          <w:color w:val="auto"/>
        </w:rPr>
        <w:t>This capability measures how close the measured abundance of a protein is to the true abundance in a sample.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measurement of the true abundance of a large number of proteins at the protein variant level at scale is not possible, so we use the ratio of abundances in two samples to demonstrate the accuracy of protein abundance measurement. We demonstrate the accuracy of protein abundance measurement by mixing two different plasmas in different ratios and measuring the relative MS signal intensity. By spiking human plasma with bovine plasma, the Proteograph can detect and quantify peptides that are unique to the bovine proteome. Peptides differ between the two species because of genetic differences that result in detectable changes at the amino acid level. By mixing the two plasma samples, the Proteograph can make measurements across thousands of peptides, highlighting the real-world accuracy of the Proteograph Product Suite. Panel A of Figure 11 shows how the change in MS intensity or intensity fold change varies when mixing the two plasmas at different ratios. Panel B of Figure 11 shows the results of this experiment, looking at threefold changes: 2X, 5.5X, and 11X. At each level, the dashed line is the expected fold change. The gray bars represent the distribution of bovine unique peptides for a neat plasma workflow, the dark blue bars represent the unique bovine peptides detected by both the Proteograph and the neat workflow and the teal bars represent all unique bovine peptides detected by Proteograph. In all cases, the median of each distribution is close to the dashed line, indicating that the median fold change is close to the expected value.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291465</wp:posOffset>
            </wp:positionV>
            <wp:extent cx="5417820" cy="2425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178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Figure 11: The Proteograph offers a high-degree of accuracy. (A) Three representative pairs of spiked-in samples and the expected fold changes of bovine proteins concentration in</w:t>
      </w:r>
    </w:p>
    <w:p>
      <w:pPr>
        <w:spacing w:after="0" w:line="4" w:lineRule="exact"/>
        <w:rPr>
          <w:sz w:val="20"/>
          <w:szCs w:val="20"/>
          <w:color w:val="auto"/>
        </w:rPr>
      </w:pPr>
    </w:p>
    <w:p>
      <w:pPr>
        <w:jc w:val="center"/>
        <w:ind w:left="1080" w:right="60"/>
        <w:spacing w:after="0" w:line="233" w:lineRule="auto"/>
        <w:rPr>
          <w:sz w:val="20"/>
          <w:szCs w:val="20"/>
          <w:color w:val="auto"/>
        </w:rPr>
      </w:pPr>
      <w:r>
        <w:rPr>
          <w:rFonts w:ascii="Times New Roman" w:cs="Times New Roman" w:eastAsia="Times New Roman" w:hAnsi="Times New Roman"/>
          <w:sz w:val="14"/>
          <w:szCs w:val="14"/>
          <w:color w:val="auto"/>
        </w:rPr>
        <w:t>these pairs. (B) Distribution of observed fold changes of bovine proteins for three selected comparisons of spiked-in samples. The color indicates the data source: (i) neat digestion (gray), or (ii) Proteograph workflow constrained to proteins also identified in neat (dark blue) or (iii) Proteograph workflow all proteins (teal). The horizontal dashed lines indicate the expected fold changes.</w:t>
      </w:r>
    </w:p>
    <w:p>
      <w:pPr>
        <w:spacing w:after="0" w:line="123" w:lineRule="exact"/>
        <w:rPr>
          <w:sz w:val="20"/>
          <w:szCs w:val="20"/>
          <w:color w:val="auto"/>
        </w:rPr>
      </w:pPr>
    </w:p>
    <w:p>
      <w:pPr>
        <w:ind w:left="760" w:hanging="752"/>
        <w:spacing w:after="0" w:line="253"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Reproducibility of measurement in large studies. </w:t>
      </w:r>
      <w:r>
        <w:rPr>
          <w:rFonts w:ascii="Times New Roman" w:cs="Times New Roman" w:eastAsia="Times New Roman" w:hAnsi="Times New Roman"/>
          <w:sz w:val="18"/>
          <w:szCs w:val="18"/>
          <w:color w:val="auto"/>
        </w:rPr>
        <w:t>Reproducibility, also referred to as precision, is a measure of the consistency of protein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abundance measurements (i.e., MS measured intensity) between repeated measurements of the same sample. A higher reproducibility indicates lower noise, which reduces the number of samples required to observe a true fold change in the study. Reproducibility is usually measured as the coefficient of variation (CV%), which is the standard deviation divided by the mean multiplied by 100. A lower CV% represents a more precise measurement. The CV across individual components of the workflow, including the Proteograph instrument and the MS instrument, aggregate to form the overall CV% of the workflow (Figure 12; left panel). The typical CV% of MS instrumentation, derived by running the same peptide mixture in consecutive MS injections, is approximately 10%. Using the Proteograph assay to make protein measurements within a single plate adds approximately 7%, for a total CV of about 17%. Running a study across multiple plates and days adds further MS and Proteograph variability for a total system CV% of approximately 20%. Using data acquired over a long-running study, the Proteograph can derive power curves illustrating the power to detect fold changes of different sizes (Figure 12; right panel). For example, 1.5-fold and two-fold changes in protein abundance can be detected with 90% power in sample sizes of 192 and 66, respectively. Typical biological cohorts are much larger than this to capture biological variability and so we believe that the reproducibility of the Proteograph is well-calibrated for biomarker discovery and clinical proteomics.</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428625</wp:posOffset>
            </wp:positionV>
            <wp:extent cx="5417820" cy="1671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1782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Figure 12: (A) contributors to CV; (B) smaller fold changes can be detected with increased power with larger study sizes.</w:t>
      </w:r>
    </w:p>
    <w:p>
      <w:pPr>
        <w:spacing w:after="0" w:line="150" w:lineRule="exact"/>
        <w:rPr>
          <w:sz w:val="20"/>
          <w:szCs w:val="20"/>
          <w:color w:val="auto"/>
        </w:rPr>
      </w:pPr>
    </w:p>
    <w:p>
      <w:pPr>
        <w:ind w:left="760" w:right="20" w:hanging="752"/>
        <w:spacing w:after="0" w:line="254"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Scalability</w:t>
      </w:r>
      <w:r>
        <w:rPr>
          <w:rFonts w:ascii="Times New Roman" w:cs="Times New Roman" w:eastAsia="Times New Roman" w:hAnsi="Times New Roman"/>
          <w:sz w:val="18"/>
          <w:szCs w:val="18"/>
          <w:color w:val="auto"/>
        </w:rPr>
        <w:t>. The Proteograph Product Suite enables rapid and large-scale proteomic sample processing in an approximately eight-hour workflow,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other unbiased solutions that can take days to weeks. With our current assay, we can process 40 samples in a single run of the Proteograph SP100 instrument. Therefore, a single Proteograph Product Suite coupled with one MS instrument can process hundreds of samples per week and approximately 10,000 samples annually, for unbiased and deep proteomic analysis. In comparison, the unbiased workflows developed by leading proteomics labs can take weeks for sample preparation and MS measurement to reach an equivalent depth of proteomic coverage. We believe that the Proteograph will be attractive to researchers who are looking for an easy-to-use, scalable approach with a unique combination of attributes spanning breadth, depth, accuracy, reproducibility and precision of measurement, and the speed and throughput necessary for large-scale proteomics studies. Furthermore, the peptide-level data that the Proteograph Product Suite provides at scale are crucial for gaining novel biological insights.</w:t>
      </w:r>
    </w:p>
    <w:p>
      <w:pPr>
        <w:spacing w:after="0" w:line="134" w:lineRule="exact"/>
        <w:rPr>
          <w:rFonts w:ascii="Times New Roman" w:cs="Times New Roman" w:eastAsia="Times New Roman" w:hAnsi="Times New Roman"/>
          <w:sz w:val="18"/>
          <w:szCs w:val="18"/>
          <w:color w:val="auto"/>
        </w:rPr>
      </w:pPr>
    </w:p>
    <w:p>
      <w:pPr>
        <w:ind w:left="760" w:hanging="752"/>
        <w:spacing w:after="0" w:line="275" w:lineRule="auto"/>
        <w:tabs>
          <w:tab w:leader="none" w:pos="7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Performance relative to other plasma proteomics technologies. </w:t>
      </w:r>
      <w:r>
        <w:rPr>
          <w:rFonts w:ascii="Times New Roman" w:cs="Times New Roman" w:eastAsia="Times New Roman" w:hAnsi="Times New Roman"/>
          <w:sz w:val="17"/>
          <w:szCs w:val="17"/>
          <w:color w:val="auto"/>
        </w:rPr>
        <w:t>A 2024 head-to-head comparative study conducted by Dr. Joshua Coon,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professor at University of Wisconsin, demonstrates the performance of the Proteograph Product Suite against five other plasma proteomic technologies and methods (Beimers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Using five technical replicates of the same plasma sample (BioIVT) on each method, the study shows the Proteograph assay provides the greatest proteomic depth across the six technologies and methods tested. While providing much higher numbers of proteins, the Proteograph assay also provides the greatest reproducibility of all methods except neat. Against neat, the Proteograph has slightly worse reproducibility, but does so while quantifying almost 8-fold greater number of proteins including low abundance proteins.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291465</wp:posOffset>
            </wp:positionV>
            <wp:extent cx="5417820" cy="2486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1782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360"/>
        <w:spacing w:after="0" w:line="241" w:lineRule="auto"/>
        <w:rPr>
          <w:sz w:val="20"/>
          <w:szCs w:val="20"/>
          <w:color w:val="auto"/>
        </w:rPr>
      </w:pPr>
      <w:r>
        <w:rPr>
          <w:rFonts w:ascii="Times New Roman" w:cs="Times New Roman" w:eastAsia="Times New Roman" w:hAnsi="Times New Roman"/>
          <w:sz w:val="14"/>
          <w:szCs w:val="14"/>
          <w:color w:val="auto"/>
        </w:rPr>
        <w:t>Figure 13: (A) Across six technologies and methods tested, the Proteograph provides the highest performance in protein identification across all replicates and within each replicate. (B) Demonstrates the reproducibility performance of each method by evaluating the median coefficient of variation (CV) values for proteins detected across all methods. A lower CV value indicates a higher degree of reproducibility.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Advantages of the Proteograph Product Suite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Proteograph Product Suite and its underlying NP technology have unique advantages:</w:t>
      </w:r>
    </w:p>
    <w:p>
      <w:pPr>
        <w:spacing w:after="0" w:line="167" w:lineRule="exact"/>
        <w:rPr>
          <w:sz w:val="20"/>
          <w:szCs w:val="20"/>
          <w:color w:val="auto"/>
        </w:rPr>
      </w:pPr>
    </w:p>
    <w:p>
      <w:pPr>
        <w:ind w:left="760" w:right="40" w:hanging="752"/>
        <w:spacing w:after="0" w:line="26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automated solution to enable unbiased, deep, rapid and large-scale access to the proteome. </w:t>
      </w:r>
      <w:r>
        <w:rPr>
          <w:rFonts w:ascii="Times New Roman" w:cs="Times New Roman" w:eastAsia="Times New Roman" w:hAnsi="Times New Roman"/>
          <w:sz w:val="18"/>
          <w:szCs w:val="18"/>
          <w:color w:val="auto"/>
        </w:rPr>
        <w:t>We pioneered the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unbiased sample enrichment for MS-based plasma proteomics. We believe we have become the trusted partner to our customers worldwide. While other solutions have been introduced since our commercial launch, we believe none can replicate the performance delivered by the Proteograph Product Suite.</w:t>
      </w:r>
    </w:p>
    <w:p>
      <w:pPr>
        <w:spacing w:after="0" w:line="122" w:lineRule="exact"/>
        <w:rPr>
          <w:rFonts w:ascii="Times New Roman" w:cs="Times New Roman" w:eastAsia="Times New Roman" w:hAnsi="Times New Roman"/>
          <w:sz w:val="18"/>
          <w:szCs w:val="18"/>
          <w:color w:val="auto"/>
        </w:rPr>
      </w:pPr>
    </w:p>
    <w:p>
      <w:pPr>
        <w:ind w:left="760" w:hanging="752"/>
        <w:spacing w:after="0" w:line="26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Provides unique insight into protein variation at the peptide level, with a depth and scale that sets a new standard for unbiased and deep proteomics. </w:t>
      </w:r>
      <w:r>
        <w:rPr>
          <w:rFonts w:ascii="Times New Roman" w:cs="Times New Roman" w:eastAsia="Times New Roman" w:hAnsi="Times New Roman"/>
          <w:sz w:val="18"/>
          <w:szCs w:val="18"/>
          <w:color w:val="auto"/>
        </w:rPr>
        <w:t>The Proteograph’s ability to capture protein variations at scale enables synergistic insights when combined with genomic variations,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yielding informative individualized models of biology at population scale.</w:t>
      </w:r>
    </w:p>
    <w:p>
      <w:pPr>
        <w:spacing w:after="0" w:line="116" w:lineRule="exact"/>
        <w:rPr>
          <w:rFonts w:ascii="Times New Roman" w:cs="Times New Roman" w:eastAsia="Times New Roman" w:hAnsi="Times New Roman"/>
          <w:sz w:val="18"/>
          <w:szCs w:val="18"/>
          <w:color w:val="auto"/>
        </w:rPr>
      </w:pPr>
    </w:p>
    <w:p>
      <w:pPr>
        <w:ind w:left="760" w:right="60" w:hanging="752"/>
        <w:spacing w:after="0" w:line="278" w:lineRule="auto"/>
        <w:tabs>
          <w:tab w:leader="none" w:pos="7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Allows for wide adoption by customers in both decentralized and centralized settings. </w:t>
      </w:r>
      <w:r>
        <w:rPr>
          <w:rFonts w:ascii="Times New Roman" w:cs="Times New Roman" w:eastAsia="Times New Roman" w:hAnsi="Times New Roman"/>
          <w:sz w:val="17"/>
          <w:szCs w:val="17"/>
          <w:color w:val="auto"/>
        </w:rPr>
        <w:t>The Proteograph Product Suite is an integrated solution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includes consumables, an automation instrument and data analysis software, and was designed to deliver ease-of-use, efficiency, robustness and reproducibility of results and to complement existing laboratory infrastructure. Its simple and integrated workflow enables the customer to use their own MS instrument or leverage a widely available installed base of MS instruments. We believe these features will facilitate broad adoption of the Proteograph solution across a variety of laboratories and institutions in both decentralized and centralized settings.</w:t>
      </w:r>
    </w:p>
    <w:p>
      <w:pPr>
        <w:spacing w:after="0" w:line="109" w:lineRule="exact"/>
        <w:rPr>
          <w:rFonts w:ascii="Times New Roman" w:cs="Times New Roman" w:eastAsia="Times New Roman" w:hAnsi="Times New Roman"/>
          <w:sz w:val="17"/>
          <w:szCs w:val="17"/>
          <w:color w:val="auto"/>
        </w:rPr>
      </w:pPr>
    </w:p>
    <w:p>
      <w:pPr>
        <w:ind w:left="760" w:right="140" w:hanging="752"/>
        <w:spacing w:after="0" w:line="26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Offers a core technology with the potential for development of a range of products, applications and platforms. </w:t>
      </w:r>
      <w:r>
        <w:rPr>
          <w:rFonts w:ascii="Times New Roman" w:cs="Times New Roman" w:eastAsia="Times New Roman" w:hAnsi="Times New Roman"/>
          <w:sz w:val="18"/>
          <w:szCs w:val="18"/>
          <w:color w:val="auto"/>
        </w:rPr>
        <w:t>Our diverse library of NP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surfaces can support the development of new products catering to various applications and customer needs. We are using machine-learning techniques and conducting large-scale analyses to understand relationships between NP surfaces and protein binding to design future products.</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60" w:hanging="752"/>
        <w:spacing w:after="0" w:line="259"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Provides core technology with significant operational leverage in research and development, manufacturing and commercialization. </w:t>
      </w:r>
      <w:r>
        <w:rPr>
          <w:rFonts w:ascii="Times New Roman" w:cs="Times New Roman" w:eastAsia="Times New Roman" w:hAnsi="Times New Roman"/>
          <w:sz w:val="18"/>
          <w:szCs w:val="18"/>
          <w:color w:val="auto"/>
        </w:rPr>
        <w:t>NP-based products are efficient to design, develop and manufacture. We believe that by leveraging our understanding of NP surfaces, software and analytics capabilities, we can rapidly develop new products. Our NP manufacturing process uses well-characterized inputs and methods, which require relatively modest investments in capital equipment and space. This capital-efficient and labor-efficient model has high operating leverage potential.</w:t>
      </w:r>
    </w:p>
    <w:p>
      <w:pPr>
        <w:spacing w:after="0" w:line="125" w:lineRule="exact"/>
        <w:rPr>
          <w:rFonts w:ascii="Times New Roman" w:cs="Times New Roman" w:eastAsia="Times New Roman" w:hAnsi="Times New Roman"/>
          <w:sz w:val="18"/>
          <w:szCs w:val="18"/>
          <w:color w:val="auto"/>
        </w:rPr>
      </w:pPr>
    </w:p>
    <w:p>
      <w:pPr>
        <w:ind w:left="760" w:right="40" w:hanging="752"/>
        <w:spacing w:after="0" w:line="25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Presents a solution with sustainable differentiation. </w:t>
      </w:r>
      <w:r>
        <w:rPr>
          <w:rFonts w:ascii="Times New Roman" w:cs="Times New Roman" w:eastAsia="Times New Roman" w:hAnsi="Times New Roman"/>
          <w:sz w:val="18"/>
          <w:szCs w:val="18"/>
          <w:color w:val="auto"/>
        </w:rPr>
        <w:t>The Proteograph is uniquely capable of generating robust, reproducible, deep and unbiased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proteomic data. As this data is used by more customers to generate insights, we believe this cycle will fuel further adoption of the Proteograph Product Suite. The Proteograph workflow is fully integrable with customer workflows and provides a unique user experience with the support of our software packages, making it a sustainable solution within customer organizations. Our NP technology, SP100 automation instrument, and software are protected by numerous issued patents and pending patent applications worldwide, covering improvements in NPs, assay methods and ways to leverage proteomic data and information for life sciences research, clinical diagnostic and drug discovery applications.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Applications of the Proteograph Product Suite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the ability to generate unbiased, deep, proteomic data at scale, with rich content at the protein variant level, has a wide range of applications in proteomics, including basic research and discovery, translational research, diagnostics and applied markets. This data can be used in many of the same application areas as genomics data, as well as proteomics applications that are uniquely possible with unbiased proteomic data, and in new applications that the field will develop in the future.</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Proteograph Product Suite’s versatility allows it to analyze not only plasma and serum, but also other biofluids across humans and model organisms. For example, when we compared the performance of the Proteograph Product Suite workflow with that of neat biological samples across model organism plasma, urine, cerebral spinal fluid, and conditioned media, we noted superior protein group identification by the Proteograph of 4x, 1.5x, 1.5x, and 8.6x, respectively. Importantly, in each sample, we measured tens of thousands of data points at the peptide level, providing information on thousands of proteins. We believe this extensibility offers researchers a powerful and flexible tool to utilize across a variety of applications and sample types.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Basic Research and Discovery Applications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the Proteograph is a valuable tool for researchers across a wide range of basic research and discovery applications, including cataloging protein diversity, proteogenomics and exploring the interactome. Studies in these areas are currently limited in scale by the complexity of unbiased methods or the limited set of affinity-based reagents available for biased methods. The Proteograph Product Suite is designed to enable the use of unbiased proteomic data at scale, which we believe will greatly accelerate these areas of basic research and discovery.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Cataloging protein diversity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Proteograph Product Suite is designed to enable researchers to explore the complexity and diversity of the proteome with peptide level resolution. We anticipate that researchers will use the Proteograph solution to catalog protein variants in a manner similar to the cataloging of genetic variants over the past 15 years, providing functional context at a scale that is not currently accessible with other proteomics methods. We believe that identifying protein variants, including those resulting from PTMs such as glycosylation and phosphorylation, can significantly transform the life sciences field.</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2024, we launched the Protein Discovery Catalog on our website with the goals to remove barriers to access, empower researchers, and drive new lead generation. The Protein Discovery Catalog is a fully-accessible, searchable catalog with over 36,000 proteins across multiple species and over 10,000 human proteins across 1,900 Reactome biological pathways. This catalog is our first published index of the unprecedented depth of empirically observed proteins captured by the Proteograph to date.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Proteogenomics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Proteogenomics is a rapidly growing field of research that integrates genomic and transcriptomic information with proteomic information, using personalized protein sequence databases to identify novel peptides. The Proteograph generates large-scale unbiased proteomic data at peptide-level resolution, enabling researchers to map protein variants to genomic variants, advancing the field of proteogenomics. Researchers are conducting large-scale proteogenomic studies with the Proteograph to provide functional information to existing genomics and gene expression information.</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Translational Research Applications</w:t>
      </w:r>
    </w:p>
    <w:p>
      <w:pPr>
        <w:spacing w:after="0" w:line="175"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Researchers can use the Proteograph for translational research applications aimed at shortening the time from early discovery research to clinical application. The Proteograph Product Suite allows clinical and translational researchers an opportunity to perform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Biomarker Discovery</w:t>
      </w:r>
    </w:p>
    <w:p>
      <w:pPr>
        <w:spacing w:after="0" w:line="17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Currently,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biomarker discovery research is limited by the size of unbiased studies or is targeted in nature. These approaches have yet to uncover the large number of potential single biomarkers or combinations of markers for a range of clinical applications. The Proteograph is enabling the discovery of biomarkers through large-scale, unbiased and deep proteomics studies.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Utilizing a $2 million Small Business Innovation Research grant to the Company and Massachusetts General Hospital (MGH) from the National Institute on Aging (NIA), researchers from the Company and MGH conducted a study that analyzed 1,800 plasma samples comprising both controls and individuals diagnosed with cognitive decline, including Alzheimer’s Disease (AD) (Lacar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The samples were collected over a 10-year period, allowing the researchers to investigate proteins associated with the progression of, or protection against, cognitive decline. When comparing the AD affected individuals with controls, researchers identified 138 proteins that were up or down regulated in AD individuals. Of these 138 proteins, only 44 have been previously associated with AD. The remaining 94 represent putative biomarkers of AD, potentially highlighting new biological insight.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Researchers used clinical information to identify the point of significant cognitive decline and determined proteins that separated the population into fast and slow decliners. Researchers identified eight such significant proteins and are now investigating how these results may be advanced to develop a score indicating the likelihood of cognitive decline in a particular timeframe. One such example is shown in Figure 14 below. Higher abundance of this protein is associated with greater probability of cognitive decline.</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such studies are uniquely made possible using deep, unbiased proteomics at scale using the Proteograph Product Suite because 55% of these 138 proteins are not present on a commercially available high-plex affinity based panel and there is no other practical way to do a deep unbiased proteomics study on 1,800 plasma samples other than leveraging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-13335</wp:posOffset>
            </wp:positionV>
            <wp:extent cx="2871470" cy="26657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7147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Figure 14: Shows the probability of no decline as a function of follow up time. Higher levels of the protein are associated with higher probability of decline.</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Diagnostic Applications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the Proteograph Product Suite also holds significant diagnostic potential. The unbiased, deep and scalable proteomic data generated by the Proteograph has the potential to create ecosystems, similar to the way in which next-generation sequencing (NGS) enabled genomics-based diagnostics for cancer and rare genetic diseases. We expect that companies in the healthcare testing space, including our spin-out PrognomiQ, will utilize the Proteograph solution, and we are committed to supporting all of our customers as the ecosystem grows, not only in their basic research and translational research applications but also as they develop their own diagnostic applications.</w:t>
      </w:r>
    </w:p>
    <w:p>
      <w:pPr>
        <w:spacing w:after="0" w:line="1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an example, scientists at PrognomiQ conducted a large case/control study that included those at high risk for lung cancer, using deep, unbiased proteomics as part of their development work for multi-omics-based blood test for early-stage lung cancer detection.</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current recommendation for patients at high risk for lung cancer is an annual low dose CT scan. The compliance rate for current low dose CT cancer screening is only 5-10%. PrognomiQ is developing a blood test to help close this compliance gap to identify patients at risk for lung cancer and subsequent evaluation.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Researchers from PrognomiQ used the Proteograph to measure over 8,300 proteins from samples from 2,513 individuals, which was then combined with over 200,000 RNA transcripts and 1,000 metabolite measurements to drive a multi-omics classifier.</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illustrated in Figure 15 below, the proteomics data performs extremely well with an AUC of 0.91. Adding the other multi-omics data increased AUC to 0.96. PrognomiQ believes this classifier represents a potentially best-in-class performance by achieving a sensitivity of 80% for stage 1 and 89% for all stages of lung cancer at 89% specificity.</w:t>
      </w:r>
    </w:p>
    <w:p>
      <w:pPr>
        <w:spacing w:after="0" w:line="12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Figure 15 below shows the top features contributing to the classifier ranked by their importance. The top features are heavily enriched for those derived from unbiased proteomics utilizing the Proteograph assay. Figure 15 indicates where these proteins fall in the standard plasma concentration curve, and indicates that they are across the entire dynamic range. Therefore, we believe that the capabilities of the Photograph platform to provide deep, unbiased, proteomics at scale could be used to develop this classifier.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91440</wp:posOffset>
            </wp:positionV>
            <wp:extent cx="5417820" cy="16205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178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Figure 15. Shows results from a study performed by scientists at PrognomiQ, using deep, unbiased proteomics as part of a multi-omics based blood test for early-stage lunch cancer detection.</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Target Identification and Exploration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believe that large-scale access to protein variant information that map to different states of health and disease, as enabled by the Proteograph and concurrent advances in proteogenomics, could lead to the discovery of personalized drug targets that could number in the hundreds of thousands. We believe that the translational application of the Proteograph for potential biomarker development may also be applied to the identification of novel targets for therapeutic development. Components of classifiers may themselves become targets for drug development, or they may point to new knowledge with respect to disease mechanisms, which could then aid in the exploration of additional targets and/or help to elucidate the function of potential targets, particularly if these targets are discovered with genomics approaches, but lack protein functional context.</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Applications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Proteograph Product Suite provides clinical researchers with the opportunity to perform deep and broad proteomic profiling of subjects in therapeutic clinical trials, enabling the real-time monitoring of protein-related drug effects, distribution and metabolism. These attributes are essential in virtually all clinical drug trials. Current methods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Proteograph Product Suite may also enable patient selection and grouping based on patients’ proteomics profiles, leading to improved ability to confirm efficacy for novel therapies in complex diseases that involve multiple physiological systems. While genomic approaches are widely used to select patients in cancer and rare genetic disease clinical trials, their use in other indications has been limited by a lack of genetic understanding of these diseases. We believe that the Proteograph has the potential to generate useful proteomic signatures that can complement genomic and other patient selection criteria, improving patient selection and segmentation for clinical trials, particularly for indications outside of cancer and rare genetic diseases.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Applied Applications in Agriculture, Animal Health, and Bioprocessing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see significant opportunities for the Proteograph solution to be applied in areas beyond human health, including areas where broad-scale genomics is being widely applied today, and applications where proteomics can uniquely enable the creation of end-markets. We believe that unbiased, deep and large-scale proteomic information, which can be enabled by the Proteograph, can complement and extend the value of genomics, transcriptomics and metabolomics information in fields such as agriculture, animal health and bioprocessing.</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 robustness of the Proteograph Product Suite and its ability to work across species, we have seen significant interest and customer adoption of the Proteograph Product Suite for use in model organisms for research and the animal health markets to pursue opportunities in diagnostic and therapeutic development. We have already demonstrated the application of the Proteograph Product Suite in projects and studies that include mouse, monkey, pig, feline, chicken, canine, baboon and bovine plasmas.</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we have seen increasing interest in utilizing the Proteograph in bioprocessing applications. We have certain customers who have run pilot studies with the Proteograph to enhance their liquid chromatography-mass spectrometry (LC-MS) techniques for comprehensive host cell protein (HCP) analysis. While conventional LC-MS is emerging as a versatile technique to identify and quantify HCPs, it is challenged by the inherently large dynamic range of HCPs compared to biologics. By coupling LC-MS with the standard Proteograph XT workflow, researchers identified 4-6x more HCPs for NIST monoclonal antibody (NIST 8671) without the need for additional sample pre-processing steps, providing consistent reproducibility and enhanced sensitivity without sacrificing precision.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Other Approaches to Proteomics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Limitations of Transcriptomics to Infer Proteomics</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RNA sequencing (RNAseq) has been the established method for studying transcriptomics over the last decade. It is often assumed that transcript and protein abundance levels are highly correlated because of the central dogma of molecular biology describing how transcripts are translated into proteins. However, several studies have repeatedly demonstrated a poor correlation between transcript and protein levels (</w:t>
      </w:r>
      <w:r>
        <w:rPr>
          <w:rFonts w:ascii="Times New Roman" w:cs="Times New Roman" w:eastAsia="Times New Roman" w:hAnsi="Times New Roman"/>
          <w:sz w:val="18"/>
          <w:szCs w:val="18"/>
          <w:i w:val="1"/>
          <w:iCs w:val="1"/>
          <w:color w:val="auto"/>
        </w:rPr>
        <w:t>Buccitelli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Selbach</w:t>
      </w:r>
      <w:r>
        <w:rPr>
          <w:rFonts w:ascii="Times New Roman" w:cs="Times New Roman" w:eastAsia="Times New Roman" w:hAnsi="Times New Roman"/>
          <w:sz w:val="18"/>
          <w:szCs w:val="18"/>
          <w:color w:val="auto"/>
        </w:rPr>
        <w:t>). This discrepancy can arise from technical factors, such as noise and bias in methods for assessing both transcripts and proteins, and biological mechanisms such as mRNA translation and degradation. Although both transcriptomics and proteomics measurements have their uses, proteins are more closely linked to phenotype, making them more useful than transcripts for understanding function. Therefore, we believe that direct analysis of the proteome via at-scale proteomics studies will provide unique biological insights for research, discovery and clinical applications.</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Limitations of Affinity-Based Approaches to Proteomics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Proteins are highly variable in structure, chemistry, and concentration, presenting technological challenges for their identification at low concentration levels. Because of the lack of a common amplification mechanism, researchers often use ligands to measure proteins. However, because ligands such as antibodies or aptamers were designed to bind to specific areas of proteins, approaches utilizing them are considered targeted, or biased. The average length of a human protein is approximately 470 amino acids, whereas the average binding site of a ligand is an epitope five to eight amino acids long. Panels of ligands used for protein interrogation have several shortcomings, including: (i) they do not recognize differences in protein structure outside of the epitope binding site, so that all variants appear the same and cannot be differentiated from one another, (ii) conformational changes of the protein can affect epitope and ligand binding; for example, those induced by protein-protein interactions or post-translational modifications, and (iii) certain protein isoforms may exclude entire protein domains and remove the epitope binding site, yielding false negative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99060</wp:posOffset>
            </wp:positionV>
            <wp:extent cx="5349240" cy="29832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line="261" w:lineRule="auto"/>
        <w:rPr>
          <w:sz w:val="20"/>
          <w:szCs w:val="20"/>
          <w:color w:val="auto"/>
        </w:rPr>
      </w:pPr>
      <w:r>
        <w:rPr>
          <w:rFonts w:ascii="Times New Roman" w:cs="Times New Roman" w:eastAsia="Times New Roman" w:hAnsi="Times New Roman"/>
          <w:sz w:val="14"/>
          <w:szCs w:val="14"/>
          <w:color w:val="auto"/>
        </w:rPr>
        <w:t xml:space="preserve">Figure 16: Sources of variation. Left panel is a graphical summary of factors contributing to variation in the affinity-based discovery of the plasma proteome. Right panel schematically describes reasons for differences in binding profile of aptamer and antibody-based proteomic profiling (PAV protein altering variant; SNV single-nucleotide variant). Adapted from Pietzner </w:t>
      </w:r>
      <w:r>
        <w:rPr>
          <w:rFonts w:ascii="Times New Roman" w:cs="Times New Roman" w:eastAsia="Times New Roman" w:hAnsi="Times New Roman"/>
          <w:sz w:val="14"/>
          <w:szCs w:val="14"/>
          <w:i w:val="1"/>
          <w:iCs w:val="1"/>
          <w:color w:val="auto"/>
        </w:rPr>
        <w:t>et al.</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 paper published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Pietzner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from the University of Cambridge experimentally demonstrated the limitations of two distinct commercially-available affinity-based approaches. Specifically, the authors show that protein-altering variants can affect ligand binding, that is, each affinity-based platform interacts differently with the same protein, depending on the epitopes to which its ligands are binding. On average, the correlation between the two commercially-available affinity-based methods was 0.38. The distribution of correlations across all proteins is bimodal, with some proteins having a very good correlation, and others have a correlation close to zero (as shown in Figure 17 below). The authors attribute this poor correlation to differences in epitope binding between platforms and interference from protein-altering variants. These limitations underscore the importance of studying proteins with peptide-level resolution using a technology that is quantitatively robust in identifying protein variants.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428625</wp:posOffset>
            </wp:positionV>
            <wp:extent cx="2880360" cy="255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8036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 xml:space="preserve">Figure 17: Distribution of correlation coefficients across 937 mapping aptamer–antibody pairs (n = 871 unique protein targets). Adapted from Pietzner </w:t>
      </w:r>
      <w:r>
        <w:rPr>
          <w:rFonts w:ascii="Times New Roman" w:cs="Times New Roman" w:eastAsia="Times New Roman" w:hAnsi="Times New Roman"/>
          <w:sz w:val="14"/>
          <w:szCs w:val="14"/>
          <w:i w:val="1"/>
          <w:iCs w:val="1"/>
          <w:color w:val="auto"/>
        </w:rPr>
        <w:t>et al.</w:t>
      </w:r>
    </w:p>
    <w:p>
      <w:pPr>
        <w:spacing w:after="0" w:line="1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Affinity-based approaches are effective when a known target and a specific epitope measurement is desired but cannot cover the vast complexity of the proteome. We believe they are analogous to microarrays in genomics, where a specific DNA fragment is used in a targeted or biased manner to confirm the presence of a specific mutation or a single nucleotide polymorphism (SNP). The fundamental limitation of affinity-based approaches is their inability to differentiate between protein variants and accurately survey the complexity of the proteome.</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Limitations of Traditional Unbiased Approaches to Proteomics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Rather than relying on predefined epitopes, unbiased approaches can interrogate proteins at the peptide level, providing amino-acid level resolution to protein variants. However, traditional, deep, unbiased proteomic approaches rely on complex workflows that do not scale because of the wide range of protein concentrations in biological samples with high dynamic range. In human plasma, for example, the 22 most abundant plasma proteins account for 99% of the total protein mass, while many thousands of less abundant proteins comprise the remaining one percent. Given the important biological role of both high- and low-abundance proteins, it is critical to detect proteins accurately, precisely, and reproducibly across the dynamic range.</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MS is a widely used technique for unbiased discovery, basic research and clinical applications, and is considered the gold standard for protein identification. However, the wide dynamic range of protein concentrations in plasma and other biological samples has previously required complex, upfront sample preparation workflows prior to MS analysis, involving depletion of abundant proteins and fractionation of the remaining proteins and peptides. Deep unbiased proteomics analysis of complex biosamples at scale has not been feasible for wide adoption by researchers due to the high complexity, cost and time requirements. For example, in a state-of-the-art deep unbiased plasma proteomics study in 2017 prior to commercial availability of the Proteograph Product Suite, Keshishian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depleted the most abundant proteins with immuno-affinity columns and then separated remaining peptides by multiple and complex chromatographic steps and MS injections. The study identified 4,500 different proteins across 16 samples but took months to complete.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commercial availability of the Proteograph Product Suite, we believe the critical unmet need in proteomic analysis was how to collect unbiased proteomic data on thousands of proteins in a sample spanning more than ten orders of magnitude in concentration (dynamic range) and to repeat this across thousands of samples in a reasonable amount of time and cost. Genomics faced a similar unmet need before the advent of NGS, which allowed for massively parallel sampling.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believe that the Proteograph Product Suite has two primary near-term markets: the approximately $27 billion global proteomics market, and the $28 billion global genomics market, as reported by Allied Market Research and Technavio, respectively. The proteomics market is estimated by Allied Market Research to have spent approximately $21 billion on reagents, $4.5 billion on instruments, and $1.5 billion on services in 2022. We are competing in the proteomics reagent and instrument markets, while our STAC and Centers of Excellence (COEs) service providers address the services opportunity. Similarly in the genomics market, we are attracting spend on both products and services as genomic customers link genotype to phenotype by supplementing existing genomic data with proteomics data.</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currently sell and market the Proteograph Product Suite for research use only (RUO). However, we believe that the capabilities of the Proteograph Product Suite may enable other applications in the future, including clinical and applied applications. Like the commercial impact of broadened access to genomics products, we believe the Proteograph will enable novel applications and insights, leading to new end-markets. For example, non-invasive prenatal testing and precision oncology currently make up a significant part of the current genomics market, which would have been difficult to predict a decade ago. We anticipate that the same dynamic of new market creation will occur in proteomics, with one such application for proteomics being early disease detection.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imagine and pioneer new ways to decode the biology of the proteome to improve human health. Our growth strategy is to:</w:t>
      </w:r>
    </w:p>
    <w:p>
      <w:pPr>
        <w:spacing w:after="0" w:line="167" w:lineRule="exact"/>
        <w:rPr>
          <w:sz w:val="20"/>
          <w:szCs w:val="20"/>
          <w:color w:val="auto"/>
        </w:rPr>
      </w:pPr>
    </w:p>
    <w:p>
      <w:pPr>
        <w:ind w:left="760" w:hanging="752"/>
        <w:spacing w:after="0" w:line="25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building evidence in the market to demonstrate the Proteograph’s differentiated abilities to deliver unique, actionable biological insights. </w:t>
      </w:r>
      <w:r>
        <w:rPr>
          <w:rFonts w:ascii="Times New Roman" w:cs="Times New Roman" w:eastAsia="Times New Roman" w:hAnsi="Times New Roman"/>
          <w:sz w:val="18"/>
          <w:szCs w:val="18"/>
          <w:color w:val="auto"/>
        </w:rPr>
        <w:t>Since our commercial launch in 2021, our market development efforts have been focused on creating a body of evidence to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unbiased, deep proteomics at scale by establishing relationships with key thought leaders. Since our launch of the Proteograph, these efforts have translated into a strong foundation of evidence, with 33 publications, preprints and reviews demonstrating the performance of the Proteograph to date. As evidence continues to increase as Proteograph adoption grows, we are also transitioning from being a pioneer in unbiased, deep proteomics at scale to being a trusted partner for discovery and translational research.</w:t>
      </w:r>
    </w:p>
    <w:p>
      <w:pPr>
        <w:spacing w:after="0" w:line="132" w:lineRule="exact"/>
        <w:rPr>
          <w:rFonts w:ascii="Times New Roman" w:cs="Times New Roman" w:eastAsia="Times New Roman" w:hAnsi="Times New Roman"/>
          <w:sz w:val="18"/>
          <w:szCs w:val="18"/>
          <w:color w:val="auto"/>
        </w:rPr>
      </w:pPr>
    </w:p>
    <w:p>
      <w:pPr>
        <w:ind w:left="7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Moving forward, in order to expand and accelerate demand for our products, we are investing in market development activities to educate prospective customers, funding bodies, commercial entities, government-sponsored multi-omics programs, and other stakeholders of the importance of large-scale unbiased and deep proteomic data. This effort includes collaborations with key opinion leaders (KOL) to generate scientific data, presentations, and peer-reviewed publications. Additionally, we are strategically investing in market development activities such as sponsorship of targeted projects, joint publications and seminars, and industry partnerships.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760" w:hanging="752"/>
        <w:spacing w:after="0" w:line="26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user base by continuing to enhance access to the Proteograph</w:t>
      </w:r>
      <w:r>
        <w:rPr>
          <w:rFonts w:ascii="Times New Roman" w:cs="Times New Roman" w:eastAsia="Times New Roman" w:hAnsi="Times New Roman"/>
          <w:sz w:val="18"/>
          <w:szCs w:val="18"/>
          <w:color w:val="auto"/>
        </w:rPr>
        <w:t>. As our body of evidence grows, we expect customer adoption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accelerate. We are intensely focused on removing barriers for customers to access Proteograph data to support their research activities. We have established several channels for customers to access the Proteograph either through our direct sales team, STAC services, COEs service provides, international channel partners, and strategic commercial partnerships.</w:t>
      </w:r>
    </w:p>
    <w:p>
      <w:pPr>
        <w:spacing w:after="0" w:line="122" w:lineRule="exact"/>
        <w:rPr>
          <w:rFonts w:ascii="Times New Roman" w:cs="Times New Roman" w:eastAsia="Times New Roman" w:hAnsi="Times New Roman"/>
          <w:sz w:val="18"/>
          <w:szCs w:val="18"/>
          <w:color w:val="auto"/>
        </w:rPr>
      </w:pPr>
    </w:p>
    <w:p>
      <w:pPr>
        <w:ind w:left="2020" w:right="140" w:hanging="754"/>
        <w:spacing w:after="0" w:line="262" w:lineRule="auto"/>
        <w:tabs>
          <w:tab w:leader="none" w:pos="2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 Sales: </w:t>
      </w:r>
      <w:r>
        <w:rPr>
          <w:rFonts w:ascii="Times New Roman" w:cs="Times New Roman" w:eastAsia="Times New Roman" w:hAnsi="Times New Roman"/>
          <w:sz w:val="18"/>
          <w:szCs w:val="18"/>
          <w:color w:val="auto"/>
        </w:rPr>
        <w:t>In North America, the United Kingdom and select countries of the European Union, we have direct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experience personnel, including Regional Business Managers (RBM), Field Application Scientists and Field Service Engineers. In addition to these direct personnel, we have marketing, customer experience and technical support personnel located in our offices in Redwood City and San Diego, California.</w:t>
      </w:r>
    </w:p>
    <w:p>
      <w:pPr>
        <w:spacing w:after="0" w:line="126" w:lineRule="exact"/>
        <w:rPr>
          <w:rFonts w:ascii="Times New Roman" w:cs="Times New Roman" w:eastAsia="Times New Roman" w:hAnsi="Times New Roman"/>
          <w:sz w:val="18"/>
          <w:szCs w:val="18"/>
          <w:color w:val="auto"/>
        </w:rPr>
      </w:pPr>
    </w:p>
    <w:p>
      <w:pPr>
        <w:ind w:left="2020" w:right="2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doubled the size of our commercial team across Marketing, Sales, and Customer Experience to support growing demand, with the goal of expanding our direct sales efforts and delivering an exceptional customer experience. We believe these efforts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9" w:lineRule="exact"/>
        <w:rPr>
          <w:rFonts w:ascii="Times New Roman" w:cs="Times New Roman" w:eastAsia="Times New Roman" w:hAnsi="Times New Roman"/>
          <w:sz w:val="18"/>
          <w:szCs w:val="18"/>
          <w:color w:val="auto"/>
        </w:rPr>
      </w:pPr>
    </w:p>
    <w:p>
      <w:pPr>
        <w:ind w:left="202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to reduce customer capital investment barriers, we launched the Strategic Instrument Placement Program (SIPP) in 2023 to enable customer access to our Proteograph without the need for an upfront capital investment. With an upfront purchase of consumable kits, we loan the instrument for a defined period of time with an option to purchase at the end of the loan term. This is allowing customers to utilize available operating budget without the need to access capital budget in the short term.</w:t>
      </w:r>
    </w:p>
    <w:p>
      <w:pPr>
        <w:spacing w:after="0" w:line="125" w:lineRule="exact"/>
        <w:rPr>
          <w:rFonts w:ascii="Times New Roman" w:cs="Times New Roman" w:eastAsia="Times New Roman" w:hAnsi="Times New Roman"/>
          <w:sz w:val="18"/>
          <w:szCs w:val="18"/>
          <w:color w:val="auto"/>
        </w:rPr>
      </w:pPr>
    </w:p>
    <w:p>
      <w:pPr>
        <w:ind w:left="2020" w:right="40" w:hanging="754"/>
        <w:spacing w:after="0" w:line="246" w:lineRule="auto"/>
        <w:tabs>
          <w:tab w:leader="none" w:pos="2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Seer Technology Access Center (STAC)</w:t>
      </w:r>
      <w:r>
        <w:rPr>
          <w:rFonts w:ascii="Times New Roman" w:cs="Times New Roman" w:eastAsia="Times New Roman" w:hAnsi="Times New Roman"/>
          <w:sz w:val="18"/>
          <w:szCs w:val="18"/>
          <w:color w:val="auto"/>
        </w:rPr>
        <w:t>: In June 2023, we announced the formation of the STAC to provide access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Proteograph workflow, coupled with Thermo Scientific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Orbitrap</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Astral</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MS, on a fee-for-service basis. The STAC’s primary purpose is to lower the barriers to access for customers who want access to data produced by these technologies. Given the success of and strong demand for STAC, in May 2024, we announced the opening of our second STAC location in Bonn, Germany, in partnership with LIFE &amp; BRAIN GmbH.</w:t>
      </w:r>
    </w:p>
    <w:p>
      <w:pPr>
        <w:spacing w:after="0" w:line="137" w:lineRule="exact"/>
        <w:rPr>
          <w:rFonts w:ascii="Times New Roman" w:cs="Times New Roman" w:eastAsia="Times New Roman" w:hAnsi="Times New Roman"/>
          <w:sz w:val="18"/>
          <w:szCs w:val="18"/>
          <w:color w:val="auto"/>
        </w:rPr>
      </w:pPr>
    </w:p>
    <w:p>
      <w:pPr>
        <w:ind w:left="2020" w:right="40" w:hanging="754"/>
        <w:spacing w:after="0" w:line="259" w:lineRule="auto"/>
        <w:tabs>
          <w:tab w:leader="none" w:pos="2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Centers of Excellence (COE): </w:t>
      </w:r>
      <w:r>
        <w:rPr>
          <w:rFonts w:ascii="Times New Roman" w:cs="Times New Roman" w:eastAsia="Times New Roman" w:hAnsi="Times New Roman"/>
          <w:sz w:val="18"/>
          <w:szCs w:val="18"/>
          <w:color w:val="auto"/>
        </w:rPr>
        <w:t>We have partnered with eight select service facilities and core labs globally to be COEs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Proteograph. These customers provide fee-for-service capabilities that allow third-party customers to access proteomic data from the Proteograph Product Suite using their own samples. We expect that these COEs will actively promote the Proteograph solution and its capabilities, help us further raise awareness, and increase the accessibility of the Proteograph to a wider range of customers.</w:t>
      </w:r>
    </w:p>
    <w:p>
      <w:pPr>
        <w:spacing w:after="0" w:line="125" w:lineRule="exact"/>
        <w:rPr>
          <w:rFonts w:ascii="Times New Roman" w:cs="Times New Roman" w:eastAsia="Times New Roman" w:hAnsi="Times New Roman"/>
          <w:sz w:val="18"/>
          <w:szCs w:val="18"/>
          <w:color w:val="auto"/>
        </w:rPr>
      </w:pPr>
    </w:p>
    <w:p>
      <w:pPr>
        <w:ind w:left="2020" w:right="260" w:hanging="754"/>
        <w:spacing w:after="0" w:line="262" w:lineRule="auto"/>
        <w:tabs>
          <w:tab w:leader="none" w:pos="2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Channel Partners: </w:t>
      </w:r>
      <w:r>
        <w:rPr>
          <w:rFonts w:ascii="Times New Roman" w:cs="Times New Roman" w:eastAsia="Times New Roman" w:hAnsi="Times New Roman"/>
          <w:sz w:val="18"/>
          <w:szCs w:val="18"/>
          <w:color w:val="auto"/>
        </w:rPr>
        <w:t>We continue to expand geographically to enable access in key international markets. In addition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distributor in China, we added new distributors and channel partners in Australia, Eastern Europe, Israel, Japan, and South Africa. These partners will help educate, develop and expand the market for the Proteograph Product Suite in their respective regions.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20" w:right="40" w:hanging="754"/>
        <w:spacing w:after="0" w:line="238" w:lineRule="auto"/>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Partnerships: </w:t>
      </w:r>
      <w:r>
        <w:rPr>
          <w:rFonts w:ascii="Times New Roman" w:cs="Times New Roman" w:eastAsia="Times New Roman" w:hAnsi="Times New Roman"/>
          <w:sz w:val="18"/>
          <w:szCs w:val="18"/>
          <w:color w:val="auto"/>
        </w:rPr>
        <w:t>In November 2024, we announced a co-marketing and sales agreement with Thermo Fisher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Scientific, who will now be able to directly quote and sell the Proteograph Product Suite along with the Orbitrap</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Astral</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This partnership, expected to operationalize in early 2025, will expand and accelerate accessibility to the best-in-class deep, unbiased proteomic workflow to life science researchers worldwide and create a seamless sample-to-data experience for customers. Additionally, we will collaborate with Thermo Fisher Scientific on marketing activities and joint research and population-scale studies.</w:t>
      </w:r>
    </w:p>
    <w:p>
      <w:pPr>
        <w:spacing w:after="0" w:line="143" w:lineRule="exact"/>
        <w:rPr>
          <w:rFonts w:ascii="Times New Roman" w:cs="Times New Roman" w:eastAsia="Times New Roman" w:hAnsi="Times New Roman"/>
          <w:sz w:val="18"/>
          <w:szCs w:val="18"/>
          <w:color w:val="auto"/>
        </w:rPr>
      </w:pPr>
    </w:p>
    <w:p>
      <w:pPr>
        <w:ind w:left="760" w:hanging="752"/>
        <w:spacing w:after="0" w:line="278" w:lineRule="auto"/>
        <w:tabs>
          <w:tab w:leader="none" w:pos="7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Enable and deliver large cohort studies to accelerate the market for deep, unbiased, proteomics at scale. </w:t>
      </w:r>
      <w:r>
        <w:rPr>
          <w:rFonts w:ascii="Times New Roman" w:cs="Times New Roman" w:eastAsia="Times New Roman" w:hAnsi="Times New Roman"/>
          <w:sz w:val="17"/>
          <w:szCs w:val="17"/>
          <w:color w:val="auto"/>
        </w:rPr>
        <w:t>In 2024, our customers and KOLs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delivered high-impact publications that demonstrate the Proteograph’s performance, differentiation, and ability to deliver novel insights through at-scale studies. We are in discussions with key biobanks and precision medicine-focused customers to power population-scale, unbiased, deep proteomic studies through our Proteograph platform and STAC. For the first time, scientists will be able to generate peptide-level molecular data from large cohorts, which we believe will unlock new biological insights and help usher in the next era of multi-omics driven precision medicine.</w:t>
      </w:r>
    </w:p>
    <w:p>
      <w:pPr>
        <w:spacing w:after="0" w:line="109" w:lineRule="exact"/>
        <w:rPr>
          <w:rFonts w:ascii="Times New Roman" w:cs="Times New Roman" w:eastAsia="Times New Roman" w:hAnsi="Times New Roman"/>
          <w:sz w:val="17"/>
          <w:szCs w:val="17"/>
          <w:color w:val="auto"/>
        </w:rPr>
      </w:pPr>
    </w:p>
    <w:p>
      <w:pPr>
        <w:ind w:left="760" w:right="80" w:hanging="752"/>
        <w:spacing w:after="0" w:line="25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continuously to develop and commercialize additional transformative products to break down MS proteomic workflow barriers, access the proteome, and accelerate our understanding of biology. </w:t>
      </w:r>
      <w:r>
        <w:rPr>
          <w:rFonts w:ascii="Times New Roman" w:cs="Times New Roman" w:eastAsia="Times New Roman" w:hAnsi="Times New Roman"/>
          <w:sz w:val="18"/>
          <w:szCs w:val="18"/>
          <w:color w:val="auto"/>
        </w:rPr>
        <w:t>We aim to continuously innovate and develop new products,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workflows and analysis tools that simplify and accelerate researchers 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We will drive innovation through both internal R&amp;D projects and from collaborations with customers and partners.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Manufacturing</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the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Automation Instrument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designed the SP100 automation instrument and have outsourced its manufacturing to Hamilton Company, a leading manufacturer of automated liquid handling workstations. We entered a non-exclusive agreement with Hamilton that covers the manufacturing of the SP100 automation instrument and its continued supply on a purchase order basis. Starting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life sciences technology industry is highly dynamic, marked by rapidly advancing technologies, intense competition and a strong focus on intellectual property. In the proteomics market, companies offer a range of analytical instruments, such as chromatography and MS instruments, and associated reagents. Competition in the proteomics market is based on proprietary technologies, rapid product development capabilities, applications and intellectual property. We believe that no currently commercially available products offer the capability to conduct unbiased, deep proteomics studies of high dynamic range samples at the same scale and throughput as the Proteograph Product Suite. However, given the potential market opportunity and scientific promise of proteomics, we expect the competition to increase and, as a result, one or more competing products to emerge.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Current companies that provide proteomics products include Agilent Technologies, Bio-Techne, Bruker, Danaher, DiaSorin and Thermo Fisher Scientific. There are also a number of companies that provide proteomic analysis services. In addition, multiple emerging growth companies have developed, or are developing, proteomics products, services and solutions, such as Alamar Biosciences, Nautilus Biotechnology, Quanterix, Quantum-Si and Standard BioTools.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label and sell our products for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 In January 2024, FDA announced its plans to reclassify certain high-risk in vitro diagnostics, including companion diagnostics, as Class II devices.</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medical devices, including IVDs, that are regulated by the FDA are also subject to the quality system regulation.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The FDA will begin to enforce the QMSR requirements upon the effective date, February 2, 2026.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In May 2024, the FDA issued a final rule that phases out its enforcement discretion for most laboratory-developed tests (LDTs) and amends the FDA’s regulations to make explicit that in vitro diagnostics are medical devices under the Federal Food, Drug, and Cosmetic Act, including when the manufacturer of the diagnostic product is a laboratory. This final rule is being challenged in federal courts.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of the FDA, including this LDT final rule. Further, the new presidential administration, including new leadership at the FDA, may issue new policies and regulations that can impact the compliance status of our products or that of our customers.</w:t>
      </w:r>
    </w:p>
    <w:p>
      <w:pPr>
        <w:spacing w:after="0" w:line="14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If our products become subject to FDA regulation as medical devices, we would need to invest significant time and resources to ensure ongoing compliance with FDA quality system regulations and other post-market regulatory requirements. It is unclear how future legislation by federal and state governments and FDA regulation will impact the industry, including our business and that of our customers.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which replaced the IVD Directive, is significantly more extensive than the IVD Directive, including requirements on performance data and quality system, and went into application in May 2022. Recently, the European Parliament voted to extend the transition timelines for IVDR.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future, to the extent we or our partners develop any medical devices subject to FDA regulation, failure to comply with applicable regulatory requirements can result in enforcement action by FDA, which may include warning letters, untitled letters, fines, injunctions, consent decrees, and civil penalties; withdrawal, administrative detention, refunds, recall or seizure of products; operating restrictions, partial suspension or total shutdown of production; refusing or delaying requests for 510(k) clearance, de novo authorization, or PMA approval of new products or modified products; withdrawing 510(k) clearance, de novo authorization, or PMA approvals already granted; refusal to grant export approvals; or criminal prosecution. Further, manufacturing, sales, promotion and other activities following medical device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A medical device may be marketed only for the indications for use for which it was approved or cleared. In addition to FDA restrictions on marketing of devices, several other types of state and federal laws have been applied to restrict certain marketing practices in the device industry. These laws include the federal Anti-Kickback Statute, False Claims Act, Civil Monetary Penalties, and CMS Open Payments, among others.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future, if we or our partners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152" w:lineRule="exact"/>
        <w:rPr>
          <w:sz w:val="20"/>
          <w:szCs w:val="20"/>
          <w:color w:val="auto"/>
        </w:rPr>
      </w:pPr>
    </w:p>
    <w:p>
      <w:pPr>
        <w:ind w:right="780"/>
        <w:spacing w:after="0" w:line="438" w:lineRule="auto"/>
        <w:rPr>
          <w:sz w:val="20"/>
          <w:szCs w:val="20"/>
          <w:color w:val="auto"/>
        </w:rPr>
      </w:pPr>
      <w:r>
        <w:rPr>
          <w:rFonts w:ascii="Times New Roman" w:cs="Times New Roman" w:eastAsia="Times New Roman" w:hAnsi="Times New Roman"/>
          <w:sz w:val="18"/>
          <w:szCs w:val="18"/>
          <w:color w:val="auto"/>
        </w:rPr>
        <w:t xml:space="preserve">For further discussion of the risks we face relating to regulation, see the section titled “Risk factors—Risks related to our business and industry.” </w:t>
      </w:r>
      <w:r>
        <w:rPr>
          <w:rFonts w:ascii="Times New Roman" w:cs="Times New Roman" w:eastAsia="Times New Roman" w:hAnsi="Times New Roman"/>
          <w:sz w:val="18"/>
          <w:szCs w:val="18"/>
          <w:b w:val="1"/>
          <w:bCs w:val="1"/>
          <w:color w:val="auto"/>
        </w:rPr>
        <w:t>Intellectual Property</w:t>
      </w:r>
    </w:p>
    <w:p>
      <w:pPr>
        <w:spacing w:after="0" w:line="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2024, we owned or exclusively licensed over 200 issued patents and patent applications worldwide. Our intellectual property portfolio includes patents and patent applications directed to proteomic assays, nanoparticle chemistry, data analysis and automation instruments. Our owned or exclusively licensed patents and patent applications, if issued, are expected to expire between 2023 and 2045, in each case without taking into account any possible patent term adjustments or extensions and assuming payment of all appropriate maintenance, renewal, annuity or other governmental fees.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exclusively license U.S. patents and patent applications, as well as ex-U.S. patents and pending patent applications from The Brigham and Women’s Hospital (BWH).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2034 and 2037, in each case without taking into account any possible patent term adjustments or extensions and assuming payment of all appropriate maintenance, renewal, annuity, or other governmental fees.</w:t>
      </w:r>
    </w:p>
    <w:p>
      <w:pPr>
        <w:spacing w:after="0" w:line="1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Times New Roman" w:cs="Times New Roman" w:eastAsia="Times New Roman" w:hAnsi="Times New Roman"/>
          <w:sz w:val="18"/>
          <w:szCs w:val="18"/>
          <w:i w:val="1"/>
          <w:iCs w:val="1"/>
          <w:color w:val="auto"/>
        </w:rPr>
        <w:t>“Business —Collaboration and License Agreements.”</w:t>
      </w:r>
    </w:p>
    <w:p>
      <w:pPr>
        <w:spacing w:after="0" w:line="13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Times New Roman" w:cs="Times New Roman" w:eastAsia="Times New Roman" w:hAnsi="Times New Roman"/>
          <w:sz w:val="18"/>
          <w:szCs w:val="18"/>
          <w:i w:val="1"/>
          <w:iCs w:val="1"/>
          <w:color w:val="auto"/>
        </w:rPr>
        <w:t>“Risk factors—Risks Related to our Intellectual Property.”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Brigham and Women’s Hospital</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3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consideration for the licenses granted under the agreement, we must pay BWH annual license fees and a low single digit royalty on net sales of licensed products in any country during the term of the agreement, which is credited against the annual license fees. In the event we commercialize a product in the therapeutic space, we are also required to make certain drug-approval regulatory and commercialization milestone payments to BWH of up to a mid-seven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PrognomiQ</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assembled a highly-qualified scientific advisory board composed of advisors who have deep expertise in the fields of nanotechnology, proteomics, genomics, medicine, regulatory compliance and data science. Our scientific advisory board is composed of Robert Langer, Sc.D., Charles Cantor, Ph.D., Steven Carr, Ph.D., Joshua Coon, Ph.D., Luis Diaz, M.D., Vivek Farias, Ph.D., Chris Mason, Ph.D., Mark McClellan, Ph.D., Gary Patti, Ph.D., Jennifer Van Eyk, Ph.D., M.D., and Bruce Wilcox, Ph.D.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employees are guided by our mission to imagine and pioneer news ways to decode the biology of the proteome to improve human health. Our core values Better Together, Customer Centric, Difference Makers, People First and Trailblazers guide us toward achieving our mission. Our core values set the foundation for how we conduct business, interact with each other and our customers and evaluate employee performance.</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2024, we had 134 employees based in North America, the European Union and the United Kingdom. Many of our employees are highly educated, holding masters and doctorate degrees. None of our employees is represented by a labor union or covered under a collective bargaining agreement.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Diversity, equality and inclusion awareness were a part of our 2024 human capital strategy. As of December 31, 2024, 57% of our employees were women and/or people of color.</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to increase stockholder value and the success of our company by motivating such individuals to perform to the best of their abilities and achieve our objectives.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History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should not be considered to be part of this Annual Report.</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Seer and Proteograph as trademarks in the United States and other countries. This Annual Report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Published studies referenced throughout this Annual Report are cited below. These studies are not a part of this prospectus and are not incorporated by reference in this Annual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Backman, J.D.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Exome sequencing and analysis of 454,787 UK Biobank participants.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599, 628–634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Beimers W, Overmyer K,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 Technical Evaluation of Plasma Proteomics Technologies. (bioRxiv).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Bludau, 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Proteomic and interactomic insights into the molecular basis of cell functional diversity. </w:t>
      </w:r>
      <w:r>
        <w:rPr>
          <w:rFonts w:ascii="Times New Roman" w:cs="Times New Roman" w:eastAsia="Times New Roman" w:hAnsi="Times New Roman"/>
          <w:sz w:val="18"/>
          <w:szCs w:val="18"/>
          <w:i w:val="1"/>
          <w:iCs w:val="1"/>
          <w:color w:val="auto"/>
        </w:rPr>
        <w:t>Nat Rev Molec Cell Biol</w:t>
      </w:r>
      <w:r>
        <w:rPr>
          <w:rFonts w:ascii="Times New Roman" w:cs="Times New Roman" w:eastAsia="Times New Roman" w:hAnsi="Times New Roman"/>
          <w:sz w:val="18"/>
          <w:szCs w:val="18"/>
          <w:color w:val="auto"/>
        </w:rPr>
        <w:t xml:space="preserve"> 21, 327–340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Blume, J.E.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Rapid, deep and precise profiling of the plasma proteome with multi-nanoparticle protein corona. </w:t>
      </w:r>
      <w:r>
        <w:rPr>
          <w:rFonts w:ascii="Times New Roman" w:cs="Times New Roman" w:eastAsia="Times New Roman" w:hAnsi="Times New Roman"/>
          <w:sz w:val="18"/>
          <w:szCs w:val="18"/>
          <w:i w:val="1"/>
          <w:iCs w:val="1"/>
          <w:color w:val="auto"/>
        </w:rPr>
        <w:t>Nat. Commun.</w:t>
      </w:r>
      <w:r>
        <w:rPr>
          <w:rFonts w:ascii="Times New Roman" w:cs="Times New Roman" w:eastAsia="Times New Roman" w:hAnsi="Times New Roman"/>
          <w:sz w:val="18"/>
          <w:szCs w:val="18"/>
          <w:color w:val="auto"/>
        </w:rPr>
        <w:t xml:space="preserve"> 11 (2020).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Buccitelli C. and Selbach M. mRNAs, proteins and the emerging principles of gene expression control. </w:t>
      </w:r>
      <w:r>
        <w:rPr>
          <w:rFonts w:ascii="Times New Roman" w:cs="Times New Roman" w:eastAsia="Times New Roman" w:hAnsi="Times New Roman"/>
          <w:sz w:val="18"/>
          <w:szCs w:val="18"/>
          <w:i w:val="1"/>
          <w:iCs w:val="1"/>
          <w:color w:val="auto"/>
        </w:rPr>
        <w:t>Nat Rev Genet.</w:t>
      </w:r>
      <w:r>
        <w:rPr>
          <w:rFonts w:ascii="Times New Roman" w:cs="Times New Roman" w:eastAsia="Times New Roman" w:hAnsi="Times New Roman"/>
          <w:sz w:val="18"/>
          <w:szCs w:val="18"/>
          <w:color w:val="auto"/>
        </w:rPr>
        <w:t xml:space="preserve"> 21(10):630-644 (2020).</w:t>
      </w:r>
    </w:p>
    <w:p>
      <w:pPr>
        <w:spacing w:after="0" w:line="171"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Donovan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Functionally distinct BMP1 isoforms show an opposite pattern of abundance in plasma from non-small cell lung cancer subjects and controls. </w:t>
      </w:r>
      <w:r>
        <w:rPr>
          <w:rFonts w:ascii="Times New Roman" w:cs="Times New Roman" w:eastAsia="Times New Roman" w:hAnsi="Times New Roman"/>
          <w:sz w:val="18"/>
          <w:szCs w:val="18"/>
          <w:i w:val="1"/>
          <w:iCs w:val="1"/>
          <w:color w:val="auto"/>
        </w:rPr>
        <w:t>PLOS One.</w:t>
      </w:r>
      <w:r>
        <w:rPr>
          <w:rFonts w:ascii="Times New Roman" w:cs="Times New Roman" w:eastAsia="Times New Roman" w:hAnsi="Times New Roman"/>
          <w:sz w:val="18"/>
          <w:szCs w:val="18"/>
          <w:color w:val="auto"/>
        </w:rPr>
        <w:t xml:space="preserve"> 18(3): e0282821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Ferdosi, 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Engineered nanoparticles enable deep proteomic studies at scale by leveraging tunable nano-bio interactions. </w:t>
      </w:r>
      <w:r>
        <w:rPr>
          <w:rFonts w:ascii="Times New Roman" w:cs="Times New Roman" w:eastAsia="Times New Roman" w:hAnsi="Times New Roman"/>
          <w:sz w:val="18"/>
          <w:szCs w:val="18"/>
          <w:i w:val="1"/>
          <w:iCs w:val="1"/>
          <w:color w:val="auto"/>
        </w:rPr>
        <w:t>PNAS</w:t>
      </w:r>
      <w:r>
        <w:rPr>
          <w:rFonts w:ascii="Times New Roman" w:cs="Times New Roman" w:eastAsia="Times New Roman" w:hAnsi="Times New Roman"/>
          <w:sz w:val="18"/>
          <w:szCs w:val="18"/>
          <w:color w:val="auto"/>
        </w:rPr>
        <w:t>. 119(11) (2022).</w:t>
      </w:r>
    </w:p>
    <w:p>
      <w:pPr>
        <w:spacing w:after="0" w:line="1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Ferdosi, 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Enhanced competition at the nano-bio interface enables comprehensive characterization of protein corona dynamics and deep coverage of proteomes. </w:t>
      </w:r>
      <w:r>
        <w:rPr>
          <w:rFonts w:ascii="Times New Roman" w:cs="Times New Roman" w:eastAsia="Times New Roman" w:hAnsi="Times New Roman"/>
          <w:sz w:val="18"/>
          <w:szCs w:val="18"/>
          <w:i w:val="1"/>
          <w:iCs w:val="1"/>
          <w:color w:val="auto"/>
        </w:rPr>
        <w:t>Advanced Materials</w:t>
      </w:r>
      <w:r>
        <w:rPr>
          <w:rFonts w:ascii="Times New Roman" w:cs="Times New Roman" w:eastAsia="Times New Roman" w:hAnsi="Times New Roman"/>
          <w:sz w:val="18"/>
          <w:szCs w:val="18"/>
          <w:color w:val="auto"/>
        </w:rPr>
        <w:t>. 34, 2206008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Keshishian, 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Quantitative, multiplexed workflow for deep analysis of human blood plasma and biomarker discovery by mass spectrometry. </w:t>
      </w:r>
      <w:r>
        <w:rPr>
          <w:rFonts w:ascii="Times New Roman" w:cs="Times New Roman" w:eastAsia="Times New Roman" w:hAnsi="Times New Roman"/>
          <w:sz w:val="18"/>
          <w:szCs w:val="18"/>
          <w:i w:val="1"/>
          <w:iCs w:val="1"/>
          <w:color w:val="auto"/>
        </w:rPr>
        <w:t>Nat.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Proc. </w:t>
      </w:r>
      <w:r>
        <w:rPr>
          <w:rFonts w:ascii="Times New Roman" w:cs="Times New Roman" w:eastAsia="Times New Roman" w:hAnsi="Times New Roman"/>
          <w:sz w:val="18"/>
          <w:szCs w:val="18"/>
          <w:color w:val="auto"/>
        </w:rPr>
        <w:t>12 1683-1701 (2017).</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Lacar, B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Identification of Novel Biomarkers for Alzheimer’s Disease and Related Dementias Using Unbiased Plasma Proteomics (bioRxiv).</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Nakahata and Kawamoto. Tissue-dependent isoforms of mammalian Fox-1 homologs are associated with tissue-specific splicing activities. Nucleic Acid Research 33(7) 2078-2089 (2005).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Pietzner,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Synergistic insights into human health from aptamer- and antibody-based proteomic profiling. </w:t>
      </w:r>
      <w:r>
        <w:rPr>
          <w:rFonts w:ascii="Times New Roman" w:cs="Times New Roman" w:eastAsia="Times New Roman" w:hAnsi="Times New Roman"/>
          <w:sz w:val="18"/>
          <w:szCs w:val="18"/>
          <w:i w:val="1"/>
          <w:iCs w:val="1"/>
          <w:color w:val="auto"/>
        </w:rPr>
        <w:t>Nat Commun.</w:t>
      </w:r>
      <w:r>
        <w:rPr>
          <w:rFonts w:ascii="Times New Roman" w:cs="Times New Roman" w:eastAsia="Times New Roman" w:hAnsi="Times New Roman"/>
          <w:sz w:val="18"/>
          <w:szCs w:val="18"/>
          <w:color w:val="auto"/>
        </w:rPr>
        <w:t xml:space="preserve"> 12, 6822 (2021).</w:t>
      </w:r>
    </w:p>
    <w:p>
      <w:pPr>
        <w:spacing w:after="0" w:line="171" w:lineRule="exact"/>
        <w:rPr>
          <w:sz w:val="20"/>
          <w:szCs w:val="20"/>
          <w:color w:val="auto"/>
        </w:rPr>
      </w:pPr>
    </w:p>
    <w:p>
      <w:pPr>
        <w:ind w:right="960"/>
        <w:spacing w:after="0" w:line="284" w:lineRule="auto"/>
        <w:rPr>
          <w:sz w:val="20"/>
          <w:szCs w:val="20"/>
          <w:color w:val="auto"/>
        </w:rPr>
      </w:pPr>
      <w:r>
        <w:rPr>
          <w:rFonts w:ascii="Times New Roman" w:cs="Times New Roman" w:eastAsia="Times New Roman" w:hAnsi="Times New Roman"/>
          <w:sz w:val="18"/>
          <w:szCs w:val="18"/>
          <w:color w:val="auto"/>
        </w:rPr>
        <w:t xml:space="preserve">Schwenk, J.M.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The Human Plasma Proteome Draft of 2017: Building on the Human Plasma Peptide Atlas from Mass Spectrometry and Complementary Assays. </w:t>
      </w:r>
      <w:r>
        <w:rPr>
          <w:rFonts w:ascii="Times New Roman" w:cs="Times New Roman" w:eastAsia="Times New Roman" w:hAnsi="Times New Roman"/>
          <w:sz w:val="18"/>
          <w:szCs w:val="18"/>
          <w:i w:val="1"/>
          <w:iCs w:val="1"/>
          <w:color w:val="auto"/>
        </w:rPr>
        <w:t>J. Proteome Res.</w:t>
      </w:r>
      <w:r>
        <w:rPr>
          <w:rFonts w:ascii="Times New Roman" w:cs="Times New Roman" w:eastAsia="Times New Roman" w:hAnsi="Times New Roman"/>
          <w:sz w:val="18"/>
          <w:szCs w:val="18"/>
          <w:color w:val="auto"/>
        </w:rPr>
        <w:t xml:space="preserve"> 16, 4299-4310 (2017).</w:t>
      </w:r>
    </w:p>
    <w:p>
      <w:pPr>
        <w:spacing w:after="0" w:line="10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Suhre, K.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Nanoparticle enrichment mass-spectrometry proteomics identifies protein-altering variants for precise pQTL mapping. </w:t>
      </w:r>
      <w:r>
        <w:rPr>
          <w:rFonts w:ascii="Times New Roman" w:cs="Times New Roman" w:eastAsia="Times New Roman" w:hAnsi="Times New Roman"/>
          <w:sz w:val="18"/>
          <w:szCs w:val="18"/>
          <w:i w:val="1"/>
          <w:iCs w:val="1"/>
          <w:color w:val="auto"/>
        </w:rPr>
        <w:t>Nat Commun,</w:t>
      </w:r>
      <w:r>
        <w:rPr>
          <w:rFonts w:ascii="Times New Roman" w:cs="Times New Roman" w:eastAsia="Times New Roman" w:hAnsi="Times New Roman"/>
          <w:sz w:val="18"/>
          <w:szCs w:val="18"/>
          <w:color w:val="auto"/>
        </w:rPr>
        <w:t xml:space="preserve"> 15, 989 (2024).</w:t>
      </w:r>
    </w:p>
    <w:p>
      <w:pPr>
        <w:spacing w:after="0" w:line="104" w:lineRule="exact"/>
        <w:rPr>
          <w:sz w:val="20"/>
          <w:szCs w:val="20"/>
          <w:color w:val="auto"/>
        </w:rPr>
      </w:pPr>
    </w:p>
    <w:p>
      <w:pPr>
        <w:ind w:right="1720"/>
        <w:spacing w:after="0" w:line="439" w:lineRule="auto"/>
        <w:rPr>
          <w:sz w:val="20"/>
          <w:szCs w:val="20"/>
          <w:color w:val="auto"/>
        </w:rPr>
      </w:pPr>
      <w:r>
        <w:rPr>
          <w:rFonts w:ascii="Times New Roman" w:cs="Times New Roman" w:eastAsia="Times New Roman" w:hAnsi="Times New Roman"/>
          <w:sz w:val="18"/>
          <w:szCs w:val="18"/>
          <w:color w:val="auto"/>
        </w:rPr>
        <w:t xml:space="preserve">Suhre, K.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A genome-wide association study of mass spectrometry proteomics using the Seer Proteograph platform (bioRxiv). Yang X.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Widespread Expansion of Protein Interaction Capabilities by Alternative Splicing. </w:t>
      </w:r>
      <w:r>
        <w:rPr>
          <w:rFonts w:ascii="Times New Roman" w:cs="Times New Roman" w:eastAsia="Times New Roman" w:hAnsi="Times New Roman"/>
          <w:sz w:val="18"/>
          <w:szCs w:val="18"/>
          <w:i w:val="1"/>
          <w:iCs w:val="1"/>
          <w:color w:val="auto"/>
        </w:rPr>
        <w:t>Cell.</w:t>
      </w:r>
      <w:r>
        <w:rPr>
          <w:rFonts w:ascii="Times New Roman" w:cs="Times New Roman" w:eastAsia="Times New Roman" w:hAnsi="Times New Roman"/>
          <w:sz w:val="18"/>
          <w:szCs w:val="18"/>
          <w:color w:val="auto"/>
        </w:rPr>
        <w:t xml:space="preserve"> 164(4):805-17 (2016). </w:t>
      </w:r>
      <w:r>
        <w:rPr>
          <w:rFonts w:ascii="Times New Roman" w:cs="Times New Roman" w:eastAsia="Times New Roman" w:hAnsi="Times New Roman"/>
          <w:sz w:val="18"/>
          <w:szCs w:val="18"/>
          <w:b w:val="1"/>
          <w:bCs w:val="1"/>
          <w:color w:val="auto"/>
        </w:rPr>
        <w:t>Available Information</w:t>
      </w: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http://seer.bio. Information on our website is not part of this report. The SEC maintains a website that contains the materials we file with the SEC at www.sec.gov.</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as well as the other information in this Annual Report, including our consolidated financial statements and the related notes and the section titled “Management’s Discussion and Analysis of Financial Condition and Results of Operations” in this Annual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more fully described below.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factors and uncertainties that make investing in our company risky include, among others:</w:t>
      </w:r>
    </w:p>
    <w:p>
      <w:pPr>
        <w:spacing w:after="0" w:line="153" w:lineRule="exact"/>
        <w:rPr>
          <w:sz w:val="20"/>
          <w:szCs w:val="20"/>
          <w:color w:val="auto"/>
        </w:rPr>
      </w:pPr>
    </w:p>
    <w:p>
      <w:pPr>
        <w:ind w:left="760" w:right="380" w:hanging="752"/>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7" w:lineRule="exact"/>
        <w:rPr>
          <w:rFonts w:ascii="Times New Roman" w:cs="Times New Roman" w:eastAsia="Times New Roman" w:hAnsi="Times New Roman"/>
          <w:sz w:val="18"/>
          <w:szCs w:val="18"/>
          <w:color w:val="auto"/>
        </w:rPr>
      </w:pPr>
    </w:p>
    <w:p>
      <w:pPr>
        <w:ind w:left="760" w:right="40" w:hanging="752"/>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current business and the prospects for our future viability, and to predict our future performance;</w:t>
      </w:r>
    </w:p>
    <w:p>
      <w:pPr>
        <w:spacing w:after="0" w:line="107"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rFonts w:ascii="Times New Roman" w:cs="Times New Roman" w:eastAsia="Times New Roman" w:hAnsi="Times New Roman"/>
          <w:sz w:val="18"/>
          <w:szCs w:val="18"/>
          <w:color w:val="auto"/>
        </w:rPr>
      </w:pPr>
    </w:p>
    <w:p>
      <w:pPr>
        <w:ind w:left="760" w:right="500" w:hanging="752"/>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our commercialization plan, and we may not be able to commercialize the Proteograph Product Suite as planned;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success depends on broad scientific and market acceptance of the Proteograph, which we may fail to achieve;</w:t>
      </w:r>
    </w:p>
    <w:p>
      <w:pPr>
        <w:spacing w:after="0" w:line="171" w:lineRule="exact"/>
        <w:rPr>
          <w:rFonts w:ascii="Times New Roman" w:cs="Times New Roman" w:eastAsia="Times New Roman" w:hAnsi="Times New Roman"/>
          <w:sz w:val="18"/>
          <w:szCs w:val="18"/>
          <w:color w:val="auto"/>
        </w:rPr>
      </w:pPr>
    </w:p>
    <w:p>
      <w:pPr>
        <w:ind w:left="760" w:right="120" w:hanging="752"/>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Proteograph Product Suite is successfully commercialized and achieves broad scientific and market acceptance, if we fail to improve it or introduce compelling new products or services, our revenues and our prospects could be harmed;</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could adversely impact our business and operations;</w:t>
      </w:r>
    </w:p>
    <w:p>
      <w:pPr>
        <w:spacing w:after="0" w:line="171" w:lineRule="exact"/>
        <w:rPr>
          <w:rFonts w:ascii="Times New Roman" w:cs="Times New Roman" w:eastAsia="Times New Roman" w:hAnsi="Times New Roman"/>
          <w:sz w:val="18"/>
          <w:szCs w:val="18"/>
          <w:color w:val="auto"/>
        </w:rPr>
      </w:pPr>
    </w:p>
    <w:p>
      <w:pPr>
        <w:ind w:left="760" w:right="80" w:hanging="752"/>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right="100" w:hanging="752"/>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and recruit qualified employees, and retain or maintain our employee base, it may adversely impact our business and operations; and</w:t>
      </w:r>
    </w:p>
    <w:p>
      <w:pPr>
        <w:spacing w:after="0" w:line="107" w:lineRule="exact"/>
        <w:rPr>
          <w:rFonts w:ascii="Times New Roman" w:cs="Times New Roman" w:eastAsia="Times New Roman" w:hAnsi="Times New Roman"/>
          <w:sz w:val="18"/>
          <w:szCs w:val="18"/>
          <w:color w:val="auto"/>
        </w:rPr>
      </w:pPr>
    </w:p>
    <w:p>
      <w:pPr>
        <w:ind w:left="760" w:right="140" w:hanging="752"/>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early-stage life sciences technology company, and we have incurred significant losses since we were formed in 2017, and expect to continue to incur losses in the future. We incurred net losses of $86.6 million and $86.3 million in 2024 and 2023, respectively. As of December 31, 2024, we had an accumulated deficit of $392.4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3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in the early stages of commercialization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8"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the Proteograph Product Suite on our anticipated timeline;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services, including customer service;</w:t>
      </w:r>
    </w:p>
    <w:p>
      <w:pPr>
        <w:spacing w:after="0" w:line="171"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121" w:lineRule="exact"/>
        <w:rPr>
          <w:rFonts w:ascii="Times New Roman" w:cs="Times New Roman" w:eastAsia="Times New Roman" w:hAnsi="Times New Roman"/>
          <w:sz w:val="18"/>
          <w:szCs w:val="18"/>
          <w:color w:val="auto"/>
        </w:rPr>
      </w:pPr>
    </w:p>
    <w:p>
      <w:pPr>
        <w:ind w:left="760" w:right="320" w:hanging="752"/>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the Proteograph Product Suite,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the Proteograph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third-party distributorships, the quantity of our products they elect to hold in inventory, and their ability to promote and sell our products;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the Proteograph Product Suite and related services;</w:t>
      </w:r>
    </w:p>
    <w:p>
      <w:pPr>
        <w:spacing w:after="0" w:line="171" w:lineRule="exact"/>
        <w:rPr>
          <w:rFonts w:ascii="Times New Roman" w:cs="Times New Roman" w:eastAsia="Times New Roman" w:hAnsi="Times New Roman"/>
          <w:sz w:val="18"/>
          <w:szCs w:val="18"/>
          <w:color w:val="auto"/>
        </w:rPr>
      </w:pPr>
    </w:p>
    <w:p>
      <w:pPr>
        <w:ind w:left="760" w:right="220" w:hanging="752"/>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the Proteograph Product Suite and associated consumables,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unpredictable nature of the sales cycle;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time needed to procure SP100 automation instruments from our third-party contract manufacturer;</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force, which if less than anticipated, could significantly impair our ability to generate revenue;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customers to exercise Proteograph purchase options;</w:t>
      </w:r>
    </w:p>
    <w:p>
      <w:pPr>
        <w:spacing w:after="0" w:line="171" w:lineRule="exact"/>
        <w:rPr>
          <w:rFonts w:ascii="Times New Roman" w:cs="Times New Roman" w:eastAsia="Times New Roman" w:hAnsi="Times New Roman"/>
          <w:sz w:val="18"/>
          <w:szCs w:val="18"/>
          <w:color w:val="auto"/>
        </w:rPr>
      </w:pPr>
    </w:p>
    <w:p>
      <w:pPr>
        <w:ind w:left="760" w:right="600" w:hanging="752"/>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and the ability to collect on the accounts receivable of our customers;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changes in accounting rules and regulations, or modifications to our accounting policies;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760" w:right="180" w:hanging="752"/>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investment in life sciences and research industries, our business operations, and resources and operations of our customers, suppliers, and distributors;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and</w:t>
      </w:r>
    </w:p>
    <w:p>
      <w:pPr>
        <w:spacing w:after="0" w:line="171" w:lineRule="exact"/>
        <w:rPr>
          <w:rFonts w:ascii="Times New Roman" w:cs="Times New Roman" w:eastAsia="Times New Roman" w:hAnsi="Times New Roman"/>
          <w:sz w:val="18"/>
          <w:szCs w:val="18"/>
          <w:color w:val="auto"/>
        </w:rPr>
      </w:pPr>
    </w:p>
    <w:p>
      <w:pPr>
        <w:ind w:left="760" w:right="120" w:hanging="752"/>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such as inflation, interest rates, bank failures and other factors, including factors unrelated to our operating performance or the operating performance of our competitors.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the Proteograph Product Suite may be smaller or different from estimated, and new market opportunities may not develop as quickly as we expect, or at all, limiting our ability to successfully sell our products.</w:t>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early stages of commercialization, and we may not be able to commercialize the Proteograph Product Suite as planned.</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only recently initiated the broad commercialization of the Proteograph Product Suite and related products and services, and we may not be able to successfully execute on this phase as planned due to:</w:t>
      </w:r>
    </w:p>
    <w:p>
      <w:pPr>
        <w:spacing w:after="0" w:line="108" w:lineRule="exact"/>
        <w:rPr>
          <w:sz w:val="20"/>
          <w:szCs w:val="20"/>
          <w:color w:val="auto"/>
        </w:rPr>
      </w:pPr>
    </w:p>
    <w:p>
      <w:pPr>
        <w:ind w:left="760" w:right="100" w:hanging="752"/>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the capabilities and value proposition of the Proteograph Product Suite with key opinion leaders and other customers in a timely fashion;</w:t>
      </w:r>
    </w:p>
    <w:p>
      <w:pPr>
        <w:spacing w:after="0" w:line="107" w:lineRule="exact"/>
        <w:rPr>
          <w:rFonts w:ascii="Times New Roman" w:cs="Times New Roman" w:eastAsia="Times New Roman" w:hAnsi="Times New Roman"/>
          <w:sz w:val="18"/>
          <w:szCs w:val="18"/>
          <w:color w:val="auto"/>
        </w:rPr>
      </w:pPr>
    </w:p>
    <w:p>
      <w:pPr>
        <w:ind w:left="760" w:right="60" w:hanging="752"/>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longer-than expected lead times in the sales cycle to establish customer contacts, complete responsive presentations including platform evaluations tailored to specific requests, and move expeditiously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right="1080"/>
        <w:spacing w:after="0" w:line="282" w:lineRule="auto"/>
        <w:rPr>
          <w:sz w:val="20"/>
          <w:szCs w:val="20"/>
          <w:color w:val="auto"/>
        </w:rPr>
      </w:pPr>
      <w:r>
        <w:rPr>
          <w:rFonts w:ascii="Times New Roman" w:cs="Times New Roman" w:eastAsia="Times New Roman" w:hAnsi="Times New Roman"/>
          <w:sz w:val="18"/>
          <w:szCs w:val="18"/>
          <w:color w:val="auto"/>
        </w:rPr>
        <w:t>from quote to order to revenue to receipt of payment due to budgetary or other constraints of academic organizations, laboratories, biopharmaceutical companies and others;</w:t>
      </w:r>
    </w:p>
    <w:p>
      <w:pPr>
        <w:spacing w:after="0" w:line="108" w:lineRule="exact"/>
        <w:rPr>
          <w:sz w:val="20"/>
          <w:szCs w:val="20"/>
          <w:color w:val="auto"/>
        </w:rPr>
      </w:pPr>
    </w:p>
    <w:p>
      <w:pPr>
        <w:ind w:left="760" w:hanging="75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industry or market conditions, customer requirements or competitor offerings during broad commercialization;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continuing the build-out of our sales, customer support and marketing organization as needed for broad commercialization;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ramping up manufacturing, either internally or through our suppliers, to meet the expected demand for broad commercialization; and</w:t>
      </w:r>
    </w:p>
    <w:p>
      <w:pPr>
        <w:spacing w:after="0" w:line="171" w:lineRule="exact"/>
        <w:rPr>
          <w:rFonts w:ascii="Times New Roman" w:cs="Times New Roman" w:eastAsia="Times New Roman" w:hAnsi="Times New Roman"/>
          <w:sz w:val="18"/>
          <w:szCs w:val="18"/>
          <w:color w:val="auto"/>
        </w:rPr>
      </w:pPr>
    </w:p>
    <w:p>
      <w:pPr>
        <w:ind w:left="760" w:right="660" w:hanging="752"/>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and research industries, our business operations, and resources and the operations of our customers, suppliers and supply chain, and distributors.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our broad commercial release phase is unsuccessful, our financial results will be adversely impacted.</w:t>
      </w:r>
    </w:p>
    <w:p>
      <w:pPr>
        <w:spacing w:after="0" w:line="16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execute on our commercialization plan, our success depends on broad scientific and market acceptance of the Proteograph Product Suite, which we may fail to achieve.</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in achieving commercial market acceptance, include:</w:t>
      </w:r>
    </w:p>
    <w:p>
      <w:pPr>
        <w:spacing w:after="0" w:line="171" w:lineRule="exact"/>
        <w:rPr>
          <w:sz w:val="20"/>
          <w:szCs w:val="20"/>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increase awareness of the capabilities of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Proteograph Product Suite to perform intended use applications broadly in the hands of customers;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products and workflows;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Proteograph’s ease of use and whether it reliably provides advantages over other alternative technologies;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the Proteograph Product Suite by academic institutions, laboratories, biopharmaceutical companies and others;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services and solutions that achieve commercial market acceptance;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and commercialize products that perform similar functions as the Proteograph;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sales force is less successful than anticipated, we may not be successful in commercializing the Proteograph Product Suite.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will face a number of risks, including:</w:t>
      </w:r>
    </w:p>
    <w:p>
      <w:pPr>
        <w:spacing w:after="0" w:line="129" w:lineRule="exact"/>
        <w:rPr>
          <w:sz w:val="20"/>
          <w:szCs w:val="20"/>
          <w:color w:val="auto"/>
        </w:rPr>
      </w:pPr>
    </w:p>
    <w:p>
      <w:pPr>
        <w:ind w:left="760" w:right="60" w:hanging="752"/>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customer service and support force necessary to commercialize and gain market acceptance for our technology;</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customer service and support force may be unable to initiate and execute successful commercialization activities.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Proteograph Product Suite is successfully commercialized and achieves broad scientific and market acceptance, if we fail to improve it or introduce compelling new products and services, our revenues and our prospects could be harmed.</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epidemics could adversely impact our business and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spacing w:after="0" w:line="126" w:lineRule="exact"/>
        <w:rPr>
          <w:sz w:val="20"/>
          <w:szCs w:val="20"/>
          <w:color w:val="auto"/>
        </w:rPr>
      </w:pPr>
    </w:p>
    <w:p>
      <w:pPr>
        <w:ind w:left="760" w:hanging="752"/>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capacity or shutdowns of laboratories and other institutions as well as reduced or delayed spending on instruments and consumables as a result of shutdowns and delays;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and</w:t>
      </w:r>
    </w:p>
    <w:p>
      <w:pPr>
        <w:spacing w:after="0" w:line="171" w:lineRule="exact"/>
        <w:rPr>
          <w:rFonts w:ascii="Times New Roman" w:cs="Times New Roman" w:eastAsia="Times New Roman" w:hAnsi="Times New Roman"/>
          <w:sz w:val="18"/>
          <w:szCs w:val="18"/>
          <w:color w:val="auto"/>
        </w:rPr>
      </w:pPr>
    </w:p>
    <w:p>
      <w:pPr>
        <w:ind w:left="760" w:right="220" w:hanging="752"/>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automation instrument, Hamilton Company, and could worsen over time. Any of these occurrences, and any new epidemics, could significantly harm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ability to raise capital and our business, results of operations and financial condition.</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Additionally, there is ongoing uncertainty regarding the new U.S. presidential administration’s economic and other policies and priorities, such as potential changes in trade restrictions or relationships, tariffs and exchange controls, and potential retaliatory tariffs by other countries. Any of the foregoing could harm our business, and we cannot anticipate all of the ways in which the current economic climate and financial market conditions could adversely impact our ability to raise capital, business, results of operations, and financial condition, and cause the stock price of our Class A common stock to decline.</w:t>
      </w:r>
    </w:p>
    <w:p>
      <w:pPr>
        <w:spacing w:after="0" w:line="13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impair our ability to access our cash, cash equivalents and investments and to timely meet our financial obligations to our vendors and others.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Federal Deposit Insurance Corporation or Securities Investor Protection Corporation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growth or financial resources, our business and prospects will be harmed.</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be dependent upon revenue generated from the sale of the Proteograph Product Suite and related services for the foreseeable future.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have been concentrated in a small number of customers.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We are in the early stages of our commercialization plan and our revenues have been concentrated in a relatively small number of customers, including a related party, PrognomiQ. For the years ended December 31, 2024 and 2023, PrognomiQ accounted for 17% and 28% of our revenue, respectively.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cs="Times New Roman" w:eastAsia="Times New Roman" w:hAnsi="Times New Roman"/>
          <w:sz w:val="18"/>
          <w:szCs w:val="18"/>
          <w:i w:val="1"/>
          <w:iCs w:val="1"/>
          <w:color w:val="auto"/>
        </w:rPr>
        <w:t>- Revenue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and Note 11 -</w:t>
      </w:r>
      <w:r>
        <w:rPr>
          <w:rFonts w:ascii="Times New Roman" w:cs="Times New Roman" w:eastAsia="Times New Roman" w:hAnsi="Times New Roman"/>
          <w:sz w:val="18"/>
          <w:szCs w:val="18"/>
          <w:i w:val="1"/>
          <w:iCs w:val="1"/>
          <w:color w:val="auto"/>
        </w:rPr>
        <w:t xml:space="preserve"> Related Party Transactions </w:t>
      </w:r>
      <w:r>
        <w:rPr>
          <w:rFonts w:ascii="Times New Roman" w:cs="Times New Roman" w:eastAsia="Times New Roman" w:hAnsi="Times New Roman"/>
          <w:sz w:val="18"/>
          <w:szCs w:val="18"/>
          <w:color w:val="auto"/>
        </w:rPr>
        <w:t>to our notes to financial statements included in Part I, Item 1, herein for further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our relationship with PrognomiQ.</w:t>
      </w:r>
    </w:p>
    <w:p>
      <w:pPr>
        <w:spacing w:after="0" w:line="12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w:t>
      </w:r>
    </w:p>
    <w:p>
      <w:pPr>
        <w:spacing w:after="0" w:line="126" w:lineRule="exact"/>
        <w:rPr>
          <w:sz w:val="20"/>
          <w:szCs w:val="20"/>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1" w:lineRule="exact"/>
        <w:rPr>
          <w:rFonts w:ascii="Times New Roman" w:cs="Times New Roman" w:eastAsia="Times New Roman" w:hAnsi="Times New Roman"/>
          <w:sz w:val="18"/>
          <w:szCs w:val="18"/>
          <w:color w:val="auto"/>
        </w:rPr>
      </w:pPr>
    </w:p>
    <w:p>
      <w:pPr>
        <w:ind w:left="760" w:right="640" w:hanging="752"/>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right="460" w:hanging="752"/>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and funding by commercial companies in their efforts around therapeutic and diagnostic product development and their adoption and use of the Proteograph Product Suite;</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in the scientific community, including researchers’ opinions of the utility of the Proteograph solution;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of the Proteograph Product Suite in published research;</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w:t>
      </w:r>
    </w:p>
    <w:p>
      <w:pPr>
        <w:spacing w:after="0" w:line="171" w:lineRule="exact"/>
        <w:rPr>
          <w:rFonts w:ascii="Times New Roman" w:cs="Times New Roman" w:eastAsia="Times New Roman" w:hAnsi="Times New Roman"/>
          <w:sz w:val="18"/>
          <w:szCs w:val="18"/>
          <w:color w:val="auto"/>
        </w:rPr>
      </w:pPr>
    </w:p>
    <w:p>
      <w:pPr>
        <w:ind w:left="760" w:right="360" w:hanging="752"/>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 especially government- or grant-funded customers, whose cycles often coincide with government fiscal year ends;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or service offerings or pricing;</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the Proteograph Product Suite.</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Recently, budget cuts and layoffs at various federal agencies and programs, including at the National Institute of Health (NIH), have created uncertainty and budget cuts at various research organizations and institutes that rely on NIH funding.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3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defects or errors, which may give rise to claims against us, adversely affect market adoption of the Proteograph Product Suite, damage our reputation, and adversely affect our business, financial condition, and results of operations.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Proteograph Product Suite contains defects, we may experience:</w:t>
      </w:r>
    </w:p>
    <w:p>
      <w:pPr>
        <w:spacing w:after="0" w:line="171" w:lineRule="exact"/>
        <w:rPr>
          <w:sz w:val="20"/>
          <w:szCs w:val="20"/>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for the Proteograph or expansion of the Proteograph Product Suite sales;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and customer service and support costs due to product repair or replacement;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to our service department; and</w:t>
      </w:r>
    </w:p>
    <w:p>
      <w:pPr>
        <w:spacing w:after="0" w:line="171" w:lineRule="exact"/>
        <w:rPr>
          <w:rFonts w:ascii="Times New Roman" w:cs="Times New Roman" w:eastAsia="Times New Roman" w:hAnsi="Times New Roman"/>
          <w:sz w:val="18"/>
          <w:szCs w:val="18"/>
          <w:color w:val="auto"/>
        </w:rPr>
      </w:pPr>
    </w:p>
    <w:p>
      <w:pPr>
        <w:ind w:left="760" w:right="440" w:hanging="752"/>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hazardous material or environmental compliance claims, which could be costly and time consuming to defend and result in substantial damages.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12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risks related to using, handling, storing, importing, exporting, and transferring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1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760" w:right="160" w:hanging="752"/>
        <w:spacing w:after="0" w:line="26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25" w:lineRule="exact"/>
        <w:rPr>
          <w:rFonts w:ascii="Times New Roman" w:cs="Times New Roman" w:eastAsia="Times New Roman" w:hAnsi="Times New Roman"/>
          <w:sz w:val="18"/>
          <w:szCs w:val="18"/>
          <w:color w:val="auto"/>
        </w:rPr>
      </w:pPr>
    </w:p>
    <w:p>
      <w:pPr>
        <w:ind w:left="760" w:right="620" w:hanging="752"/>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U.S. Foreign Corrupt Practices Act (FCPA), and other U.S. federal laws and regulations, including with respect to not doing business with sanctioned parties, as prohibited by the office of Foreign Asset Control;</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 including, without limitation, with respect to biological samples, and trade retaliation laws;</w:t>
      </w:r>
    </w:p>
    <w:p>
      <w:pPr>
        <w:spacing w:after="0" w:line="171" w:lineRule="exact"/>
        <w:rPr>
          <w:rFonts w:ascii="Times New Roman" w:cs="Times New Roman" w:eastAsia="Times New Roman" w:hAnsi="Times New Roman"/>
          <w:sz w:val="18"/>
          <w:szCs w:val="18"/>
          <w:color w:val="auto"/>
        </w:rPr>
      </w:pPr>
    </w:p>
    <w:p>
      <w:pPr>
        <w:ind w:left="760" w:right="220" w:hanging="752"/>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both inbound and outbound cross-border investment, including enhanced oversight by the Committee on Foreign Investment in the United States (CFIUS) and substantial restrictions on investment from China;</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760" w:right="120" w:hanging="752"/>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transactions or payments denominated in foreign currency, longer payment cycles and difficulties in enforcing agreements and collecting receivables through certain foreign legal systems;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right="440" w:hanging="752"/>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1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operations and business may be negatively affected.</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4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addition, although we intend to require contract terms obligating our distributors to comply with all applicable laws regarding the sale of our products, including regulatory labeling, protection of personal data, U.S. export regulations and the FCPA, we may not be able to ensure proper compliance. If our distributors fail to effectively market and sell our products in full compliance with applicable laws and regulations, our results of operations and business may suffer.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operations will suffer.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Bio-Techne, Bruker, Danaher, DiaSorin, and Thermo Fisher Scientific. We also compete with a number of companies that have developed, or are developing, proteomic products and solutions, such as Alamar Biosciences, Nautilus Biotechnology, Quanterix, Quantum-Si and Standard BioTools.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may enjoy a number of competitive advantages over us, including:</w:t>
      </w:r>
    </w:p>
    <w:p>
      <w:pPr>
        <w:spacing w:after="0" w:line="108" w:lineRule="exact"/>
        <w:rPr>
          <w:sz w:val="20"/>
          <w:szCs w:val="20"/>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current cash, cash equivalents and investments will be sufficient to meet our anticipated cash flow requirements for at least twelve months from the date of this Annual Report. If our available cash resources and anticipated cash flow from operations are insufficient to satisfy our liquidity requirements including because of lower demand for our products or the realization of other risks described in this Annual Report, we may be required to raise additional capital prior to such time through issuances of equity or convertible debt securities, entrance into a credit facility or another form of third-party funding or seek other debt financing.</w:t>
      </w:r>
    </w:p>
    <w:p>
      <w:pPr>
        <w:spacing w:after="0" w:line="1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We will consider raising additional capital in the future to expand our business, to pursue strategic investments, to take advantage of financing opportunities or for other reasons, including:</w:t>
      </w:r>
    </w:p>
    <w:p>
      <w:pPr>
        <w:spacing w:after="0" w:line="108" w:lineRule="exact"/>
        <w:rPr>
          <w:sz w:val="20"/>
          <w:szCs w:val="20"/>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the Proteograph Product Suite or any other future products;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investing in technologies and other intellectual property rights;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businesses or assets;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760" w:right="520" w:hanging="752"/>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commercializing the Proteograph Product Suite and new products, and the cost of the sales and marketing activities associated with establishing adoption of our products;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spacing w:after="0" w:line="13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spacing w:after="0" w:line="12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PrognomiQ as a separate healthcare company in the area of disease testing.</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the Company purchased $10.0 million of PrognomiQ's Series D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held approximately 25% of the outstanding capital stock of PrognomiQ. We may not realize the potential benefits of forming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PrognomiQ for a variety of reasons, including:</w:t>
      </w:r>
    </w:p>
    <w:p>
      <w:pPr>
        <w:spacing w:after="0" w:line="153" w:lineRule="exact"/>
        <w:rPr>
          <w:sz w:val="20"/>
          <w:szCs w:val="20"/>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be unable to successfully develop viable testing products;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PrognomiQ’s business may not help demonstrate the value of the Proteograph;</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reach agreement with PrognomiQ on future commercial arrangements;</w:t>
      </w:r>
    </w:p>
    <w:p>
      <w:pPr>
        <w:spacing w:after="0" w:line="171" w:lineRule="exact"/>
        <w:rPr>
          <w:rFonts w:ascii="Times New Roman" w:cs="Times New Roman" w:eastAsia="Times New Roman" w:hAnsi="Times New Roman"/>
          <w:sz w:val="18"/>
          <w:szCs w:val="18"/>
          <w:color w:val="auto"/>
        </w:rPr>
      </w:pPr>
    </w:p>
    <w:p>
      <w:pPr>
        <w:ind w:left="760" w:right="500" w:hanging="752"/>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PrognomiQ accounted for 17% of our revenue during the year ended December 31, 2024, it may not continue to be a meaningful customer of ours;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need to raise additional funding in the future and be unable to do so; and</w:t>
      </w:r>
    </w:p>
    <w:p>
      <w:pPr>
        <w:spacing w:after="0" w:line="171" w:lineRule="exact"/>
        <w:rPr>
          <w:rFonts w:ascii="Times New Roman" w:cs="Times New Roman" w:eastAsia="Times New Roman" w:hAnsi="Times New Roman"/>
          <w:sz w:val="18"/>
          <w:szCs w:val="18"/>
          <w:color w:val="auto"/>
        </w:rPr>
      </w:pPr>
    </w:p>
    <w:p>
      <w:pPr>
        <w:ind w:left="760" w:right="360" w:hanging="752"/>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PrognomiQ and our continuing equity position in PrognomiQ may add complexities to our business from a finance, tax and accounting perspective.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Reporting</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2024,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3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17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products are labeled, promoted, and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FDA will begin to enforce the QMSR requirements upon the effective date, February 2, 2026.</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In 2023,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Legislative and administrative proposals to amend the FDA's oversight of LDTs have been introduced in recent years, including the Verifying Accurate Leading-edge IVCT Development Act of 2021 (VALID Act). In May 2024, the FDA published a final rule to regulate LDTs, which may impact the sales of our products and how customers use our products, and may require us to change our business model in order to maintain compliance with these laws. There is ongoing litigation against FDA regarding its implementation of the LTD final rule. In June 2024, the U.S. Supreme Court overruled the case that established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the LDT final rule and other rules and policies of the FDA. We cannot predict the outcome of these judicial challenges or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It is unclear how future legislation, executive orders, new regulations, and other actions by federal and state governments, including changes in the leadership of FDA and other federal agencies, will impact the industry, including our business and that of our customers. Budget cuts, layoffs at federal agencies, hiring freezes, return-to-office policies, and other measures taken by the new presidential administration, including measures by the Department of Government Efficiency, can have a material impact on our industry, including the business of our customers and our operations.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operations and prospects in various geographies.</w:t>
      </w:r>
    </w:p>
    <w:p>
      <w:pPr>
        <w:spacing w:after="0" w:line="13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limited precedent for the court, increasing the uncertainty of any patent litigation in Europe.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or services could be found invalid or unenforceable if challenged.</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For example, on October 7, 2024, PreOmics GmbH and Biognosys AG filed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(Case No. IPR2024-01473) challenging the validity of U.S. Patent No. 11,435,360, which is exclusively licensed from The Brigham and Women’s Hospital, Inc. The petition alleges, among other things, that the claims of 11,435,360 are invalid for anticipation and obviousness over the prior art. These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relied and expect to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alleging,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services and technologies, including the Proteograph Product Suite for an adequate amount of time.</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patent and pending patent application in Europe owned by a third party directed to a method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advisors or independent contractors may have wrongfully used or disclosed, or may in the future wrongfully use or disclose, confidential information or alleged trade secrets of ours, third parties or former employers of theirs.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and engaged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spacing w:after="0" w:line="13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71" w:lineRule="exact"/>
        <w:rPr>
          <w:rFonts w:ascii="Times New Roman" w:cs="Times New Roman" w:eastAsia="Times New Roman" w:hAnsi="Times New Roman"/>
          <w:sz w:val="18"/>
          <w:szCs w:val="18"/>
          <w:color w:val="auto"/>
        </w:rPr>
      </w:pPr>
    </w:p>
    <w:p>
      <w:pPr>
        <w:ind w:left="760" w:right="40" w:hanging="752"/>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technology and processes infringe on intellectual property of the licensor that is not subject to the licensing agreement;</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1"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or services in the future.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39"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760" w:right="180" w:hanging="752"/>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or services that are similar to products and technologies we may develop or utilize similar technology that are not covered by the claims of the patents that we own or license now or in the future;</w:t>
      </w:r>
    </w:p>
    <w:p>
      <w:pPr>
        <w:spacing w:after="0" w:line="107" w:lineRule="exact"/>
        <w:rPr>
          <w:rFonts w:ascii="Times New Roman" w:cs="Times New Roman" w:eastAsia="Times New Roman" w:hAnsi="Times New Roman"/>
          <w:sz w:val="18"/>
          <w:szCs w:val="18"/>
          <w:color w:val="auto"/>
        </w:rPr>
      </w:pPr>
    </w:p>
    <w:p>
      <w:pPr>
        <w:ind w:left="760" w:right="300" w:hanging="752"/>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07"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and our licensed pending patent applications, or those that we may own or license in the future, will not lead to issued patents;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left="760" w:right="100" w:hanging="752"/>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left="760" w:right="720" w:hanging="752"/>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sustained.</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2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listing requirements of the Nasdaq Global Select Market, we may be delisted and the price of our Class A common stock and our ability to access the capital markets could be negatively impacted.</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fail to satisfy one or more of the Nasdaq Global Select Market requirements for continued listing of our Class A common stock in the future. For example, on July 11, 2024, we notified The Nasdaq Stock Market LLC (Nasdaq) that upon the effectiveness of the resignation of Rachel Haurwitz, Ph.D., we would no longer be in compliance with the Nasdaq Listing Rule 5605(c)(2)(A), which requires that (i) the Audit Committee of the Board be composed of at least three members, and (ii) that one member of the Audit Committee qualifies as an “audit committee financial expert” under Item 407(d)(5)(iii) of Regulation S-K. During such period of noncompliance, we relied on the cure period provided by the Nasdaq Listing Rule 5605(c)(4)(B). On July 19, 2024, the Board appointed David Hallal to serve on the Audit Committee and determined that he met the requirements to qualify as the “audit committee financial expert” under Item 407(d)(5)(iii) of Regulation S-K. We believe that Mr. Hallal’s appointment resolved any potential non-compliance with the applicable Nasdaq Listing Rules.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launch and commercialization of our products meets the expectations of securities analysts and investors;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being less than anticipated or operating expenses being more than anticipated;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left="760" w:right="180" w:hanging="752"/>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760" w:right="60" w:hanging="752"/>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strategies that may drive down the price of our Class A common stock;</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760" w:right="80" w:hanging="752"/>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sales of our Class A common stock or Class B common stock by our insiders or other stockholders, or future stock issuances;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solvency of financial institutions with which we have financial deposits or investments in excess of insurance limits;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the COVID-19 pandemic, natural disasters or major catastrophic events.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may become the target of securities litigation or shareholder activism in the future which could result in substantial costs and divert management’s attention and resources from our business.</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Class A common stock, which is our publicly-traded class of stock, has one vote per share, and our Class B common stock has ten votes per share, except as otherwise required by law. Our Class B common stock is held by our founders and early investors. As of February 26, 2025, the holders of our Class B common stock hold in the aggregate 42.1 % of the voting power of our capital stock, which may increase from time to time.</w:t>
      </w:r>
    </w:p>
    <w:p>
      <w:pPr>
        <w:spacing w:after="0" w:line="12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9, 2025. The conversion of Class B common stock to Class A common stock will have the effect, over time, of increasing the relative voting power of those individual holders of Class B common stock who retain their shares over the long term.</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analysts, including securities analysts do not publish research or reports about our business or if they publish negative evaluations of our Class A common stock, the price of our Class A common stock could decline.</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Class A common stock or that we will repurchase shares at favorable prices.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Repurchasing our Class A common stock reduces the amount of cash we have available, and we may fail to realize the anticipated long-term stockholder value of any share repurchase program.</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30" w:lineRule="exact"/>
        <w:rPr>
          <w:sz w:val="20"/>
          <w:szCs w:val="20"/>
          <w:color w:val="auto"/>
        </w:rPr>
      </w:pPr>
    </w:p>
    <w:p>
      <w:pPr>
        <w:jc w:val="both"/>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26" w:lineRule="exact"/>
        <w:rPr>
          <w:sz w:val="20"/>
          <w:szCs w:val="20"/>
          <w:color w:val="auto"/>
        </w:rPr>
      </w:pPr>
    </w:p>
    <w:p>
      <w:pPr>
        <w:ind w:left="760" w:right="160" w:hanging="752"/>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would result in a change in control of our company requires the approval of a majority of our outstanding Class B common stock voting as a separate class;</w:t>
      </w:r>
    </w:p>
    <w:p>
      <w:pPr>
        <w:spacing w:after="0" w:line="107" w:lineRule="exact"/>
        <w:rPr>
          <w:rFonts w:ascii="Times New Roman" w:cs="Times New Roman" w:eastAsia="Times New Roman" w:hAnsi="Times New Roman"/>
          <w:sz w:val="18"/>
          <w:szCs w:val="18"/>
          <w:color w:val="auto"/>
        </w:rPr>
      </w:pPr>
    </w:p>
    <w:p>
      <w:pPr>
        <w:ind w:left="760" w:right="120" w:hanging="752"/>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1"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760" w:right="120" w:hanging="752"/>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our amended and restated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760" w:right="480" w:hanging="752"/>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only be able to take action at a meeting of stockholders and may not be able to take action by written consent for any matter;</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able to act by written consent only if the action is first recommended or approved by the board of directors;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may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left="760" w:right="200" w:hanging="752"/>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the board of directors, chief executive officer or a majority of the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right="80" w:hanging="752"/>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left="760" w:right="40" w:hanging="752"/>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 and changes to U.S. tax laws may cause us to make adjustments to our financial statements.</w:t>
      </w:r>
    </w:p>
    <w:p>
      <w:pPr>
        <w:spacing w:after="0" w:line="1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we had U.S. federal and state net operating loss carryforwards (NOLs) of $182.3 million and $185.7 million, respectively, which if not utilized will expire in 2035 for state purposes. We may use these NOLs to offset against taxable income for U.S. federal and state income tax purposes.</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U.S. federal income taxes, and also potentially causing those tax attributes to expire unused. States may impose other limitations on the use of our NOLs.</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 For example,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increased costs and management resources as a result of operating as a public company.</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and/or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matters are subject to evolving expectations from customers, regulators, investors and other stakeholders and may expose us to reputational, cost and other risks.</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Companies across all industries are subject to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31"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0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3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vendors, partners or customers, experience a significant disruption in our information technology systems or breaches of data security, our business could be adversely affected.</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software bugs and technical errors, and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technical errors and cybersecurity attacks than if such security procedures were finalized. Despite any of our current or future efforts to protect against technical errors, cybersecurity attacks and data security breaches, there is no guarantee that our efforts are adequate to safeguard against all such errors,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our security measures, or those of our vendors, partners and customers, are compromised due to any technical errors,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technical errors,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incidents could compromise our customers’ networks and the information stored there could be accessed, publicly disclosed, lost or stolen.</w:t>
      </w:r>
    </w:p>
    <w:p>
      <w:pPr>
        <w:spacing w:after="0" w:line="13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recognize the importance of identifying, assessing, and managing material risks associated with cybersecurity threats. We have developed and implemented a cybersecurity risk management program intended to protect the confidentiality, integrity, and availability of our critical systems and information. We regularly assess risks from cybersecurity threats; monitor our information systems for potential vulnerabilities; and test those systems pursuant to our cybersecurity policies, processes, and practices, which are integrated into our overall risk management program. Our cybersecurity risk management program includes a cybersecurity incident response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design and assess our program based on recommendations from trusted sources, such as the National Institute of Standards and Technology and the Center for Internet Security, as well as information security standards issued by the International Organization for Standardization, including ISO 27001. In 2024, our cybersecurity systems and processes achieved ISO 27001 certification. We use these cybersecurity frameworks and information security standards as a guide to help us identify, assess, and manage cybersecurity risks relevant to our business.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71" w:lineRule="exact"/>
        <w:rPr>
          <w:sz w:val="20"/>
          <w:szCs w:val="20"/>
          <w:color w:val="auto"/>
        </w:rPr>
      </w:pPr>
    </w:p>
    <w:p>
      <w:pPr>
        <w:ind w:left="1500" w:right="80" w:hanging="743"/>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information technology (IT) environment;</w:t>
      </w:r>
    </w:p>
    <w:p>
      <w:pPr>
        <w:spacing w:after="0" w:line="107" w:lineRule="exact"/>
        <w:rPr>
          <w:rFonts w:ascii="Times New Roman" w:cs="Times New Roman" w:eastAsia="Times New Roman" w:hAnsi="Times New Roman"/>
          <w:sz w:val="18"/>
          <w:szCs w:val="18"/>
          <w:color w:val="auto"/>
        </w:rPr>
      </w:pPr>
    </w:p>
    <w:p>
      <w:pPr>
        <w:ind w:left="1500" w:right="60" w:hanging="743"/>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0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for our employees, incident response personnel, and senior management;</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71" w:lineRule="exact"/>
        <w:rPr>
          <w:rFonts w:ascii="Times New Roman" w:cs="Times New Roman" w:eastAsia="Times New Roman" w:hAnsi="Times New Roman"/>
          <w:sz w:val="18"/>
          <w:szCs w:val="18"/>
          <w:color w:val="auto"/>
        </w:rPr>
      </w:pPr>
    </w:p>
    <w:p>
      <w:pPr>
        <w:ind w:left="1500" w:right="480" w:hanging="743"/>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managing the risk inherent to engaging with external service providers, suppliers, and vendors.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“Risk Factors - If we, or our vendors, partners or customers, experience a significant disruption in our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systems or breaches of data security, our business could be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oversight of cybersecurity and other information technology risks to the Audit Committee. The Audit Committee oversees management’s implementation of the cybersecurity risk management program. The Audit Committee reports to the full Board regarding its activities, including those related to cybersecurity. The full Board also receives periodic briefings from the Audit Committee on our cybersecurity risk management program.</w:t>
      </w:r>
    </w:p>
    <w:p>
      <w:pPr>
        <w:spacing w:after="0" w:line="12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Audit Committee receives regular reports from our VP of Information Technology on our cybersecurity risks. In addition, our VP of Information Technology updates the Audit Committee, as necessary, regarding any material cybersecurity incidents, as well as any incidents with lesser potential impact.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established an internal cross-functional Steering Committee and a leadership committee with the objective of overseeing the cyber security program, incidents, risks and initiatives. The Steering Committee is chaired by our VP of Information Technology and is comprised of leaders from Software Development, Research and Development and Data teams. The Steering Committee oversees the cybersecurity program relevance and effectiveness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 Updates from the Steering Committee are provided quarterly to an executive leadership committee, which is chaired by our VP of Information Technology and is comprised of the President and Chief Financial Officer, Chief People Officer, Chief Data Officer, Chief Operations and Product Development Officer and the SVP of Product Development.</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IT management team has primary responsibility for our overall cybersecurity risk management program and supervises both our internal cybersecurity personnel and our retained external cybersecurity consultants. Our VP of Information Technology has over 20 years of experience managing global IT operations, including strategy, information security, applications, infrastructure, support and execution.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corporate headquarters, research and development facilities, and manufacturing and distribution centers are located at 3800 Bridge Parkway, Redwood City, CA 94065. The facility is approximately 51,000 square feet and is compliant with all relevant state and federal requirements. Our lease on this facility runs through September 2032. In addition, we lease approximately 3,500 square feet of office space in San Diego, California under a lease that runs through July 2025. We do not own any real property and believe that our current facilities are sufficient to meet our ongoing needs and that, if we require additional space, we will be able to obtain additional facilities on commercially reasonable terms.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196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Select Market under the symbol “SEER” since December 4, 2020. Prior to that date, there was no public trading market for our Class A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B common stock is not listed or traded on any stock exchange.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February 26, 2025, there were 21 holders of record of our Class A common stock and 11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month-to-month summary of information with respect to purchases of common stock made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(in</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thousands) of</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6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60" w:type="dxa"/>
            <w:vAlign w:val="bottom"/>
          </w:tcPr>
          <w:p>
            <w:pPr>
              <w:spacing w:after="0"/>
              <w:rPr>
                <w:sz w:val="16"/>
                <w:szCs w:val="16"/>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5660" w:type="dxa"/>
            <w:vAlign w:val="bottom"/>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35"/>
        </w:trPr>
        <w:tc>
          <w:tcPr>
            <w:tcW w:w="56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(2)</w:t>
            </w:r>
          </w:p>
        </w:tc>
        <w:tc>
          <w:tcPr>
            <w:tcW w:w="220" w:type="dxa"/>
            <w:vAlign w:val="bottom"/>
          </w:tcPr>
          <w:p>
            <w:pPr>
              <w:spacing w:after="0"/>
              <w:rPr>
                <w:sz w:val="11"/>
                <w:szCs w:val="11"/>
                <w:color w:val="auto"/>
              </w:rPr>
            </w:pPr>
          </w:p>
        </w:tc>
        <w:tc>
          <w:tcPr>
            <w:tcW w:w="118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or Programs </w:t>
            </w:r>
            <w:r>
              <w:rPr>
                <w:rFonts w:ascii="Times New Roman" w:cs="Times New Roman" w:eastAsia="Times New Roman" w:hAnsi="Times New Roman"/>
                <w:sz w:val="15"/>
                <w:szCs w:val="15"/>
                <w:b w:val="1"/>
                <w:bCs w:val="1"/>
                <w:color w:val="auto"/>
                <w:vertAlign w:val="superscript"/>
              </w:rPr>
              <w:t>(3)</w:t>
            </w: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41"/>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or Programs </w:t>
            </w:r>
            <w:r>
              <w:rPr>
                <w:rFonts w:ascii="Times New Roman" w:cs="Times New Roman" w:eastAsia="Times New Roman" w:hAnsi="Times New Roman"/>
                <w:sz w:val="15"/>
                <w:szCs w:val="15"/>
                <w:b w:val="1"/>
                <w:bCs w:val="1"/>
                <w:color w:val="auto"/>
                <w:vertAlign w:val="superscript"/>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730,493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730,493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730,493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730,493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ind w:left="300" w:hanging="292"/>
        <w:spacing w:after="0"/>
        <w:tabs>
          <w:tab w:leader="none" w:pos="30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shares of common stock were retired upon repurchase.</w:t>
      </w:r>
    </w:p>
    <w:p>
      <w:pPr>
        <w:spacing w:after="0" w:line="16" w:lineRule="exact"/>
        <w:rPr>
          <w:rFonts w:ascii="Times New Roman" w:cs="Times New Roman" w:eastAsia="Times New Roman" w:hAnsi="Times New Roman"/>
          <w:sz w:val="19"/>
          <w:szCs w:val="19"/>
          <w:color w:val="auto"/>
          <w:vertAlign w:val="superscript"/>
        </w:rPr>
      </w:pPr>
    </w:p>
    <w:p>
      <w:pPr>
        <w:ind w:left="300" w:hanging="292"/>
        <w:spacing w:after="0" w:line="189" w:lineRule="auto"/>
        <w:tabs>
          <w:tab w:leader="none" w:pos="30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is calculated on a settlement basis and excludes broker commissions and excise tax.</w:t>
      </w:r>
    </w:p>
    <w:p>
      <w:pPr>
        <w:spacing w:after="0" w:line="3" w:lineRule="exact"/>
        <w:rPr>
          <w:rFonts w:ascii="Times New Roman" w:cs="Times New Roman" w:eastAsia="Times New Roman" w:hAnsi="Times New Roman"/>
          <w:sz w:val="19"/>
          <w:szCs w:val="19"/>
          <w:color w:val="auto"/>
          <w:vertAlign w:val="superscript"/>
        </w:rPr>
      </w:pPr>
    </w:p>
    <w:p>
      <w:pPr>
        <w:ind w:left="300" w:right="400" w:hanging="292"/>
        <w:spacing w:after="0" w:line="202" w:lineRule="auto"/>
        <w:tabs>
          <w:tab w:leader="none" w:pos="30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3, 2024, the Company’s Board of Directors approved the Share Repurchase Program under which the Company is authorized to purchase up to $25.0 million of its issued and outstanding Class A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audited consolidated financial statements and related notes included elsewhere in this Annual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ability to generate product and service revenue sufficient to achieve profitability, if ever, will depend on the successful commercialization of the Proteograph Product Suite and related products and services. We are commercializing the Proteograph Product Suite as an integrated solution comprised of consumables, our SP100 automation instrument and software. Our commercial strategy is focused on growing adoption by the research community of the Proteograph, expanding the installed base, increasing utilization to generate revenue from the purchase of Proteograph consumables and growing our service offering through the STAC. We expect a highly efficient sales model because our workflow integrates with most existing proteomics laboratories’ workflows and also complements large-scale genomics research. We are focused on removing barriers to access to the Proteograph, including through the STAC service offering.</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38"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Starting in January 2025, we renewed the agreement under an extended term through December 2027.</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Following this extended term, the agreement will automatically renew annually for a maximum of two one-year renewal periods. Hamilton has represented to us that it maintains ISO 9001 and ISO 13485 certifications.</w:t>
      </w:r>
    </w:p>
    <w:p>
      <w:pPr>
        <w:spacing w:after="0" w:line="1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we incurred a net loss of $86.6 million and $86.3 million and used $46.1 million and $59.1 million of cash in operations, respectively. As of December 31, 2024, we had an accumulated deficit of $392.4 million and cash, cash equivalents, and investments of $299.5 million. We expect to continue to incur significant losses and do not expect positive cash flows from operations for the foreseeable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may increase in connection with our ongoing activities, as we:</w:t>
      </w:r>
    </w:p>
    <w:p>
      <w:pPr>
        <w:spacing w:after="0" w:line="171"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broadly commercialize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sales, marketing, service, support and distribution infrastructure as part of our commercialization efforts;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build-out and expand our in-house NP manufacturing capabilities;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research and development of other products and enhancements to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infrastructure to operate and scale as a public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 revenue consists of an instrument with embedded software essential to the instrument’s functionality and consumables. Our service revenue primarily consists of revenue received from the generation and analysis of proteomic data on behalf of customers. Our related party revenue is comprised of both product sales and services performed for related parties. Our grant and other revenue consists of research-related grants, lease arrangements, and shipping revenue. Our revenue is primarily generated domestically. We intend to focus our commercial efforts in the United States and expect to grow our international presence.</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utilize third-party manufacturers for production of our SP100 instrument and we manufacture our NPs and assemble our assay kits internally. Cost of revenue consists primarily of costs of the components of the Proteograph Product Suite, including the SP100 instrument and consumables, cost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earned on cash, cash equivalents and investments, asset disposals, realized and unrealized gains and losses on foreign currency transactions, and loss in the equity method investment.</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Income tax expense results from our wholly-owned foreign subsidiaries. We maintain a full valuation allowance on our domestic deferred tax assets as we have concluded that it is more likely than not that the deferred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Years Ended December 31,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(2,368 )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and other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(1,256 )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(2,491 )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(996 )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(718 )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and other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(1,040 )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(1,451 )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9"/>
        </w:trPr>
        <w:tc>
          <w:tcPr>
            <w:tcW w:w="5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(2,434 )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(2,379 )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107,156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(4,813 )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(100,101 )</w:t>
            </w:r>
          </w:p>
        </w:tc>
        <w:tc>
          <w:tcPr>
            <w:tcW w:w="26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(103,463 )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(1,098 )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(2,649 )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(2,649 )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(417 )</w:t>
            </w:r>
          </w:p>
        </w:tc>
        <w:tc>
          <w:tcPr>
            <w:tcW w:w="26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(578 )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(3,586 )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(86,501 )</w:t>
            </w:r>
          </w:p>
        </w:tc>
        <w:tc>
          <w:tcPr>
            <w:tcW w:w="26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(86,277 )</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(224 )</w:t>
            </w:r>
          </w:p>
        </w:tc>
        <w:tc>
          <w:tcPr>
            <w:tcW w:w="3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(86,599 )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(86,277 )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(322 )</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24"/>
                <w:szCs w:val="24"/>
                <w:color w:val="auto"/>
              </w:rPr>
            </w:pP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(2,491 )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-3813810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-3813810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-3813810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-3813810</wp:posOffset>
            </wp:positionV>
            <wp:extent cx="1543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-2982595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-2982595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-2982595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-2982595</wp:posOffset>
            </wp:positionV>
            <wp:extent cx="1543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-2691130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-2691130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-2691130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-2691130</wp:posOffset>
            </wp:positionV>
            <wp:extent cx="1543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-2125345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-2125345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-2125345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-2125345</wp:posOffset>
            </wp:positionV>
            <wp:extent cx="1543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-1285240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-1285240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-1285240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-1285240</wp:posOffset>
            </wp:positionV>
            <wp:extent cx="1543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-1002665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-1002665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-1002665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-1002665</wp:posOffset>
            </wp:positionV>
            <wp:extent cx="1543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Revenue in fiscal year 2024 decreased by $2.5 million, or 15% as compared to the prior year. The decrease was primarily due to lower related party product sales and no grant revenue being recognized during the period. The decrease was partially offset by an increase in service revenue.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200" w:type="dxa"/>
            <w:vAlign w:val="bottom"/>
          </w:tcPr>
          <w:p>
            <w:pPr>
              <w:spacing w:after="0"/>
              <w:rPr>
                <w:sz w:val="12"/>
                <w:szCs w:val="12"/>
                <w:color w:val="auto"/>
              </w:rPr>
            </w:pPr>
          </w:p>
        </w:tc>
        <w:tc>
          <w:tcPr>
            <w:tcW w:w="14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(1,040 )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864"/>
        </w:trPr>
        <w:tc>
          <w:tcPr>
            <w:tcW w:w="3340" w:type="dxa"/>
            <w:vAlign w:val="bottom"/>
          </w:tcPr>
          <w:p>
            <w:pPr>
              <w:spacing w:after="0"/>
              <w:rPr>
                <w:sz w:val="24"/>
                <w:szCs w:val="24"/>
                <w:color w:val="auto"/>
              </w:rPr>
            </w:pPr>
          </w:p>
        </w:tc>
        <w:tc>
          <w:tcPr>
            <w:tcW w:w="2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Cost of revenue in fiscal year 2024 decreased by $1.0 million, or 13% as compared to the prior year. The decrease was primarily due to lower product revenue from fewer instrument sales, which has a higher cost of revenue.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200" w:type="dxa"/>
            <w:vAlign w:val="bottom"/>
          </w:tcPr>
          <w:p>
            <w:pPr>
              <w:spacing w:after="0"/>
              <w:rPr>
                <w:sz w:val="12"/>
                <w:szCs w:val="12"/>
                <w:color w:val="auto"/>
              </w:rPr>
            </w:pPr>
          </w:p>
        </w:tc>
        <w:tc>
          <w:tcPr>
            <w:tcW w:w="14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6"/>
              </w:rPr>
              <w:t>53,019</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(2,434 )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 fiscal year 2024 decreased by $2.4 million, or 5% as compared to the prior year. The decrease was primarily due to lower headcount which resulted in a decrease in employee compensation costs of $2.3 million and a decrease of $1.2 million in stock-based compensation. The decrease was offset by a $1.1 million increase in laboratory expenses.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200" w:type="dxa"/>
            <w:vAlign w:val="bottom"/>
          </w:tcPr>
          <w:p>
            <w:pPr>
              <w:spacing w:after="0"/>
              <w:rPr>
                <w:sz w:val="12"/>
                <w:szCs w:val="12"/>
                <w:color w:val="auto"/>
              </w:rPr>
            </w:pPr>
          </w:p>
        </w:tc>
        <w:tc>
          <w:tcPr>
            <w:tcW w:w="14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6"/>
              </w:rPr>
              <w:t>58,950</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(2,379 )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fiscal year 2024 decreased by $2.4 million, or 4% as compared to the prior year. The decrease was primarily due to a $5.1 million decrease in stock-based compensation and a $2.3 million decrease in employee compensation costs. The decrease was offset by a $4.2 million increase in professional services and a $0.9 million increase in facility expenses.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200" w:type="dxa"/>
            <w:vAlign w:val="bottom"/>
          </w:tcPr>
          <w:p>
            <w:pPr>
              <w:spacing w:after="0"/>
              <w:rPr>
                <w:sz w:val="12"/>
                <w:szCs w:val="12"/>
                <w:color w:val="auto"/>
              </w:rPr>
            </w:pPr>
          </w:p>
        </w:tc>
        <w:tc>
          <w:tcPr>
            <w:tcW w:w="14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6"/>
              </w:rPr>
              <w:t>17,186</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(3,586 )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Total other income in fiscal year 2024 decreased by $3.6 million, or 21% as compared to the prior year. The decrease was primarily due to the loss in the equity method investment and lower rates of interest earned on cash invested in money market funds, U.S. Treasury securities, commercial paper, and corporate debt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Annual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December 31, 2024 and 2023, which is secured by restricted cash and is presented as noncurrent at each date based on the term of the underlying lease. We lease approximately 3,500 square feet of office space in San Diego, California under a lease that runs through July 2025.</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certain purchase commitments related to our inventory management with certain manufacturing suppliers wherein we are required to purchase the amounts forecasted in a blanket purchase order within a certain time period. The Company also has certain contractual obligations for third-party technology used as part of its normal operations.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$4.5 million as of December 31, 2024.</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gridSpan w:val="3"/>
          </w:tcPr>
          <w:p>
            <w:pPr>
              <w:jc w:val="right"/>
              <w:ind w:right="60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(46,109 )</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(59,065 )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Pr>
          <w:p>
            <w:pPr>
              <w:spacing w:after="0"/>
              <w:rPr>
                <w:sz w:val="18"/>
                <w:szCs w:val="18"/>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65,858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37,904</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(11,495 )</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8,254</w:t>
            </w:r>
          </w:p>
        </w:tc>
        <w:tc>
          <w:tcPr>
            <w:tcW w:w="11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(20,709 )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2024, cash used in operating activities was $46.1 million, attributable to a net loss of $86.6 million and a net change in our net operating assets and liabilities of $0.1 million, partially offset by non-cash charges of $40.6 million. Non-cash charges primarily consisted of $28.2 million of stock-based compensation, $6.2 million of depreciation and amortization, $3.1 million of net amortization of premium on available-for-sale securities, $2.6 million of loss on equity method investment, and $0.3 million of loss on disposal of property and equipment. The change in our net operating assets and liabilities was primarily due to an increase in inventory levels of $2.7 million, a decrease in accrued liabilities and other liabilities of $1.4 million, and an increase of $0.1 million in prepaid expenses and other assets, which was partially offset by an increase in accounts payable of $3.4 million, a decrease in accounts receivable of $0.5 million, and an increase in deferred revenue of $0.2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2023, cash used in operating activities was $59.1 million, attributable to a net loss of $86.3 million, partially offset by a net change in our net operating assets and liabilities of $2.7 million and non-cash charges of $29.9 million. Non-cash charges primarily consisted of stock-based compensation of $34.4 million, $5.6 million of depreciation and amortization, $0.8 million of provision for inventory excess and obsolescence, $0.4 million of loss on disposal of property and equipment, and $0.2 million of non-cash operating lease expense, offset by $11.5 million of net accretion of premiums on available-for-sale securities. The change in our net operating assets and liabilities was primarily due to an increase in inventory levels of $1.9 million for anticipated revenue growth and a $1.3 million increase in prepaid expenses and other current assets, which was partially offset by a decrease in accounts receivable of $0.3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2024, cash provided by investing activities was $65.9 million, which was attributable to the proceeds from maturities of available-for-sale securities of $342.0 million and proceeds from disposal of property and equipment of $0.3 million. This was offset by the purchases of available-for-sale securities of $262.9 million, purchase of investment in equity security of $10.0 million, and purchases of property and equipment of $3.5 million, which was primarily for laboratory equipment.</w:t>
      </w:r>
    </w:p>
    <w:p>
      <w:pPr>
        <w:spacing w:after="0" w:line="12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2023, cash provided by investing activities was $37.9 million, which related to the proceeds from maturities of available-for-sale securities of $445.3 million and proceeds from sale of available-for-sale securities of $3.0 million. This was offset by the purchases of available-for-sale securities of $403.1 million and purchases of property and equipment, primarily for laboratory equipment, of $7.3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2024, cash used in financing activities was $11.5 million, which was primarily attributable to the repurchases of Class A common stock under our share repurchase program of $11.8 million. This partially was offset by the proceeds of $0.3 million from the issuance of Class A common stock in connection with our employee stock purchase plan.</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2023, cash provided by financing activities was $0.5 million, which was primarily attributable to proceeds of $0.4 million from the issuance of Class A common stock in connection with our employee stock purchase plan and net proceeds of $0.1 million from the exercise of stock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liabilities, and the disclosure of contingent assets and liabilities at the date of the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3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we believe that the following critical accounting policies are most important to understanding and evaluating our reported financial results.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revenue is generated primarily from sales of products and services. Product revenue consists of sales of an instrument with embedded software essential to the instrument’s functionality and consumables. Service revenue primarily consists of revenue received from the generation and analysis of proteomic data on behalf of our customers.</w:t>
      </w:r>
    </w:p>
    <w:p>
      <w:pPr>
        <w:spacing w:after="0" w:line="12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recognized when control of the product is transferred, which is generally upon shipment to the customer. Revenue from services is recognized once the report is delivered to a customer, which is when the customer obtains benefit of the service.</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Our contracts with our customer generally do not include rights of return.</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times, we may enter into arrangements with payment terms which exceed one year from the transfer of control of the product or service. In such cases, we assess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We do not assess whether a significant financing component exists when, at contract inception, the period between the transfer of control to a customer and final payment is one year or less.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 portion of our revenue relates to lease arrangements. Standalone lease arrangements are outside the scope of Accounting Standards Codification (ASC) 606, </w:t>
      </w:r>
      <w:r>
        <w:rPr>
          <w:rFonts w:ascii="Times New Roman" w:cs="Times New Roman" w:eastAsia="Times New Roman" w:hAnsi="Times New Roman"/>
          <w:sz w:val="18"/>
          <w:szCs w:val="18"/>
          <w:i w:val="1"/>
          <w:iCs w:val="1"/>
          <w:color w:val="auto"/>
        </w:rPr>
        <w:t>Revenue Contracts with Customer</w:t>
      </w:r>
      <w:r>
        <w:rPr>
          <w:rFonts w:ascii="Times New Roman" w:cs="Times New Roman" w:eastAsia="Times New Roman" w:hAnsi="Times New Roman"/>
          <w:sz w:val="18"/>
          <w:szCs w:val="18"/>
          <w:color w:val="auto"/>
        </w:rPr>
        <w:t xml:space="preserve"> and are therefore accounted for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total consideration in a lease arrangement is allocated between lease and non-lease components on their relative standalone selling prices. The standalone selling price is based on the price we would separately sell that promised good or service to a customer. If a standalone price is not available for a component, it is estimated using the best information available.</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Shipping revenue is recognized when control of the product is transferred to the customer, and the related shipping and handling costs are included in the cost of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relates to stock options with service-based vesting conditions, stock options with market-based vesting conditions, stock purchase rights under our employee stock purchase plan (ESPP), restricted common stock awards (RSAs) and restricted stock units (RSUs). All awards are measured at fair value on grant date and forfeitures are recognized as they occur.</w:t>
      </w:r>
    </w:p>
    <w:p>
      <w:pPr>
        <w:spacing w:after="0" w:line="12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with service conditions and stock purchase rights under our ESPP on the grant date using the Black-Scholes option pricing model. We use the straight-line method to allocate compensation cost to reporting periods over the requisite service period in which the awards are expected to vest.</w:t>
      </w:r>
    </w:p>
    <w:p>
      <w:pPr>
        <w:spacing w:after="0" w:line="1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Black-Scholes option pricing model considers several variables and assumptions in estimating the fair value of service-based stock options and stock purchase rights under our ESPP. These variables include the per share fair value of the underlying common stock, expected term, expected volatility, risk-free interest rate and expected dividend yield over the expected term. For all service-based stock options granted, we calculate the expected term using the simplified method for “plain vanilla” stock option awards. For the expected volatility, we use a blended rate based on the historical volatility of the stock price of our Class A common stock and average volatility of our comparable publicly traded peer companies. The comparable companies were chosen based on their similar size, life cycle stage, or area of specialty. The risk-free interest rate is based on the yield available on U.S. Treasury zero-coupon issues in effect at the time of grant for periods corresponding with the expected term of the options. The expected dividend yield is assumed to be zero as we have never paid dividends and have no current plans to pay dividends on our common stock.</w:t>
      </w:r>
    </w:p>
    <w:p>
      <w:pPr>
        <w:spacing w:after="0" w:line="1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stock options with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value RSAs based on the difference between the fair value of the underlying stock at the measurement date and the purchase price. We value RSUs based on the fair value of the underlying stock at the measurement date.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expected terms, and interest rates utilized for our stock-based compensation calculations on a prospective basis. Assumptions we used in applying the Black-Scholes option 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for more information about recent accounting pronouncements, the timing of their adoption, and our assessment, to the extent we have made one yet, of their potential impact on our financial condition of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exposure to interest rate risk that relates to our cash and cash equivalents and investments held in money market funds, U.S. Treasury securities, commercial paper, corporate debt securities and government agency debt. The goals of our investment policy are liquidity and capital preservation. We believe that we do not have material exposure to changes in the fair value of these assets as a result of changes in interest rates due to the short-term nature of our cash and cash equivalents and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0" w:lineRule="exact"/>
        <w:rPr>
          <w:sz w:val="20"/>
          <w:szCs w:val="20"/>
          <w:color w:val="auto"/>
        </w:rPr>
      </w:pPr>
    </w:p>
    <w:tbl>
      <w:tblPr>
        <w:tblLayout w:type="fixed"/>
        <w:tblInd w:w="7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960" w:type="dxa"/>
            <w:vAlign w:val="bottom"/>
            <w:gridSpan w:val="3"/>
          </w:tcPr>
          <w:p>
            <w:pPr>
              <w:ind w:left="26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9"/>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2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0000FF"/>
                <w:w w:val="96"/>
              </w:rPr>
              <w:t>104</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2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0000FF"/>
                <w:w w:val="96"/>
              </w:rPr>
              <w:t>106</w:t>
            </w:r>
          </w:p>
        </w:tc>
      </w:tr>
      <w:tr>
        <w:trPr>
          <w:trHeight w:val="20"/>
        </w:trPr>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2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0000FF"/>
                <w:w w:val="96"/>
              </w:rPr>
              <w:t>107</w:t>
            </w:r>
          </w:p>
        </w:tc>
      </w:tr>
      <w:tr>
        <w:trPr>
          <w:trHeight w:val="20"/>
        </w:trPr>
        <w:tc>
          <w:tcPr>
            <w:tcW w:w="286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2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286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2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0000FF"/>
                <w:w w:val="96"/>
              </w:rPr>
              <w:t>109</w:t>
            </w:r>
          </w:p>
        </w:tc>
      </w:tr>
      <w:tr>
        <w:trPr>
          <w:trHeight w:val="20"/>
        </w:trPr>
        <w:tc>
          <w:tcPr>
            <w:tcW w:w="286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96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0000FF"/>
                <w:w w:val="96"/>
              </w:rPr>
              <w:t>110</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Seer,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Seer, Inc. and subsidiaries (the "Company") as of December 31, 2024 and 2023, the related consolidated statements of operations and comprehensive loss, changes in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960"/>
        <w:spacing w:after="0" w:line="440" w:lineRule="auto"/>
        <w:rPr>
          <w:sz w:val="20"/>
          <w:szCs w:val="20"/>
          <w:color w:val="auto"/>
        </w:rPr>
      </w:pPr>
      <w:r>
        <w:rPr>
          <w:rFonts w:ascii="Times New Roman" w:cs="Times New Roman" w:eastAsia="Times New Roman" w:hAnsi="Times New Roman"/>
          <w:sz w:val="18"/>
          <w:szCs w:val="18"/>
          <w:b w:val="1"/>
          <w:bCs w:val="1"/>
          <w:color w:val="auto"/>
        </w:rPr>
        <w:t>Revenue Recognition for Products, Services, and Related Parties - Refer to Notes 2, 5 and 11 to the Financial Statements Critical Audit Matter Description</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 generates revenue from sales of products and services. The Company’s product, the Proteograph Product Suite, consists of an instrument with embedded software essential to the instrument’s functionality and consumables. The Company’s service revenue primarily consists of revenue received from the generation and analysis of proteomic data. The Company recognizes revenue when control of the products and services are transferred to its customers in an amount that reflects the consideration it expects to be entitled to receive from its customers in exchange for those products and services.</w:t>
      </w:r>
    </w:p>
    <w:p>
      <w:pPr>
        <w:spacing w:after="0" w:line="1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regularly enters into contracts that include multiple performance obligations requiring management to evaluate whether these multiple performance obligations are capable of being distinct and accounted for as separate performance obligations.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performance obligations as a critical audit matter because of the significant judgment management makes in evaluating distinct performance obligations and the impact of such judgment on the amount of revenue recognized in a particular period. This required a high degree of auditor judgment and an increased extent of testing.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identification and evaluation of performance obligations included the following, among others:</w:t>
      </w:r>
    </w:p>
    <w:p>
      <w:pPr>
        <w:spacing w:after="0" w:line="171" w:lineRule="exact"/>
        <w:rPr>
          <w:sz w:val="20"/>
          <w:szCs w:val="20"/>
          <w:color w:val="auto"/>
        </w:rPr>
      </w:pPr>
    </w:p>
    <w:p>
      <w:pPr>
        <w:ind w:left="760" w:right="780" w:hanging="752"/>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evaluated the reasonableness of the Company’s significant accounting policies related to revenue recognition for compliance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of internal controls over the identification of distinct performance obligations and the timing of revenue recognition.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recorded products and services revenue transactions and performed the following procedures:</w:t>
      </w:r>
    </w:p>
    <w:p>
      <w:pPr>
        <w:spacing w:after="0" w:line="171" w:lineRule="exact"/>
        <w:rPr>
          <w:rFonts w:ascii="Times New Roman" w:cs="Times New Roman" w:eastAsia="Times New Roman" w:hAnsi="Times New Roman"/>
          <w:sz w:val="18"/>
          <w:szCs w:val="18"/>
          <w:color w:val="auto"/>
        </w:rPr>
      </w:pPr>
    </w:p>
    <w:p>
      <w:pPr>
        <w:ind w:left="960" w:right="80" w:hanging="519"/>
        <w:spacing w:after="0" w:line="282" w:lineRule="auto"/>
        <w:tabs>
          <w:tab w:leader="none" w:pos="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customer source documents such as contracts, and/or amendments, to evaluate if management has appropriately identified and considered performance obligations.</w:t>
      </w:r>
    </w:p>
    <w:p>
      <w:pPr>
        <w:spacing w:after="0" w:line="107" w:lineRule="exact"/>
        <w:rPr>
          <w:rFonts w:ascii="Times New Roman" w:cs="Times New Roman" w:eastAsia="Times New Roman" w:hAnsi="Times New Roman"/>
          <w:sz w:val="18"/>
          <w:szCs w:val="18"/>
          <w:color w:val="auto"/>
        </w:rPr>
      </w:pPr>
    </w:p>
    <w:p>
      <w:pPr>
        <w:ind w:left="960" w:right="460" w:hanging="519"/>
        <w:spacing w:after="0" w:line="282" w:lineRule="auto"/>
        <w:tabs>
          <w:tab w:leader="none" w:pos="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application of the Company’s accounting policy and tested revenue recognition for the identified performance obligations by comparing management’s conclusions to the underlying source documents.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283,725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253,323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366,597</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436,269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as of</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2024 and 2023; zero shares issued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December 31, 2024 and 2023</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A common stock, $0.00001 par value; 94,000,000 shares authorized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 of December 31, 2024 and 2023; 55,083,123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60,253,707 shares issued and outstanding as of December 31, 2024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B common stock, $0.00001 par value; 6,000,000 shares authorized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2024 and 2023; 4,044,969 shares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December 31, 2024 and 2023</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719,804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702,868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(392,372 )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(305,773 )</w:t>
            </w:r>
          </w:p>
        </w:tc>
      </w:tr>
      <w:tr>
        <w:trPr>
          <w:trHeight w:val="210"/>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327,569</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396,904</w:t>
            </w:r>
          </w:p>
        </w:tc>
        <w:tc>
          <w:tcPr>
            <w:tcW w:w="100" w:type="dxa"/>
            <w:vAlign w:val="bottom"/>
            <w:tcBorders>
              <w:top w:val="single" w:sz="8" w:color="CFF0FC"/>
            </w:tcBorders>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366,597</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436,269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-4911090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-4079875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-2948305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-2382520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8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and other</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and other</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2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56,571</w:t>
            </w: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107,156</w:t>
            </w:r>
          </w:p>
        </w:tc>
        <w:tc>
          <w:tcPr>
            <w:tcW w:w="2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111,969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(100,101 )</w:t>
            </w:r>
          </w:p>
        </w:tc>
        <w:tc>
          <w:tcPr>
            <w:tcW w:w="6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(103,463 )</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(2,649 )</w:t>
            </w:r>
          </w:p>
        </w:tc>
        <w:tc>
          <w:tcPr>
            <w:tcW w:w="6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(417 )</w:t>
            </w:r>
          </w:p>
        </w:tc>
        <w:tc>
          <w:tcPr>
            <w:tcW w:w="6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(578 )</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(86,501 )</w:t>
            </w:r>
          </w:p>
        </w:tc>
        <w:tc>
          <w:tcPr>
            <w:tcW w:w="6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(86,277 )</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(86,599 )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(86,277 )</w:t>
            </w: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(86,271 )</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(85,218 )</w:t>
            </w: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2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(1.39 )</w:t>
            </w:r>
          </w:p>
        </w:tc>
        <w:tc>
          <w:tcPr>
            <w:tcW w:w="6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194"/>
        </w:trPr>
        <w:tc>
          <w:tcPr>
            <w:tcW w:w="75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38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62,348,012</w:t>
            </w: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63,850,490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520" w:type="dxa"/>
            <w:vAlign w:val="bottom"/>
            <w:tcBorders>
              <w:bottom w:val="single" w:sz="8" w:color="CFF0FC"/>
            </w:tcBorders>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-3959860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-3959860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-3128010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-3128010</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-2836545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-2836545</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-2270760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-2270760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-1430655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-1430655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-1148080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-573405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-556895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-573405</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84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02"/>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61"/>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040" w:type="dxa"/>
            <w:vAlign w:val="bottom"/>
            <w:tcBorders>
              <w:bottom w:val="single" w:sz="8" w:color="auto"/>
            </w:tcBorders>
          </w:tcPr>
          <w:p>
            <w:pPr>
              <w:jc w:val="right"/>
              <w:ind w:right="322"/>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2"/>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41"/>
              <w:spacing w:after="0" w:line="129"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63,411,046</w:t>
            </w:r>
          </w:p>
        </w:tc>
        <w:tc>
          <w:tcPr>
            <w:tcW w:w="80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667,739</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(219,496 )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(1,251 )</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446,993</w:t>
            </w:r>
          </w:p>
        </w:tc>
        <w:tc>
          <w:tcPr>
            <w:tcW w:w="0" w:type="dxa"/>
            <w:vAlign w:val="bottom"/>
          </w:tcPr>
          <w:p>
            <w:pPr>
              <w:spacing w:after="0"/>
              <w:rPr>
                <w:sz w:val="1"/>
                <w:szCs w:val="1"/>
                <w:color w:val="auto"/>
              </w:rPr>
            </w:pPr>
          </w:p>
        </w:tc>
      </w:tr>
      <w:tr>
        <w:trPr>
          <w:trHeight w:val="189"/>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Class A common stock from exercise of options and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699,536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5"/>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(5,063 )</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early exercised stock options and restricted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Class A common stock in connection with employee</w:t>
            </w: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stock purchase plan</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193,157</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34,424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34,424</w:t>
            </w: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(86,277 )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(86,277 )</w:t>
            </w: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64,298,676</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702,868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(305,773 )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396,904</w:t>
            </w:r>
          </w:p>
        </w:tc>
        <w:tc>
          <w:tcPr>
            <w:tcW w:w="0" w:type="dxa"/>
            <w:vAlign w:val="bottom"/>
          </w:tcPr>
          <w:p>
            <w:pPr>
              <w:spacing w:after="0"/>
              <w:rPr>
                <w:sz w:val="1"/>
                <w:szCs w:val="1"/>
                <w:color w:val="auto"/>
              </w:rPr>
            </w:pPr>
          </w:p>
        </w:tc>
      </w:tr>
      <w:tr>
        <w:trPr>
          <w:trHeight w:val="189"/>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Class A common stock from exercise of options and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1,085,291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Vesting of early exercised stock options and restricted</w:t>
            </w: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9"/>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Class A common stock in connection with employee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 purchase plan</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214,227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program</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(6,470,102 )</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(11,816 )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(11,816 )</w:t>
            </w: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28,427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28,427</w:t>
            </w: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(86,599 )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(86,599 )</w:t>
            </w:r>
          </w:p>
        </w:tc>
        <w:tc>
          <w:tcPr>
            <w:tcW w:w="0" w:type="dxa"/>
            <w:vAlign w:val="bottom"/>
          </w:tcPr>
          <w:p>
            <w:pPr>
              <w:spacing w:after="0"/>
              <w:rPr>
                <w:sz w:val="1"/>
                <w:szCs w:val="1"/>
                <w:color w:val="auto"/>
              </w:rPr>
            </w:pPr>
          </w:p>
        </w:tc>
      </w:tr>
      <w:tr>
        <w:trPr>
          <w:trHeight w:val="236"/>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59,128,092</w:t>
            </w:r>
          </w:p>
        </w:tc>
        <w:tc>
          <w:tcPr>
            <w:tcW w:w="1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2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719,804</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(392,372 )</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327,569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72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8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0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(86,599 )</w:t>
            </w:r>
          </w:p>
        </w:tc>
        <w:tc>
          <w:tcPr>
            <w:tcW w:w="620" w:type="dxa"/>
            <w:vAlign w:val="bottom"/>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(86,277 )</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28,207</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6,176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amortization (accretion) of premium (discount) on available-for-sale securities</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(11,548 )</w:t>
            </w: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inventory excess and obsolescence</w:t>
            </w:r>
          </w:p>
        </w:tc>
        <w:tc>
          <w:tcPr>
            <w:tcW w:w="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equity method investment</w:t>
            </w:r>
          </w:p>
        </w:tc>
        <w:tc>
          <w:tcPr>
            <w:tcW w:w="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2,649</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(92 )</w:t>
            </w: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(1,313 )</w:t>
            </w:r>
          </w:p>
        </w:tc>
        <w:tc>
          <w:tcPr>
            <w:tcW w:w="0" w:type="dxa"/>
            <w:vAlign w:val="bottom"/>
          </w:tcPr>
          <w:p>
            <w:pPr>
              <w:spacing w:after="0"/>
              <w:rPr>
                <w:sz w:val="1"/>
                <w:szCs w:val="1"/>
                <w:color w:val="auto"/>
              </w:rPr>
            </w:pPr>
          </w:p>
        </w:tc>
      </w:tr>
      <w:tr>
        <w:trPr>
          <w:trHeight w:val="148"/>
        </w:trPr>
        <w:tc>
          <w:tcPr>
            <w:tcW w:w="77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9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(2,668 )</w:t>
            </w:r>
          </w:p>
        </w:tc>
        <w:tc>
          <w:tcPr>
            <w:tcW w:w="6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(1,948 )</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(987 )</w:t>
            </w:r>
          </w:p>
        </w:tc>
        <w:tc>
          <w:tcPr>
            <w:tcW w:w="0" w:type="dxa"/>
            <w:vAlign w:val="bottom"/>
          </w:tcPr>
          <w:p>
            <w:pPr>
              <w:spacing w:after="0"/>
              <w:rPr>
                <w:sz w:val="1"/>
                <w:szCs w:val="1"/>
                <w:color w:val="auto"/>
              </w:rPr>
            </w:pPr>
          </w:p>
        </w:tc>
      </w:tr>
      <w:tr>
        <w:trPr>
          <w:trHeight w:val="149"/>
        </w:trPr>
        <w:tc>
          <w:tcPr>
            <w:tcW w:w="77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9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(1,428 )</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(46,109 )</w:t>
            </w:r>
          </w:p>
        </w:tc>
        <w:tc>
          <w:tcPr>
            <w:tcW w:w="620" w:type="dxa"/>
            <w:vAlign w:val="bottom"/>
          </w:tcPr>
          <w:p>
            <w:pPr>
              <w:spacing w:after="0"/>
              <w:rPr>
                <w:sz w:val="12"/>
                <w:szCs w:val="12"/>
                <w:color w:val="auto"/>
              </w:rPr>
            </w:pPr>
          </w:p>
        </w:tc>
        <w:tc>
          <w:tcPr>
            <w:tcW w:w="10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(59,065 )</w:t>
            </w: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9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(3,584 )</w:t>
            </w:r>
          </w:p>
        </w:tc>
        <w:tc>
          <w:tcPr>
            <w:tcW w:w="6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(7,309 )</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disposal of property and equipment</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available-for-sale securities</w:t>
            </w:r>
          </w:p>
        </w:tc>
        <w:tc>
          <w:tcPr>
            <w:tcW w:w="9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(262,926 )</w:t>
            </w:r>
          </w:p>
        </w:tc>
        <w:tc>
          <w:tcPr>
            <w:tcW w:w="6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(403,092 )</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sale of available-for-sale securities</w:t>
            </w:r>
          </w:p>
        </w:tc>
        <w:tc>
          <w:tcPr>
            <w:tcW w:w="9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342,025</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equity security</w:t>
            </w:r>
          </w:p>
        </w:tc>
        <w:tc>
          <w:tcPr>
            <w:tcW w:w="9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(10,000 )</w:t>
            </w: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7720" w:type="dxa"/>
            <w:vAlign w:val="bottom"/>
            <w:tcBorders>
              <w:top w:val="single" w:sz="8" w:color="CFF0FC"/>
            </w:tcBorders>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9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65,858</w:t>
            </w:r>
          </w:p>
        </w:tc>
        <w:tc>
          <w:tcPr>
            <w:tcW w:w="260" w:type="dxa"/>
            <w:vAlign w:val="bottom"/>
            <w:tcBorders>
              <w:top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37,904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 of Class A common stock</w:t>
            </w:r>
          </w:p>
        </w:tc>
        <w:tc>
          <w:tcPr>
            <w:tcW w:w="9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exercise of Class A common stock options</w:t>
            </w:r>
          </w:p>
        </w:tc>
        <w:tc>
          <w:tcPr>
            <w:tcW w:w="9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Repurchases of Class A common stock under share repurchase program</w:t>
            </w:r>
          </w:p>
        </w:tc>
        <w:tc>
          <w:tcPr>
            <w:tcW w:w="9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(11,816 )</w:t>
            </w:r>
          </w:p>
        </w:tc>
        <w:tc>
          <w:tcPr>
            <w:tcW w:w="6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Proceeds from issuance of Class A common stock in connection with</w:t>
            </w:r>
          </w:p>
        </w:tc>
        <w:tc>
          <w:tcPr>
            <w:tcW w:w="9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720" w:type="dxa"/>
            <w:vAlign w:val="bottom"/>
            <w:tcBorders>
              <w:bottom w:val="single" w:sz="8" w:color="CFF0FC"/>
            </w:tcBorders>
            <w:shd w:val="clear" w:color="auto" w:fill="CFF0FC"/>
          </w:tcPr>
          <w:p>
            <w:pPr>
              <w:ind w:left="100"/>
              <w:spacing w:after="0" w:line="158"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9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6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(11,495 )</w:t>
            </w:r>
          </w:p>
        </w:tc>
        <w:tc>
          <w:tcPr>
            <w:tcW w:w="6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8,254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(20,709 )</w:t>
            </w: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33,023</w:t>
            </w: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53,732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tcBorders>
              <w:bottom w:val="single" w:sz="8" w:color="auto"/>
            </w:tcBorders>
            <w:shd w:val="clear" w:color="auto" w:fill="CFF0FC"/>
          </w:tcPr>
          <w:p>
            <w:pPr>
              <w:jc w:val="right"/>
              <w:ind w:right="80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41,277</w:t>
            </w: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33,023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960" w:type="dxa"/>
            <w:vAlign w:val="bottom"/>
            <w:shd w:val="clear" w:color="auto" w:fill="CFF0FC"/>
          </w:tcPr>
          <w:p>
            <w:pPr>
              <w:jc w:val="right"/>
              <w:ind w:right="80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8"/>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Capitalized stock-based compensation related to internal-use software development</w:t>
            </w:r>
          </w:p>
        </w:tc>
        <w:tc>
          <w:tcPr>
            <w:tcW w:w="960" w:type="dxa"/>
            <w:vAlign w:val="bottom"/>
            <w:shd w:val="clear" w:color="auto" w:fill="CFF0FC"/>
          </w:tcPr>
          <w:p>
            <w:pPr>
              <w:jc w:val="right"/>
              <w:ind w:right="80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772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expenses</w:t>
            </w:r>
          </w:p>
        </w:tc>
        <w:tc>
          <w:tcPr>
            <w:tcW w:w="960" w:type="dxa"/>
            <w:vAlign w:val="bottom"/>
            <w:tcBorders>
              <w:top w:val="single" w:sz="8" w:color="auto"/>
              <w:bottom w:val="single" w:sz="8" w:color="auto"/>
            </w:tcBorders>
          </w:tcPr>
          <w:p>
            <w:pPr>
              <w:jc w:val="right"/>
              <w:ind w:right="80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248</w:t>
            </w:r>
          </w:p>
        </w:tc>
        <w:tc>
          <w:tcPr>
            <w:tcW w:w="260" w:type="dxa"/>
            <w:vAlign w:val="bottom"/>
            <w:tcBorders>
              <w:top w:val="single" w:sz="8" w:color="CFF0FC"/>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415</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Property and equipment transferred to inventory</w:t>
            </w:r>
          </w:p>
        </w:tc>
        <w:tc>
          <w:tcPr>
            <w:tcW w:w="960" w:type="dxa"/>
            <w:vAlign w:val="bottom"/>
            <w:tcBorders>
              <w:bottom w:val="single" w:sz="8" w:color="auto"/>
            </w:tcBorders>
            <w:shd w:val="clear" w:color="auto" w:fill="CFF0FC"/>
          </w:tcPr>
          <w:p>
            <w:pPr>
              <w:jc w:val="right"/>
              <w:ind w:right="80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699</w:t>
            </w:r>
          </w:p>
        </w:tc>
        <w:tc>
          <w:tcPr>
            <w:tcW w:w="2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4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Inventory transferred to property and equipment</w:t>
            </w:r>
          </w:p>
        </w:tc>
        <w:tc>
          <w:tcPr>
            <w:tcW w:w="960" w:type="dxa"/>
            <w:vAlign w:val="bottom"/>
            <w:tcBorders>
              <w:bottom w:val="single" w:sz="8" w:color="auto"/>
            </w:tcBorders>
          </w:tcPr>
          <w:p>
            <w:pPr>
              <w:jc w:val="right"/>
              <w:ind w:right="80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242</w:t>
            </w:r>
          </w:p>
        </w:tc>
        <w:tc>
          <w:tcPr>
            <w:tcW w:w="260" w:type="dxa"/>
            <w:vAlign w:val="bottom"/>
          </w:tcPr>
          <w:p>
            <w:pPr>
              <w:spacing w:after="0"/>
              <w:rPr>
                <w:sz w:val="11"/>
                <w:szCs w:val="11"/>
                <w:color w:val="auto"/>
              </w:rPr>
            </w:pPr>
          </w:p>
        </w:tc>
        <w:tc>
          <w:tcPr>
            <w:tcW w:w="620" w:type="dxa"/>
            <w:vAlign w:val="bottom"/>
            <w:tcBorders>
              <w:bottom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Prepaid expenses and other assets transferred to fixed asset</w:t>
            </w:r>
          </w:p>
        </w:tc>
        <w:tc>
          <w:tcPr>
            <w:tcW w:w="960" w:type="dxa"/>
            <w:vAlign w:val="bottom"/>
            <w:tcBorders>
              <w:bottom w:val="single" w:sz="8" w:color="auto"/>
            </w:tcBorders>
            <w:shd w:val="clear" w:color="auto" w:fill="CFF0FC"/>
          </w:tcPr>
          <w:p>
            <w:pPr>
              <w:jc w:val="right"/>
              <w:ind w:right="80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4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-2982595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-2193925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-1525270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-1122045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-1104900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-814070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-505460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-488315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-248285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has incurred significant losses and has had negative cash flows from operations. As of December 31, 2024, the Company had cash and cash equivalents and investments of $299.5 million and an accumulated deficit of $392.4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December 31, 2024 provide sufficient capital resources to continue its operations for at least twelve months from the issuance date of the accompanying consolidated financial statements.</w:t>
      </w:r>
    </w:p>
    <w:p>
      <w:pPr>
        <w:spacing w:after="0" w:line="12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The consolidated financial statements include the accounts of Seer, Inc. and its wholly-owned subsidiaries. All intercompany transactions and balances have been eliminated.</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stock-based compensation, allowance for credit losses, inventory valuation, operating lease right-of-use assets and liabilities, useful lives and valuation of property and equipment, capitalization and useful life of capitalized internal-use software, income tax uncertainties, and tax valuation allowances.</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fiscal year 2024 and 2023, the Company recognized revenue from a related party that represented 17% and 28%, respectively, of the Company’s total revenue.</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fiscal year 2024 and 2023, 33% and 30%, respectively, of the total revenue was generated outside of the United States, primarily from countries in Asia and Europe.</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2024, no single customer accounted for 10% or more of the total accounts receivable balance, including related party receivables. As of December 31, 2023, there were two customers which represented 14% and 10% of the total accounts receivable balance, including related party receivables.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has an equity method investment in PrognomiQ. Refer to Note 11 for additional information.</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December 31, 2024, all amounts recorded as cash and cash equivalents consist of money market funds and commercial paper are stated at fair value. As of December 31, 2023, all amounts recorded as cash and cash equivalents consist of cash, money market funds, corporate debt securities, and U.S. Treasury securities are stated at fair value.</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2024 and 2023 represents cash held by a financial institution as security for a letter of credit issued to the lessor for one of the Company’s operating leases and is classified as noncurrent.</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amounts shown in the consolidated statements of cash flows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4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40,753</w:t>
            </w:r>
          </w:p>
        </w:tc>
        <w:tc>
          <w:tcPr>
            <w:tcW w:w="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r>
      <w:tr>
        <w:trPr>
          <w:trHeight w:val="249"/>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41,277</w:t>
            </w:r>
          </w:p>
        </w:tc>
        <w:tc>
          <w:tcPr>
            <w:tcW w:w="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33,023</w:t>
            </w:r>
          </w:p>
        </w:tc>
        <w:tc>
          <w:tcPr>
            <w:tcW w:w="100" w:type="dxa"/>
            <w:vAlign w:val="bottom"/>
            <w:shd w:val="clear" w:color="auto" w:fill="CFF0FC"/>
          </w:tcPr>
          <w:p>
            <w:pPr>
              <w:spacing w:after="0"/>
              <w:rPr>
                <w:sz w:val="21"/>
                <w:szCs w:val="21"/>
                <w:color w:val="auto"/>
              </w:rPr>
            </w:pPr>
          </w:p>
        </w:tc>
      </w:tr>
      <w:tr>
        <w:trPr>
          <w:trHeight w:val="845"/>
        </w:trPr>
        <w:tc>
          <w:tcPr>
            <w:tcW w:w="4460" w:type="dxa"/>
            <w:vAlign w:val="bottom"/>
            <w:tcBorders>
              <w:top w:val="single" w:sz="8" w:color="CFF0FC"/>
            </w:tcBorders>
          </w:tcPr>
          <w:p>
            <w:pPr>
              <w:spacing w:after="0"/>
              <w:rPr>
                <w:sz w:val="24"/>
                <w:szCs w:val="24"/>
                <w:color w:val="auto"/>
              </w:rPr>
            </w:pPr>
          </w:p>
        </w:tc>
        <w:tc>
          <w:tcPr>
            <w:tcW w:w="326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111</w:t>
            </w: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-1071245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designated all investments, which include U.S. Treasury securities, U.S. Non-Treasury securities, commercial paper, and corporate debt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December 31, 2024, the Company classifies its available-for-sale securities as short-term investments or long-term investments based on the remaining contractual maturity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5316855</wp:posOffset>
            </wp:positionH>
            <wp:positionV relativeFrom="paragraph">
              <wp:posOffset>-989330</wp:posOffset>
            </wp:positionV>
            <wp:extent cx="285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 ended December 31, 2024, the Company did not recognize any impairment charges on its investments.</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Any unrealized losses on available-for-sale debt securities that are attributed to credit risk are recorded to the consolidated statements of operations and comprehensive loss through an allowance for credit losses.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Security</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Equity investments without readily determinable fair values are non-marketable equity securities. These are investments in certain equity securities of privately-held companies that do not provide the Company the ability to exercise significant influence. Such investments are accounted for under the measurement alternative in accordance with Accounting Standards Codification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Under the measurement alternative, equity investment is accounted for at cost, adjusted for impairment and changes resulting from observable price fluctuations in orderly transactions for the identical or a similar investment of the same issuer. The election is reassessed each reporting period to determine whether investment under the measurement alternative has readily determinable fair values, in which case it would no longer be eligible for this election.</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At each reporting period, the Company makes a qualitative assessment considering impairment indicators to evaluate whether the investment is impaired. If a qualitative assessment indicates the investment is impaired, the Company estimates the investment’s fair value in accordance with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If the fair value is less than the investment’s carrying value, an impairment charge is recorded in the consolidated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comprehensive loss equal to the difference between the carrying value and fair value.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As of December 31, 2024 and 2023, there were $0.1 million and $4,000 allowances for credit losses related to accounts receivable, respectively.</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using standard cost, which approximates actual cost on a first-in, first-out basis. Provisions for slow-moving, excess or obsolete inventories are recorded when required to reduce inventory values to their estimated net realizable values based on product expiration, development plans, or quality issues. The Company writes down specifically identified unusable, obsolete, slow-moving or known unsalable inventory in the period that it is first recognized by using a number of factors, including product expiration dates, open and unfulfilled orders and sales forecasts.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consolidated statements of operations and comprehensive loss.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is recorded using the straight-line method over the estimated useful lives of the assets. Estimated useful lives are as follows: laboratory equipment and furniture and fixtures - five years, and computer equipment and software - three years. Leasehold improvements are capitalized and amortized over the shorter of the lease term or the estimated useful life of the related asset. Major replacements and improvements are capitalized, while general repairs and maintenance are expensed as incurred. When assets are retired or otherwise disposed of, the cost and related accumulated depreciation and amortization are removed from the consolidated balance sheet and any resulting gain or loss is included as a part of other expense within the consolidated statements of operations and comprehensive loss.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capitalizes certain internal and external costs incurred to develop internal-use software. The costs incurred in the preliminary stages of development are expensed as incurred. Once an application has reached the development stage, costs incurred are capitalized. Capitalized costs include external consulting fees, payroll and payroll-related costs and stock-based compensation for employees who are directly associated with, and who devote time to, the Company’s internal-use software project.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The Company amortizes capitalized internal-use software costs using the straight-line method over the estimated useful life of three years. Amortization of capitalized internal-use software is recorded in cost of revenue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and classifies each lease as operating, sales-type or finance lease.</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elected to not separate non-lease components from the associated lease components and to not recognize ROU assets and lease liabilities for leases with a term of twelve months or less. Variable lease payments are primarily related to common area maintenance, and are recognized as lease costs when incurred.</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generates revenue primarily from sales of products and services. The Company’s product, the Proteograph Product Suite, consists of an instrument with embedded software essential to the instrument's functionality and consumables. The service revenue primarily consists of revenue received from the generation and analysis of proteomic data on behalf of customers.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recognized when control of the product is transferred, which is generally upon shipment to the customer. Revenue from services is recognized once the report is delivered to a customer, which is when the customer obtains the benefit of the service.</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The Company’s contracts with its customers generally do not include rights of return.</w:t>
      </w:r>
    </w:p>
    <w:p>
      <w:pPr>
        <w:spacing w:after="0" w:line="12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Grant and Other Revenue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 portion of the Company’s revenue relates to lease arrangements. Standalone lease arrangements are outside the scope of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and are therefore accounted for in accordance with ASC 842,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The total consideration in a lease arrangement is allocated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lease and non-lease components on their relative standalone selling prices. The standalone selling price is based on the price the Company would separately sell that promised good or service to a customer. If a standalone price is not available for a component, it is estimated using the best information available.</w:t>
      </w:r>
    </w:p>
    <w:p>
      <w:pPr>
        <w:spacing w:after="0" w:line="13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determining whether a transaction should be classified as a sales-type or operating lease, the Company considered the following criteria at lease commencement: (1) whether title of the instrument transfers automatically or for a</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spacing w:after="0" w:line="1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Shipping revenue is recognized when control of the product is transferred to the customer. The related shipping and handling costs are included in the cost of revenue.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Company utilizes third-party manufacturers for production of SP100 instrument and it manufactures the nanoparticles and assembles the assay kits internally. Cost of revenue consists primarily of costs of the components of the Proteograph Product Suite, including the SP100 instrument and consumables, cost of services related to the generation and analysis of proteomic data on behalf of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costs associated with research and development of the Company’s technology and product candidates. Research and development expenses primarily consist of employee compensation, including stock-based compensation and employee benefits, laboratory supplies used for in-house research, consulting costs, and allocated costs, including rent, depreciation, information technology and utilities.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employee compensation, including stock-based compensation, and benefits for executive management, sales and marketing, finance, administrative, human resources, legal functions, allocated costs, professional service fees and other general overhead costs to support the Company's operations.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relates to stock options with service-based vesting conditions, stock options with market-based vesting conditions, stock purchase rights under the employee stock purchase plan (ESPP), restricted common stock awards (RSAs) and restricted stock units (RSUs). All awards are measured at fair value on grant date and forfeitures are recognized as they occur.</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with service conditions and stock purchase rights under our ESPP on the grant date is determined using the Black-Scholes option pricing model. The fair value of the awards is recognized as expense on a straight-line basis over the requisite service period in which the awards are expected to vest.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Black-Scholes option pricing model considers several variables and assumptions in estimating the fair value of service-based stock options and stock purchase rights under the ESPP. These variables include the per share fair value of the underlying common stock, expected term, expected volatility, risk-free interest rate and expected dividend yield over the expected term. For all service-based stock options granted, the Company calculates the expected term using the simplified method for “plain vanilla” stock option awards. For the expected volatility, the Company uses a blended rate based on the historical volatility of the stock price of its Class A common stock and average volatility of comparable publicly traded peer companies. The comparable companies were chosen based on their similar size, life cycle stage, or area of specialty. The risk-free interest rate is based on the yield available on U.S. Treasury zero-coupon issues in effect at the time of grant for periods corresponding with the expected term of the options. The expected dividend yield is assumed to be zero as the Company has never paid dividends and has no current plans to pay dividends on its common stock.</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stock options with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fair value of RSAs is the difference between the fair value of the underlying stock at the measurement date and the purchase price. The fair value of RSUs is the fair value of the underlying stock at the measurement date.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Class A Common Stock</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3, 2024, the Company’s Board of Directors approved a share repurchase program (the Share Repurchase Program) under which the Company is authorized to purchase (in the aggregate) up to $25.0 million of its issued and outstanding Class A common stock. Under the Share Repurchase Program, shares may be repurchased from time to time in open market transactions at prevailing market prices (including through Rule 10b5-1 plans), privately negotiated transactions, a combination thereof, or through other transactions. The actual timing, number, manner, and value of shares repurchased under the Share Repurchase Program will depend on the market price of its common stock, trading volume, general market conditions and other corporate and economic considerations. The Share Repurchase Program does not obligate the Company to repurchase any specific number of shares and may be modified, suspended or terminated at any time.</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records the share repurchase at cost based on the settlement date of the transaction. The shares repurchased are retired immediately and included in the category of authorized but unissued shares. The par value of the shares retired is charged against Class A common stock and the remaining purchase price is charged to additional paid-in capital. The total cost of the broker commissions is charged directly to additional paid-in capital.</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U.S. recently enacted the Inflation Reduction Act of 2022, which, among other changes, implements a 1% excise tax on certain stock buybacks, which would generally apply to net repurchases of stock by U.S. corporations. For the year ended December 31, 2024, the Company recorded $0.1 million for excise tax on net repurchases.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liability that is more likely than 50 percent to be realized. Interest and penalties related to unrecognized tax benefits are included within the provision for income tax. For the years ended December 31, 2024 and 2023, there were no interest and penalties.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also considers any shares issued 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losses.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171" w:lineRule="exact"/>
        <w:rPr>
          <w:sz w:val="20"/>
          <w:szCs w:val="20"/>
          <w:color w:val="auto"/>
        </w:rPr>
      </w:pPr>
    </w:p>
    <w:p>
      <w:pPr>
        <w:ind w:left="1600" w:right="180" w:hanging="841"/>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280): Improvements to Reportable Segment Disclosures</w:t>
      </w:r>
      <w:r>
        <w:rPr>
          <w:rFonts w:ascii="Times New Roman" w:cs="Times New Roman" w:eastAsia="Times New Roman" w:hAnsi="Times New Roman"/>
          <w:sz w:val="18"/>
          <w:szCs w:val="18"/>
          <w:color w:val="auto"/>
        </w:rPr>
        <w:t>, which requires all public entities, including public entities with a single reportable segment,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w:t>
      </w:r>
    </w:p>
    <w:p>
      <w:pPr>
        <w:spacing w:after="0" w:line="13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adopted ASU 2023-07 effective December 31, 2024, on a retrospective basis. Refer to Note 14 for further information on the Company's reportable segment.</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requirements of the ASU are effective for annual periods beginning after December 15, 2024, with early adoption permitted. The Company is currently in the process of evaluating the impact of this pronouncement on its consolidated financial statements and related disclosures.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which requires public business entities to disclose in the notes to the financial statements, among other things, specific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impact the new accounting standard will have on its expense disclosures in the notes to the consolidated financial statements and related disclosures.</w:t>
      </w:r>
    </w:p>
    <w:p>
      <w:pPr>
        <w:spacing w:after="0" w:line="13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continues to monitor new accounting pronouncements issued by the FASB and does not believe any accounting pronouncements issued through the date of this report will have a material impact on the Company’s consolidated financial statements.</w:t>
      </w:r>
    </w:p>
    <w:p>
      <w:pPr>
        <w:spacing w:after="0" w:line="320"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that were measured at fair value on a recurring basis by level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9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r>
      <w:tr>
        <w:trPr>
          <w:trHeight w:val="210"/>
        </w:trPr>
        <w:tc>
          <w:tcPr>
            <w:tcW w:w="4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cash equivalents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1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120" w:type="dxa"/>
            <w:vAlign w:val="bottom"/>
          </w:tcPr>
          <w:p>
            <w:pPr>
              <w:spacing w:after="0"/>
              <w:rPr>
                <w:sz w:val="18"/>
                <w:szCs w:val="18"/>
                <w:color w:val="auto"/>
              </w:rPr>
            </w:pPr>
          </w:p>
        </w:tc>
      </w:tr>
      <w:tr>
        <w:trPr>
          <w:trHeight w:val="250"/>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262,951</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331"/>
        </w:trPr>
        <w:tc>
          <w:tcPr>
            <w:tcW w:w="4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9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cash equivalents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225,180</w:t>
            </w: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Non-Treasury securities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2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85,316</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1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340,583</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340,583</w:t>
            </w:r>
          </w:p>
        </w:tc>
        <w:tc>
          <w:tcPr>
            <w:tcW w:w="120" w:type="dxa"/>
            <w:vAlign w:val="bottom"/>
          </w:tcPr>
          <w:p>
            <w:pPr>
              <w:spacing w:after="0"/>
              <w:rPr>
                <w:sz w:val="18"/>
                <w:szCs w:val="18"/>
                <w:color w:val="auto"/>
              </w:rPr>
            </w:pPr>
          </w:p>
        </w:tc>
      </w:tr>
      <w:tr>
        <w:trPr>
          <w:trHeight w:val="250"/>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9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347,118</w:t>
            </w:r>
          </w:p>
        </w:tc>
        <w:tc>
          <w:tcPr>
            <w:tcW w:w="112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369,764</w:t>
            </w:r>
          </w:p>
        </w:tc>
        <w:tc>
          <w:tcPr>
            <w:tcW w:w="120" w:type="dxa"/>
            <w:vAlign w:val="bottom"/>
            <w:shd w:val="clear" w:color="auto" w:fill="CFF0FC"/>
          </w:tcPr>
          <w:p>
            <w:pPr>
              <w:spacing w:after="0"/>
              <w:rPr>
                <w:sz w:val="21"/>
                <w:szCs w:val="21"/>
                <w:color w:val="auto"/>
              </w:rPr>
            </w:pPr>
          </w:p>
        </w:tc>
      </w:tr>
      <w:tr>
        <w:trPr>
          <w:trHeight w:val="844"/>
        </w:trPr>
        <w:tc>
          <w:tcPr>
            <w:tcW w:w="4080" w:type="dxa"/>
            <w:vAlign w:val="bottom"/>
            <w:tcBorders>
              <w:top w:val="single" w:sz="8" w:color="CFF0FC"/>
            </w:tcBorders>
          </w:tcPr>
          <w:p>
            <w:pPr>
              <w:spacing w:after="0"/>
              <w:rPr>
                <w:sz w:val="24"/>
                <w:szCs w:val="24"/>
                <w:color w:val="auto"/>
              </w:rPr>
            </w:pPr>
          </w:p>
        </w:tc>
        <w:tc>
          <w:tcPr>
            <w:tcW w:w="17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-3531235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-3531235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-3531235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-3531235</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-3239770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-3222625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-3239770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-3222625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-3239770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-3222625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-3239770</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-3222625</wp:posOffset>
            </wp:positionV>
            <wp:extent cx="774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-2193925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-2193925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-2193925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-2193925</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-1362075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-1362075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-1362075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-1071245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-1071245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-1053465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accounts receivable, other receivables, prepaid expenses and other current assets, accounts payable and accrued expenses approximate fair value due to their short maturities.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cash equivalents and investments and the gross unrealized holding gains and losses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9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cash equivalents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150,095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96,302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298,912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9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cash equivalents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225,517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Non-Treasury securities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340,777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369,956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369,764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4080" w:type="dxa"/>
            <w:vAlign w:val="bottom"/>
            <w:tcBorders>
              <w:top w:val="single" w:sz="8" w:color="CFF0FC"/>
            </w:tcBorders>
          </w:tcPr>
          <w:p>
            <w:pPr>
              <w:spacing w:after="0"/>
              <w:rPr>
                <w:sz w:val="24"/>
                <w:szCs w:val="24"/>
                <w:color w:val="auto"/>
              </w:rPr>
            </w:pPr>
          </w:p>
        </w:tc>
        <w:tc>
          <w:tcPr>
            <w:tcW w:w="17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-3625215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-3625215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-3625215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-3333750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-3316605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-3333750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-3316605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-3316605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-3333750</wp:posOffset>
            </wp:positionV>
            <wp:extent cx="7747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-3316605</wp:posOffset>
            </wp:positionV>
            <wp:extent cx="774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-2193925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-2193925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-2193925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-2193925</wp:posOffset>
            </wp:positionV>
            <wp:extent cx="774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-1362075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-1362075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-1362075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-1071245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-1071245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-1053465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December 31, 2024 and 2023, unrealized losses on available-for-sale investments are not attributable to credit risk and are considered to be temporary. As of December 31, 2024, approximately $29.6 million of the Company's investments have been in a continuous unrealized loss position for twelve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2024, $63.1 million of available-for-sale investments had remaining maturities between one and two years. The remainder of the available-for-sale investments have a remaining maturity of one year or less. As of December 31, 2024 and 2023, the Company recorded $1.9 million and $1.3 million of accrued interest, respectively, related to its available-for-sale investments and is presented as other receivables on the 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 FINANCIAL STATEMENT INFORMATION</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74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(16,814 )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(12,539 )</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-2176780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recognized depreciation and amortization expense of $6.2 million and $5.6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720" w:type="dxa"/>
            <w:vAlign w:val="bottom"/>
          </w:tcPr>
          <w:p>
            <w:pPr>
              <w:spacing w:after="0"/>
              <w:rPr>
                <w:sz w:val="17"/>
                <w:szCs w:val="17"/>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7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DEFERRED REVENUE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Product revenue consists of instruments with embedded software essential to the instrument's functionality and consumables. Service revenue primarily consists of revenue received from the generation and analysis of proteomic data on behalf of customers. Related party revenue is comprised of both the sale of products and services performed for related parties, as further discussed in Note 11. Grant and other revenue consists of grant revenue from services performed specifically for the reimbursement of research-related expenses and other revenue which relates to shipping revenue and lease arrangements, as further discussed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activity for the years ended December 31, 2024 and 2023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 as of the beginning of period</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0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(577 )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(742 )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 as of the end of period</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deferred revenue and non-cancelable amounts that will be invoiced and recognized as revenue in future periods. As of December 31, 2024, $0.5 million of revenue is expected to be recognized from the remaining performance obligations, of which 96% is expected to be recognized within twelve months.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Grant and Other Revenue</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Since August 2019, the Company received total funding of $2.0 million from a Small Business Innovation Research grant award from the National Institutes of Health for its development of research applications. For the years ended December 31, 2024 and 2023, the Company recognized nil and $1.1 million of grant revenue, respectively, with respect to the award.</w:t>
      </w:r>
    </w:p>
    <w:p>
      <w:pPr>
        <w:spacing w:after="0" w:line="118"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AND STOCKHOLDERS’ EQUITY</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is authorized to issue 105,000,000 shares of capital stock consisting of 94,000,000 shares of Class A common stock, 6,000,000 shares of Class B common stock, and 5,000,000 shares of preferred stock.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The Class B common stock will also automatically convert into Class A common stock on December 9, 2025. Holders of common stock are entitled to dividends as declared by the Board of Directors, subject to rights of holders of all classes of stock outstanding having priority rights as to dividends. There have been no dividends declared to date.</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Common stock issued and outstanding on the consolidated balance sheets and consolidated statements of changes in stockholders' equity includes shares related to early exercised options and restricted stock that are subject to repurchase.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share repurchase activity under the Share Repurchase Program for the fiscal year 2024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jc w:val="right"/>
              <w:ind w:right="1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780" w:type="dxa"/>
            <w:vAlign w:val="bottom"/>
            <w:shd w:val="clear" w:color="auto" w:fill="CFF0FC"/>
          </w:tcPr>
          <w:p>
            <w:pPr>
              <w:spacing w:after="0"/>
              <w:rPr>
                <w:sz w:val="18"/>
                <w:szCs w:val="18"/>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6,470,102</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Total cost </w:t>
            </w:r>
            <w:r>
              <w:rPr>
                <w:rFonts w:ascii="Times New Roman" w:cs="Times New Roman" w:eastAsia="Times New Roman" w:hAnsi="Times New Roman"/>
                <w:sz w:val="24"/>
                <w:szCs w:val="24"/>
                <w:color w:val="auto"/>
                <w:vertAlign w:val="superscript"/>
              </w:rPr>
              <w:t>(1)</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Average per share cost </w:t>
            </w:r>
            <w:r>
              <w:rPr>
                <w:rFonts w:ascii="Times New Roman" w:cs="Times New Roman" w:eastAsia="Times New Roman" w:hAnsi="Times New Roman"/>
                <w:sz w:val="24"/>
                <w:szCs w:val="24"/>
                <w:color w:val="auto"/>
                <w:vertAlign w:val="superscript"/>
              </w:rPr>
              <w:t>(2)</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r>
    </w:tbl>
    <w:p>
      <w:pPr>
        <w:spacing w:after="0" w:line="204" w:lineRule="exact"/>
        <w:rPr>
          <w:sz w:val="20"/>
          <w:szCs w:val="20"/>
          <w:color w:val="auto"/>
        </w:rPr>
      </w:pPr>
    </w:p>
    <w:p>
      <w:pPr>
        <w:ind w:left="300" w:hanging="292"/>
        <w:spacing w:after="0"/>
        <w:tabs>
          <w:tab w:leader="none" w:pos="300"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broker commissions and excludes excise tax.</w:t>
      </w:r>
    </w:p>
    <w:p>
      <w:pPr>
        <w:spacing w:after="0" w:line="72" w:lineRule="exact"/>
        <w:rPr>
          <w:rFonts w:ascii="Times New Roman" w:cs="Times New Roman" w:eastAsia="Times New Roman" w:hAnsi="Times New Roman"/>
          <w:sz w:val="19"/>
          <w:szCs w:val="19"/>
          <w:color w:val="auto"/>
          <w:vertAlign w:val="superscript"/>
        </w:rPr>
      </w:pPr>
    </w:p>
    <w:p>
      <w:pPr>
        <w:ind w:left="300" w:hanging="292"/>
        <w:spacing w:after="0" w:line="201" w:lineRule="auto"/>
        <w:tabs>
          <w:tab w:leader="none" w:pos="300"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is calculated on a settlement basis and excludes broker commissions and excise tax.</w:t>
      </w:r>
    </w:p>
    <w:p>
      <w:pPr>
        <w:spacing w:after="0" w:line="12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a total of $13.2 million, excluding broker commissions and excise tax, available under the current authorization for additional share repurchases.</w:t>
      </w:r>
    </w:p>
    <w:p>
      <w:pPr>
        <w:spacing w:after="0" w:line="104"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2017, the Company adopted the 2017 Stock Incentive Plan (2017 Plan), which provided for the granting of awards to employees, directors, and consultants of the Company. Awards issuable under the 2017 Plan included incentive stock options (ISOs), nonqualified stock options (NSOs), and restricted stock awards. In 2020, the Company adopted the 2020 RSU Equity Incentive Plan (2020 RSU Plan), which provided for the granting of RSUs to employees and consultants of the Company and any parent or subsidiary of the Company and members of our board of directors.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2020, the Company adopted the 2020 Equity Incentive Plan (2020 Plan), which became effective in connection with the IPO. Awards issuable under the 2020 Plan include ISOs, NSOs, restricted stock awards, RSUs, stock appreciation rights and performance awards, to employees and consultants of the Company or any parent or subsidiary of the Company and members of our board of directors. The Company’s 2017 Plan and 2020 RSU Plan were terminated in connection with the IPO and no further grants will be made under the 2017 Plan and 2020 RSU Plan from the date that the 2020 Plan became effective.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Option Repricing</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4, 2024 (the Effective Date), the Board of Directors approved an option repricing. The repricing applied to nonstatutory stock options to purchase shares of the Company’s Class A common stock that (i) were granted to employees under the Company’s 2020 Plan or the 2017 Plan (together with the 2020 Plan, the Plans) and applicable award agreements thereunder; (ii) as of the Effective Date, were held by continuing employees; and (iii) had an exercise price per share greater than $2.00.</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new exercise price for repriced options is $2.00 per share, the closing price of the Company’s Class A common stock on the Effective Date. However, if an employee exercises a repriced option before the end of the Retention Period, the period that begins on the Effective Date and ends on the earliest of the following: (i) April 4, 2026; (ii) a Change in Control (as defined in the 2020 Plan); and (iii) the optionholder’s death or Disability (as defined in the 2020 Plan), such employee will be required to pay a premium exercise price that is equal to the original exercise price per share of such repriced option. In addition, certain option awards granted in 2023 with market conditions were amended to have an exercise price of $2.00 and stock price hurdle amount of $3.00 per share. There was no change to the expiration dates or service-based vesting criteria, or number of shares, and such options remain subject to the terms of the applicable Plans and award agreements.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the service-based stock options, the repricing resulted in a total incremental stock-based compensation expense of $2.5 million, which was calculated using the Black-Scholes option pricing model, of which $2.1 million is associated with vested repriced options and will be recognized on a straight-line basis through the Retention Period. The remaining $0.4 million of the incremental stock-based compensation expense is associated with unvested repriced options and will be recognized as follows: (a) if the Retention Period is greater than the remaining original vesting period of the repriced option, the incremental cost will be amortized on a straight-line basis through the Retention Period or (b) if the Retention Period is less than the remaining original vesting term of the repriced option, the incremental costs will be amortized on a straight-line basis over the remaining original vesting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the Company recorded $0.4 million of incremental stock-based compensation expense.</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2023 market condition options, the repricing resulted in a total incremental compensation expense of $0.2 million, which was calculated using a lattice-binomial option pricing model based on a Monte Carlo simulation.</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Stock options to purchase the Company’s Class A common stock may be granted at a per share exercise price not less than the fair market value of a share of the Company’s Class A common stock at the date of grant in the case of both NSOs and ISOs, except for grants of ISOs to an employee who owns more than 10% of the voting power of all classes of stock of the Company or any parent or subsidiary of the Company, in which case the per share exercise price shall be no less than 110% of the fair market value per Class A common stock on the grant date. Stock options granted under the 2017 Plan and 2020 Plan generally vest over four years and expire no later than 10 years from the date of grant. 5,336,569 shares of Class A common stock were initially reserved for issuance under the 2020 Plan, which includes 516,710 shares that remained available for issuance under the 2017 Plan. Additional shares subject to certain equity awards that otherwise would have returned to the 2017 Plan or the 2020 RSU Plan may become available for issuance under the 2020 Plan. The 2020 Plan also provides for an annual, automatic increase in the number of shares of the Company’s Class A common stock reserved for issuance under the 2020 Plan as of the first day of each fiscal year of the Company beginning with the Company’s 2021 fiscal year, in an amount equal to the least of (a) 9,037,149 shares, (b) a number of shares equal to 5% of the total number of shares of all classes of common stock of the Company outstanding on the last day of the immediately preceding fiscal year, or (c) such number of shares determined by the administrator of the 2020 Plan prior to the date of such share increase. As of December 31, 2024, there are 17,785,881 shares of Class A common stock reserved for issuance under the 2020 Plan, 4,472,288 shares of which are available for issuance in connection with grants of future awards.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 ended December 31, 2024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vMerge w:val="restart"/>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22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11,945,032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3,632,057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(6,502 )</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(2,372,355 )</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13,198,232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exercisable, December 31, 2024</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7,654,143</w:t>
            </w:r>
          </w:p>
        </w:tc>
        <w:tc>
          <w:tcPr>
            <w:tcW w:w="240" w:type="dxa"/>
            <w:vAlign w:val="bottom"/>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3.34</w:t>
            </w: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-187960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The weighted-average grant date fair value of stock options granted to employees during the years ended December 31, 2024 and 2023, was $1.37 and $4.19 per share, respectively. The total intrinsic value of stock options exercised during the years ended December 31, 2024 and 2023, was $11,000 and $0.5 million, respectively. As of December 31, 2024, the total unrecognized stock-based compensation related to unvested stock options, excluding incremental expense from repricing, was $7.9 million, which the Company expects to recognize over a remaining weighted-average period of 1.3 years.</w:t>
      </w:r>
    </w:p>
    <w:p>
      <w:pPr>
        <w:spacing w:after="0" w:line="1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to employees, directors, and non-employees that are calculated using the Black-Scholes option pricing model using the following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5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6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- 4.7%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- 4.7%</w:t>
            </w:r>
          </w:p>
        </w:tc>
        <w:tc>
          <w:tcPr>
            <w:tcW w:w="100" w:type="dxa"/>
            <w:vAlign w:val="bottom"/>
            <w:shd w:val="clear" w:color="auto" w:fill="CFF0FC"/>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 - 88.8%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 - 83.5%</w:t>
            </w:r>
          </w:p>
        </w:tc>
        <w:tc>
          <w:tcPr>
            <w:tcW w:w="100" w:type="dxa"/>
            <w:vAlign w:val="bottom"/>
          </w:tcPr>
          <w:p>
            <w:pPr>
              <w:spacing w:after="0"/>
              <w:rPr>
                <w:sz w:val="18"/>
                <w:szCs w:val="18"/>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5.77 - 6.08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5.77 - 6.08</w:t>
            </w:r>
          </w:p>
        </w:tc>
        <w:tc>
          <w:tcPr>
            <w:tcW w:w="100" w:type="dxa"/>
            <w:vAlign w:val="bottom"/>
            <w:shd w:val="clear" w:color="auto" w:fill="CFF0FC"/>
          </w:tcPr>
          <w:p>
            <w:pPr>
              <w:spacing w:after="0"/>
              <w:rPr>
                <w:sz w:val="18"/>
                <w:szCs w:val="18"/>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0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846"/>
        </w:trPr>
        <w:tc>
          <w:tcPr>
            <w:tcW w:w="3640" w:type="dxa"/>
            <w:vAlign w:val="bottom"/>
          </w:tcPr>
          <w:p>
            <w:pPr>
              <w:spacing w:after="0"/>
              <w:rPr>
                <w:sz w:val="24"/>
                <w:szCs w:val="24"/>
                <w:color w:val="auto"/>
              </w:rPr>
            </w:pPr>
          </w:p>
        </w:tc>
        <w:tc>
          <w:tcPr>
            <w:tcW w:w="40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126</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 Options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February 2024, the Company granted options to certain Company executives to purchase an aggregate of 1,896,901 shares of the Company’s Class A common stock, with vesting subject to market conditions (Market Condition Options). The granted options are further divided into 1,032,901 shares granted to the Chief Executive Officer (the CEO Award) and 864,000 shares of executive awards. The Market Condition Options become eligible to vest if the average of the closing sales prices of a share of Class A common stock over a trailing twenty trading day period within seven years from the date of grant reaches a stock price of $5.31 per share (the Market Price Milestone) for the CEO Award and $3.54 per share (a Market Price Milestone) for the executive awards, respectively.</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2023, the Company granted options to certain Company executives to purchase an aggregate of 1,794,000 shares of the Company’s Class A common stock, with vesting subject to market conditions. These Market Condition Options become eligible to vest if the average of the closing sales prices of a share of Class A common stock over a trailing twenty trading day period within seven years from the date of grant reaches a stock price of $6.89 per share (also a Market Price Milestone). After the repricing, the modified stock price hurdle is $3.00 per share.</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each of the above Market Condition Options,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control price), and if the Market Price Milestone is achieved on that basis, each Market Condition Option will vest in full as of immediately prior to the change in control, subject to the recipient’s continued service as of immediately prior to the change in control.</w:t>
      </w:r>
    </w:p>
    <w:p>
      <w:pPr>
        <w:spacing w:after="0" w:line="13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Compensation expense is recognized using an accelerated attribution method based on the derived service periods for each of the Market Condition Options. Failure to meet the Market Price Milestone for an award does not result in reversal of previously recognized expense, so long as the service is provided for the duration of the respective derived service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Market Condition Options, the following assumptions were used to determine the grant date fair value: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7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7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84.80 %</w:t>
            </w: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7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5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5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r>
      <w:tr>
        <w:trPr>
          <w:trHeight w:val="864"/>
        </w:trPr>
        <w:tc>
          <w:tcPr>
            <w:tcW w:w="4160" w:type="dxa"/>
            <w:vAlign w:val="bottom"/>
          </w:tcPr>
          <w:p>
            <w:pPr>
              <w:spacing w:after="0"/>
              <w:rPr>
                <w:sz w:val="24"/>
                <w:szCs w:val="24"/>
                <w:color w:val="auto"/>
              </w:rPr>
            </w:pPr>
          </w:p>
        </w:tc>
        <w:tc>
          <w:tcPr>
            <w:tcW w:w="578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rPr>
              <w:t>127</w:t>
            </w:r>
          </w:p>
        </w:tc>
        <w:tc>
          <w:tcPr>
            <w:tcW w:w="1300" w:type="dxa"/>
            <w:vAlign w:val="bottom"/>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2023 Market Condition Options, the following assumptions were used to determine the grant date fair value: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Original Assumptions</w:t>
            </w:r>
          </w:p>
        </w:tc>
        <w:tc>
          <w:tcPr>
            <w:tcW w:w="360" w:type="dxa"/>
            <w:vAlign w:val="bottom"/>
          </w:tcPr>
          <w:p>
            <w:pPr>
              <w:spacing w:after="0"/>
              <w:rPr>
                <w:sz w:val="15"/>
                <w:szCs w:val="15"/>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Modified Assumptions</w:t>
            </w:r>
          </w:p>
        </w:tc>
        <w:tc>
          <w:tcPr>
            <w:tcW w:w="180" w:type="dxa"/>
            <w:vAlign w:val="bottom"/>
          </w:tcPr>
          <w:p>
            <w:pPr>
              <w:spacing w:after="0"/>
              <w:rPr>
                <w:sz w:val="15"/>
                <w:szCs w:val="15"/>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3.94 %</w:t>
            </w:r>
          </w:p>
        </w:tc>
        <w:tc>
          <w:tcPr>
            <w:tcW w:w="6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3.89 %</w:t>
            </w: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83.10 %</w:t>
            </w:r>
          </w:p>
        </w:tc>
        <w:tc>
          <w:tcPr>
            <w:tcW w:w="6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81.92 %</w:t>
            </w: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60" w:type="dxa"/>
            <w:vAlign w:val="bottom"/>
          </w:tcPr>
          <w:p>
            <w:pPr>
              <w:spacing w:after="0"/>
              <w:rPr>
                <w:sz w:val="18"/>
                <w:szCs w:val="18"/>
                <w:color w:val="auto"/>
              </w:rPr>
            </w:pPr>
          </w:p>
        </w:tc>
        <w:tc>
          <w:tcPr>
            <w:tcW w:w="62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 hurdle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FF0FC"/>
          </w:tcPr>
          <w:p>
            <w:pPr>
              <w:spacing w:after="0"/>
              <w:rPr>
                <w:sz w:val="18"/>
                <w:szCs w:val="18"/>
                <w:color w:val="auto"/>
              </w:rPr>
            </w:pP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60" w:type="dxa"/>
            <w:vAlign w:val="bottom"/>
          </w:tcPr>
          <w:p>
            <w:pPr>
              <w:spacing w:after="0"/>
              <w:rPr>
                <w:sz w:val="20"/>
                <w:szCs w:val="20"/>
                <w:color w:val="auto"/>
              </w:rPr>
            </w:pPr>
          </w:p>
        </w:tc>
        <w:tc>
          <w:tcPr>
            <w:tcW w:w="62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20"/>
                <w:szCs w:val="20"/>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the Company recognized compensation expense of $1.8 million and $2.4 million, respectively.</w:t>
      </w:r>
    </w:p>
    <w:p>
      <w:pPr>
        <w:spacing w:after="0" w:line="17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of December 31, 2024, $1.4 million of unrecognized compensation cost related to unvested 2024 Market Condition Options is expected to be recognized as expense over a remaining weighted-average period of 2.4 years.</w:t>
      </w:r>
    </w:p>
    <w:p>
      <w:pPr>
        <w:spacing w:after="0" w:line="10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of December 31, 2024, $1.0 million of unrecognized compensation cost related to unvested 2023 Market Condition Options is expected to be recognized as expense over a remaining weighted-average period of 2.8 years.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stock options granted under the 2017 Plan provide stock option holders the right to exercise unvested stock options in exchange for restricted shares of Class A common stock. The Company has also issued restricted shares of Class A common stock under the 2020 Plan to employees and directors. There were no shares and 1,023 shares of restricted stock that were unvested and subject to repurchase as of December 31, 2024 and 2023, respectively.</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granted RSUs under the 2020 RSU Plan and the 2020 Plan. Restricted stock units (RSUs)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fair value of the RSUs is equal to the closing price of the Company’s common stock on the grant date. The RSUs generally vest over four years from the vesting start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activity for the year ended December 31, 2024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3,680,076</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3,012,793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(1,078,789 )</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(1,163,639 )</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4,450,441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related to RSUs was $11.7 million, which the Company expects to recognize over a remaining weighted-average period of 2.5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November 2020, the Company’s board of directors adopted the 2020 Employee Stock Purchase Plan (ESPP), which was subsequently approved by the Company’s stockholders and became effective in connection with the IPO. The ESPP permits participants to purchase common stock through payroll deductions of up to 15% of their eligible compensation.</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total of 602,570 shares of Class A common stock initially were reserved for issuance under the ESPP. The ESPP provides for an annual, automatic increase in the number of shares of the Company’s Class A common stock reserved for issuance under the ESPP as of the first day of each fiscal year of the Company beginning with the Company’s 2021 fiscal year, in an amount equal to the least of (a) 1,807,476 shares, (b) a number of shares equal to 1% of the total number of shares of all classes of common stock of the Company outstanding on the last day of the immediately preceding fiscal year, or (c) such number of shares determined by the administrator of the ESPP prior to the date of such share increase.</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total of 2,258,196 shares of Class A common stock are reserved for issuance under the ESPP as of December 31, 2024. During the year ended December 31, 2024, 214,227 shares of Class A common stock were issued under the ESPP. As of December 31, 2024, the total unrecognized stock-based compensation related to the ESPP was $0.1 million, which the Company expects to recognize over a remaining weighted-average period of 0.4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ESPP shares is estimated using the Black-Scholes option pricing model, based on the following assumptions: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5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68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- 5.4%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- 5.4%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- 66.3%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 - 97.3%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recognized in the Company’s consolidated statements of operations and comprehensive loss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28,207</w:t>
            </w:r>
          </w:p>
        </w:tc>
        <w:tc>
          <w:tcPr>
            <w:tcW w:w="12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sponsors a qualified 401(k) defined contribution plan covering eligible employees. Participants may contribute a portion of their annual compensation limited to a maximum annual amount set by the Internal Revenue Service. In 2022, the Company implemented a 401(k) match program. For the fiscal years ended 2024 and 2023, the Company contributed $0.6 million and $0.4 million to the 401(k) plan,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each of December 31, 2024 and 2023, which is secured by restricted cash and is presented as noncurrent at each date based on the term of the underlying lease. In addition, the Company leases approximately 6,000 square of office space in San Diego, California under a lease that runs through September 2024. The Company entered into a lease for approximately 3,500 square of office space in San Diego, California that runs from October 2024 through July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and supplemental information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2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4,061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3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7"/>
              </w:rPr>
              <w:t>7.8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7"/>
              </w:rPr>
              <w:t>8.7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300" w:type="dxa"/>
            <w:vAlign w:val="bottom"/>
          </w:tcPr>
          <w:p>
            <w:pPr>
              <w:spacing w:after="0"/>
              <w:rPr>
                <w:sz w:val="20"/>
                <w:szCs w:val="20"/>
                <w:color w:val="auto"/>
              </w:rPr>
            </w:pPr>
          </w:p>
        </w:tc>
        <w:tc>
          <w:tcPr>
            <w:tcW w:w="1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w w:val="95"/>
              </w:rPr>
              <w:t>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-842645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-842645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costs primarily consist of common area maintenance.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 (in thousands):</w:t>
      </w:r>
    </w:p>
    <w:p>
      <w:pPr>
        <w:spacing w:after="0" w:line="16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7620</wp:posOffset>
            </wp:positionV>
            <wp:extent cx="216852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ind w:left="836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tbl>
      <w:tblPr>
        <w:tblLayout w:type="fixed"/>
        <w:tblInd w:w="0" w:type="dxa"/>
        <w:tblCellMar>
          <w:top w:w="0" w:type="dxa"/>
          <w:left w:w="0" w:type="dxa"/>
          <w:bottom w:w="0" w:type="dxa"/>
          <w:right w:w="0" w:type="dxa"/>
        </w:tblCellMar>
      </w:tblP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8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obtained in exchange for right-of-use assets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future minimum commitments under the Company’s non-cancelable facility operating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r>
      <w:tr>
        <w:trPr>
          <w:trHeight w:val="210"/>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2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20" w:type="dxa"/>
            <w:vAlign w:val="bottom"/>
          </w:tcPr>
          <w:p>
            <w:pPr>
              <w:spacing w:after="0"/>
              <w:rPr>
                <w:sz w:val="18"/>
                <w:szCs w:val="18"/>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20" w:type="dxa"/>
            <w:vAlign w:val="bottom"/>
          </w:tcPr>
          <w:p>
            <w:pPr>
              <w:spacing w:after="0"/>
              <w:rPr>
                <w:sz w:val="18"/>
                <w:szCs w:val="18"/>
                <w:color w:val="auto"/>
              </w:rPr>
            </w:pPr>
          </w:p>
        </w:tc>
      </w:tr>
      <w:tr>
        <w:trPr>
          <w:trHeight w:val="210"/>
        </w:trPr>
        <w:tc>
          <w:tcPr>
            <w:tcW w:w="8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32,940</w:t>
            </w:r>
          </w:p>
        </w:tc>
        <w:tc>
          <w:tcPr>
            <w:tcW w:w="12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 for minimum lease commitments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(6,976 )</w:t>
            </w:r>
          </w:p>
        </w:tc>
      </w:tr>
      <w:tr>
        <w:trPr>
          <w:trHeight w:val="250"/>
        </w:trPr>
        <w:tc>
          <w:tcPr>
            <w:tcW w:w="8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a lessor, the Company has contracts for equipment leased to customers. The Company accounts for the non-lease component under the revenue recognition ASC 606 guidance and the lease component under ASC 842 guidance.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 For an arrangement that has been classified as an operating lease, revenue is recognized on a straight-line basis over the lease term.</w:t>
      </w:r>
    </w:p>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COMMITMENTS AND CONTINGENCIES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Obligations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certain purchase commitments related to its inventory management with certain manufacturing suppliers wherein the Company is required to purchase the amounts forecasted in a blanket purchase order within a certain time period. The Company also has certain contractual obligations for third-party technology used as part of the normal operations.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$4.5 million and $6.3 million as of December 31, 2024 and 2023, respectively.</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2024 and 2023, the Company does not have any material indemnification claims that were probable or reasonably possible and consequently has not recorded related liabilities.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not currently a party to any material legal proceedings.</w:t>
      </w:r>
    </w:p>
    <w:p>
      <w:pPr>
        <w:spacing w:after="0" w:line="10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tab/>
        <w:t>RELATED PARTY TRANSACTIONS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concluded that PrognomiQ is a variable interest entities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2020, the carrying value of the Company’s investment in PrognomiQ was reduced to nil after recognizing net losses based on its percentage of ownership in PrognomiQ.</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PrognomiQ constitutes a related party and, as of December 31, 2024 and 2023, the Company recorded $0.4 million and $0.6 million in related party receivables, respectively, on the consolidated balance sheets mainly due from product sales and service revenue. For the years ended December 31, 2024 and 2023, the Company recognized revenue of $2.5 million, of which $1.6 million was from product sales, and $4.7 million, of which $4.4 million was from product sales, respectively, from PrognomiQ and is presented as related party revenue on the consolidated statements of operations and comprehensive loss.</w:t>
      </w:r>
    </w:p>
    <w:p>
      <w:pPr>
        <w:spacing w:after="0" w:line="1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August 12, 2024, the Company entered into a preferred stock purchase agreement with PrognomiQ, pursuant to which the Company purchased $10.0 million of PrognomiQ's Series D Preferred Stock. The investment is accounted for as an equity security in accordance with ASC 321.</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2024, the carrying value of the investment was $7.4 million and is included in other assets on the consolidated balance sheets. The carrying value is adjusted by the Company's share in loss in the equity method investment. There were no impairment and recognized gains or losses to the carrying value for the year ended December 31, 2024.</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2022, a member of the Company’s Board of Directors served as a board member and an executive officer at a company that is a customer of the Company. There was no revenue recognized for each of the year ended December 31, 2024 and 2023. The Company has a contract for equipment leased to this customer that has been classified as a sales-type lease. As of December 31, 2024 and 2023, the lease receivables related to the sales-type lease is nil and $0.2 million, respectively. The lease receivables are presented as prepaid expenses and other current assets on the consolidated balance sheets.</w:t>
      </w:r>
    </w:p>
    <w:p>
      <w:pPr>
        <w:spacing w:after="0" w:line="1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NET LOSS PER SHARE ATTRIBUTABLE TO COMMON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Class A and Class B common stockholders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(86,599 )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(86,277 )</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attributable to Class A and Class B common stockholders, basic</w:t>
            </w:r>
          </w:p>
        </w:tc>
        <w:tc>
          <w:tcPr>
            <w:tcW w:w="4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62,348,012</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63,850,490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diluted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5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w:t>
            </w:r>
          </w:p>
        </w:tc>
        <w:tc>
          <w:tcPr>
            <w:tcW w:w="400" w:type="dxa"/>
            <w:vAlign w:val="bottom"/>
            <w:vMerge w:val="restart"/>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(1.39 )</w:t>
            </w:r>
          </w:p>
        </w:tc>
        <w:tc>
          <w:tcPr>
            <w:tcW w:w="680" w:type="dxa"/>
            <w:vAlign w:val="bottom"/>
            <w:vMerge w:val="restart"/>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stockholders, basic and diluted</w:t>
            </w:r>
          </w:p>
        </w:tc>
        <w:tc>
          <w:tcPr>
            <w:tcW w:w="400" w:type="dxa"/>
            <w:vAlign w:val="bottom"/>
            <w:vMerge w:val="continue"/>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2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2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A common stock options issued and outstanding</w:t>
            </w:r>
          </w:p>
        </w:tc>
        <w:tc>
          <w:tcPr>
            <w:tcW w:w="4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13,198,232</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11,945,032</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common stock subject to future vesting</w:t>
            </w:r>
          </w:p>
        </w:tc>
        <w:tc>
          <w:tcPr>
            <w:tcW w:w="2960" w:type="dxa"/>
            <w:vAlign w:val="bottom"/>
          </w:tcPr>
          <w:p>
            <w:pPr>
              <w:spacing w:after="0"/>
              <w:rPr>
                <w:sz w:val="18"/>
                <w:szCs w:val="18"/>
                <w:color w:val="auto"/>
              </w:rPr>
            </w:pPr>
          </w:p>
        </w:tc>
        <w:tc>
          <w:tcPr>
            <w:tcW w:w="23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4,450,441</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3,680,076</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ESPP shares to be issued</w:t>
            </w:r>
          </w:p>
        </w:tc>
        <w:tc>
          <w:tcPr>
            <w:tcW w:w="296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121,348</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254,385</w:t>
            </w:r>
          </w:p>
        </w:tc>
        <w:tc>
          <w:tcPr>
            <w:tcW w:w="100" w:type="dxa"/>
            <w:vAlign w:val="bottom"/>
          </w:tcPr>
          <w:p>
            <w:pPr>
              <w:spacing w:after="0"/>
              <w:rPr>
                <w:sz w:val="18"/>
                <w:szCs w:val="18"/>
                <w:color w:val="auto"/>
              </w:rPr>
            </w:pPr>
          </w:p>
        </w:tc>
      </w:tr>
      <w:tr>
        <w:trPr>
          <w:trHeight w:val="25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17,770,021</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15,880,516</w:t>
            </w:r>
          </w:p>
        </w:tc>
        <w:tc>
          <w:tcPr>
            <w:tcW w:w="100" w:type="dxa"/>
            <w:vAlign w:val="bottom"/>
            <w:shd w:val="clear" w:color="auto" w:fill="CFF0FC"/>
          </w:tcPr>
          <w:p>
            <w:pPr>
              <w:spacing w:after="0"/>
              <w:rPr>
                <w:sz w:val="21"/>
                <w:szCs w:val="21"/>
                <w:color w:val="auto"/>
              </w:rPr>
            </w:pPr>
          </w:p>
        </w:tc>
      </w:tr>
      <w:tr>
        <w:trPr>
          <w:trHeight w:val="845"/>
        </w:trPr>
        <w:tc>
          <w:tcPr>
            <w:tcW w:w="4720" w:type="dxa"/>
            <w:vAlign w:val="bottom"/>
            <w:tcBorders>
              <w:top w:val="single" w:sz="8" w:color="CFF0FC"/>
            </w:tcBorders>
          </w:tcPr>
          <w:p>
            <w:pPr>
              <w:spacing w:after="0"/>
              <w:rPr>
                <w:sz w:val="24"/>
                <w:szCs w:val="24"/>
                <w:color w:val="auto"/>
              </w:rPr>
            </w:pPr>
          </w:p>
        </w:tc>
        <w:tc>
          <w:tcPr>
            <w:tcW w:w="2960" w:type="dxa"/>
            <w:vAlign w:val="bottom"/>
            <w:tcBorders>
              <w:top w:val="single" w:sz="8" w:color="CFF0FC"/>
            </w:tcBorders>
          </w:tcPr>
          <w:p>
            <w:pPr>
              <w:jc w:val="right"/>
              <w:ind w:right="1830"/>
              <w:spacing w:after="0"/>
              <w:rPr>
                <w:sz w:val="20"/>
                <w:szCs w:val="20"/>
                <w:color w:val="auto"/>
              </w:rPr>
            </w:pPr>
            <w:r>
              <w:rPr>
                <w:rFonts w:ascii="Times New Roman" w:cs="Times New Roman" w:eastAsia="Times New Roman" w:hAnsi="Times New Roman"/>
                <w:sz w:val="18"/>
                <w:szCs w:val="18"/>
                <w:color w:val="auto"/>
              </w:rPr>
              <w:t>132</w:t>
            </w:r>
          </w:p>
        </w:tc>
        <w:tc>
          <w:tcPr>
            <w:tcW w:w="1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summarized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76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8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8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8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8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(248 )</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8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(248 )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5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the provision for income taxes to the actual income tax expense is as follows (in thousands):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4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376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(18,166 )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(18,118 )</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(2,492 )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(2,491 )</w:t>
            </w: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tax deduction over book expense</w:t>
            </w:r>
          </w:p>
        </w:tc>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8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(2,123 )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(2,323 )</w:t>
            </w: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28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(946 )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(655 )</w:t>
            </w:r>
          </w:p>
        </w:tc>
      </w:tr>
      <w:tr>
        <w:trPr>
          <w:trHeight w:val="24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845"/>
        </w:trPr>
        <w:tc>
          <w:tcPr>
            <w:tcW w:w="4920" w:type="dxa"/>
            <w:vAlign w:val="bottom"/>
          </w:tcPr>
          <w:p>
            <w:pPr>
              <w:spacing w:after="0"/>
              <w:rPr>
                <w:sz w:val="24"/>
                <w:szCs w:val="24"/>
                <w:color w:val="auto"/>
              </w:rPr>
            </w:pPr>
          </w:p>
        </w:tc>
        <w:tc>
          <w:tcPr>
            <w:tcW w:w="280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133</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-2914015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-2896870</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-1071245</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as of December 31, 2024 and 2023, are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50,602</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Accruals and reserves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and experimentation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97,260</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80,985</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(91,163 )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(74,026 )</w:t>
            </w:r>
          </w:p>
        </w:tc>
      </w:tr>
      <w:tr>
        <w:trPr>
          <w:trHeight w:val="216"/>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(5,849 )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(6,426 )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(5,849 )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(6,959 )</w:t>
            </w:r>
          </w:p>
        </w:tc>
      </w:tr>
      <w:tr>
        <w:trPr>
          <w:trHeight w:val="210"/>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-1285240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In the U.S, a significant piece of objective negative evidence evaluated was the cumulative loss incurred since the Company’s incorporation in 2017. Such objective evidence limits the ability to recognize the domestic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the Company’s projections for growth. For the years ended December 31, 2024 and 2023, the net changes in the net valuation allowance were an increase of $17.1 million and an increase of $19.0 million, respectively.</w:t>
      </w:r>
    </w:p>
    <w:p>
      <w:pPr>
        <w:spacing w:after="0" w:line="13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federal net operating loss carryforwards of approximately $182.3 million and $148.1 million, respectively, which will carryforward indefinitely for federal tax purposes. At December 31, 2024 and 2023, the Company had state net operating loss carryforwards of approximately $185.7 million and $151.8 million, respectively, which will begin to expire in 2035 for state tax purposes.</w:t>
      </w:r>
    </w:p>
    <w:p>
      <w:pPr>
        <w:spacing w:after="0" w:line="12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federal research and development credit carryforwards of approximately $7.0 million and $5.1 million, respectively, which begin to expire in 2039 and state research and development credit carryforwards of approximately $5.5 million and $4.3 million, respectively, which will carry forward indefinitely.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concluded that while ownership changes occurred in 2018, 2020, and 2022, no tax attributes are expected to expire unutilized as a result of the Section 382 limitation.</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unrecognized tax benefits of approximately $3.1 million and $2.4 million, respectively. The amount of unrecognized tax benefits is not expected to significantly change over the next twelve months. No amounts, outside of valuation allowance, would impact the effective tax rate on the continuing operations. The beginning and ending unrecognized tax benefits amounts are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related to prior year positions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related to current year positions</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other expense and interest expense, respectively, as necessary. Management determined that no accrual for interest and penalties was required as of December 31, 2024.</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files tax returns in the U.S., United Kingdom, and Germany. Domestic tax returns will remain open for examination by the federal and state taxing authorities for three and four years, respectively, from the date of utilization of any net operating loss carryforwards or research and development credits.</w:t>
      </w:r>
    </w:p>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tab/>
        <w:t>SEGMENT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operates in one reportable segment.</w:t>
      </w:r>
    </w:p>
    <w:p>
      <w:pPr>
        <w:spacing w:after="0" w:line="17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makes decisions on resource allocation, assesses performance of the business, and monitors budget versus actual results using net loss. The CODM does not evaluate operating segment using asset or liability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segment net loss, including significant segment expenses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4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20" w:type="dxa"/>
            <w:vAlign w:val="bottom"/>
          </w:tcPr>
          <w:p>
            <w:pPr>
              <w:spacing w:after="0"/>
              <w:rPr>
                <w:sz w:val="18"/>
                <w:szCs w:val="18"/>
                <w:color w:val="auto"/>
              </w:rPr>
            </w:pPr>
          </w:p>
        </w:tc>
      </w:tr>
      <w:tr>
        <w:trPr>
          <w:trHeight w:val="20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Compensation expenses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41,278</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28,207</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34,425</w:t>
            </w: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expenses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expenses</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Facility expenses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2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9"/>
                <w:szCs w:val="9"/>
                <w:color w:val="auto"/>
              </w:rPr>
              <w:t>(1)</w:t>
            </w:r>
          </w:p>
        </w:tc>
        <w:tc>
          <w:tcPr>
            <w:tcW w:w="8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107,156</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111,969</w:t>
            </w: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8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(2,649 )</w:t>
            </w:r>
          </w:p>
        </w:tc>
        <w:tc>
          <w:tcPr>
            <w:tcW w:w="1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(417 )</w:t>
            </w:r>
          </w:p>
        </w:tc>
        <w:tc>
          <w:tcPr>
            <w:tcW w:w="1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(578 )</w:t>
            </w:r>
          </w:p>
        </w:tc>
      </w:tr>
      <w:tr>
        <w:trPr>
          <w:trHeight w:val="229"/>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(86,599 )</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(86,277 )</w:t>
            </w:r>
          </w:p>
        </w:tc>
      </w:tr>
      <w:tr>
        <w:trPr>
          <w:trHeight w:val="20"/>
        </w:trPr>
        <w:tc>
          <w:tcPr>
            <w:tcW w:w="7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9"/>
          <w:szCs w:val="19"/>
          <w:color w:val="auto"/>
          <w:vertAlign w:val="superscript"/>
        </w:rPr>
        <w:t>(1)</w:t>
      </w:r>
      <w:r>
        <w:rPr>
          <w:sz w:val="20"/>
          <w:szCs w:val="20"/>
          <w:color w:val="auto"/>
        </w:rPr>
        <w:tab/>
      </w:r>
      <w:r>
        <w:rPr>
          <w:rFonts w:ascii="Times New Roman" w:cs="Times New Roman" w:eastAsia="Times New Roman" w:hAnsi="Times New Roman"/>
          <w:sz w:val="14"/>
          <w:szCs w:val="14"/>
          <w:color w:val="auto"/>
        </w:rPr>
        <w:t>Other includes laboratory expenses, travel expenses, and allocated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long-lived assets were primarily located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from December 31, 2024, the date of these consolidated financial statements, through March 3, 2025, which represents the date the consolidated financial statements were available to be issued for events requiring recording or disclosure in the consolidated financial statements for the year ended December 31, 2024. The Company concluded that no events have occurred that would require recognition or disclosure in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December 31, 2024,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system is designed to provide reasonable assurance regarding the preparation and fair presentation of externally-reported consolidated financial statements in accordance with generally accepted accounting principles in the United States (U.S. GAAP). As discussed above, internal control systems, no matter how well designed, have inherent limitations and can provide only reasonable assurance that their objectives have been met.</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our management conducted an evaluation, under the supervision and with the participation of our CEO and CFO, of the effectiveness of our internal control over financial reporting based upon the framework in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upon that evaluation, our CEO and CFO concluded that our internal control over financial reporting was effective as of December 31, 2024.</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therefore our independent registered public accounting firm has not issued a report on the effectiveness of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year ended December 31, 2024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 officers or directors, as defined in Rule 16a-1(f) under the Exchange Act, adopted or terminated a “Rule 10b5-1 trading arrangement” or “non-Rule 10b5-1 trading arrangement,” each as defined in Regulation S-K Item 408, during the last fiscal quarter.</w:t>
      </w:r>
    </w:p>
    <w:p>
      <w:pPr>
        <w:spacing w:after="0" w:line="104" w:lineRule="exact"/>
        <w:rPr>
          <w:sz w:val="20"/>
          <w:szCs w:val="20"/>
          <w:color w:val="auto"/>
        </w:rPr>
      </w:pPr>
    </w:p>
    <w:p>
      <w:pPr>
        <w:ind w:right="526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Annual Report.</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under this item is incorporated herein by reference to our definitive proxy statement (the “Proxy Statement”) pursuant to Regulation 14A under the Securities Exchange Act of 1934, as amended, which Proxy Statement is expected to be filed with Securities and Exchange Commission not later than 120 days after the close of our fiscal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71" w:lineRule="exact"/>
        <w:rPr>
          <w:sz w:val="20"/>
          <w:szCs w:val="20"/>
          <w:color w:val="auto"/>
        </w:rPr>
      </w:pPr>
    </w:p>
    <w:p>
      <w:pPr>
        <w:ind w:left="1140" w:hanging="758"/>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filed as part of this Annual Report are included in Part II, Item 8 of this Annual Report.</w:t>
      </w:r>
    </w:p>
    <w:p>
      <w:pPr>
        <w:spacing w:after="0" w:line="171" w:lineRule="exact"/>
        <w:rPr>
          <w:rFonts w:ascii="Times New Roman" w:cs="Times New Roman" w:eastAsia="Times New Roman" w:hAnsi="Times New Roman"/>
          <w:sz w:val="18"/>
          <w:szCs w:val="18"/>
          <w:color w:val="auto"/>
        </w:rPr>
      </w:pPr>
    </w:p>
    <w:p>
      <w:pPr>
        <w:ind w:left="1140" w:right="80" w:hanging="758"/>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107" w:lineRule="exact"/>
        <w:rPr>
          <w:rFonts w:ascii="Times New Roman" w:cs="Times New Roman" w:eastAsia="Times New Roman" w:hAnsi="Times New Roman"/>
          <w:sz w:val="18"/>
          <w:szCs w:val="18"/>
          <w:color w:val="auto"/>
        </w:rPr>
      </w:pPr>
    </w:p>
    <w:p>
      <w:pPr>
        <w:ind w:left="1140" w:right="140" w:hanging="758"/>
        <w:spacing w:after="0" w:line="266"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3"/>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20" w:type="dxa"/>
            <w:vAlign w:val="bottom"/>
          </w:tcPr>
          <w:p>
            <w:pPr>
              <w:spacing w:after="0"/>
              <w:rPr>
                <w:sz w:val="24"/>
                <w:szCs w:val="24"/>
                <w:color w:val="auto"/>
              </w:rPr>
            </w:pPr>
          </w:p>
        </w:tc>
        <w:tc>
          <w:tcPr>
            <w:tcW w:w="5260" w:type="dxa"/>
            <w:vAlign w:val="bottom"/>
            <w:gridSpan w:val="17"/>
          </w:tcPr>
          <w:p>
            <w:pPr>
              <w:spacing w:after="0"/>
              <w:rPr>
                <w:rFonts w:ascii="Times New Roman" w:cs="Times New Roman" w:eastAsia="Times New Roman" w:hAnsi="Times New Roman"/>
                <w:sz w:val="17"/>
                <w:szCs w:val="17"/>
                <w:color w:val="0000FF"/>
              </w:rPr>
            </w:pPr>
            <w:hyperlink r:id="rId562">
              <w:r>
                <w:rPr>
                  <w:rFonts w:ascii="Times New Roman" w:cs="Times New Roman" w:eastAsia="Times New Roman" w:hAnsi="Times New Roman"/>
                  <w:sz w:val="17"/>
                  <w:szCs w:val="17"/>
                  <w:color w:val="0000FF"/>
                </w:rPr>
                <w:t>Amended and Restated Certificate of Incorporation of the Registrant</w:t>
              </w:r>
            </w:hyperlink>
            <w:r>
              <w:rPr>
                <w:rFonts w:ascii="Times New Roman" w:cs="Times New Roman" w:eastAsia="Times New Roman" w:hAnsi="Times New Roman"/>
                <w:sz w:val="17"/>
                <w:szCs w:val="17"/>
                <w:color w:val="000000"/>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12/8/2020</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20" w:type="dxa"/>
            <w:vAlign w:val="bottom"/>
          </w:tcPr>
          <w:p>
            <w:pPr>
              <w:spacing w:after="0"/>
              <w:rPr>
                <w:sz w:val="24"/>
                <w:szCs w:val="24"/>
                <w:color w:val="auto"/>
              </w:rPr>
            </w:pPr>
          </w:p>
        </w:tc>
        <w:tc>
          <w:tcPr>
            <w:tcW w:w="512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563">
              <w:r>
                <w:rPr>
                  <w:rFonts w:ascii="Times New Roman" w:cs="Times New Roman" w:eastAsia="Times New Roman" w:hAnsi="Times New Roman"/>
                  <w:sz w:val="17"/>
                  <w:szCs w:val="17"/>
                  <w:color w:val="0000FF"/>
                </w:rPr>
                <w:t>Amendment to the Amended and Restatement Certificate of Incorporation</w:t>
              </w:r>
            </w:hyperlink>
          </w:p>
        </w:tc>
        <w:tc>
          <w:tcPr>
            <w:tcW w:w="140" w:type="dxa"/>
            <w:vAlign w:val="bottom"/>
            <w:gridSpan w:val="3"/>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6/16/2023</w:t>
            </w: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gridSpan w:val="17"/>
          </w:tcPr>
          <w:p>
            <w:pPr>
              <w:spacing w:after="0" w:line="183" w:lineRule="exact"/>
              <w:rPr>
                <w:rFonts w:ascii="Times New Roman" w:cs="Times New Roman" w:eastAsia="Times New Roman" w:hAnsi="Times New Roman"/>
                <w:sz w:val="17"/>
                <w:szCs w:val="17"/>
                <w:color w:val="0000FF"/>
              </w:rPr>
            </w:pPr>
            <w:hyperlink r:id="rId563">
              <w:r>
                <w:rPr>
                  <w:rFonts w:ascii="Times New Roman" w:cs="Times New Roman" w:eastAsia="Times New Roman" w:hAnsi="Times New Roman"/>
                  <w:sz w:val="17"/>
                  <w:szCs w:val="17"/>
                  <w:color w:val="0000FF"/>
                </w:rPr>
                <w:t>of the Company.</w:t>
              </w:r>
            </w:hyperlink>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c>
          <w:tcPr>
            <w:tcW w:w="120" w:type="dxa"/>
            <w:vAlign w:val="bottom"/>
          </w:tcPr>
          <w:p>
            <w:pPr>
              <w:spacing w:after="0"/>
              <w:rPr>
                <w:sz w:val="24"/>
                <w:szCs w:val="24"/>
                <w:color w:val="auto"/>
              </w:rPr>
            </w:pPr>
          </w:p>
        </w:tc>
        <w:tc>
          <w:tcPr>
            <w:tcW w:w="5260" w:type="dxa"/>
            <w:vAlign w:val="bottom"/>
            <w:gridSpan w:val="17"/>
          </w:tcPr>
          <w:p>
            <w:pPr>
              <w:spacing w:after="0"/>
              <w:rPr>
                <w:rFonts w:ascii="Times New Roman" w:cs="Times New Roman" w:eastAsia="Times New Roman" w:hAnsi="Times New Roman"/>
                <w:sz w:val="17"/>
                <w:szCs w:val="17"/>
                <w:color w:val="0000FF"/>
              </w:rPr>
            </w:pPr>
            <w:hyperlink r:id="rId564">
              <w:r>
                <w:rPr>
                  <w:rFonts w:ascii="Times New Roman" w:cs="Times New Roman" w:eastAsia="Times New Roman" w:hAnsi="Times New Roman"/>
                  <w:sz w:val="17"/>
                  <w:szCs w:val="17"/>
                  <w:color w:val="0000FF"/>
                </w:rPr>
                <w:t>Amended and Restated Bylaws of the Registrant.</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6/16/2023</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5260" w:type="dxa"/>
            <w:vAlign w:val="bottom"/>
            <w:gridSpan w:val="17"/>
          </w:tcPr>
          <w:p>
            <w:pPr>
              <w:spacing w:after="0"/>
              <w:rPr>
                <w:rFonts w:ascii="Times New Roman" w:cs="Times New Roman" w:eastAsia="Times New Roman" w:hAnsi="Times New Roman"/>
                <w:sz w:val="17"/>
                <w:szCs w:val="17"/>
                <w:color w:val="0000FF"/>
              </w:rPr>
            </w:pPr>
            <w:hyperlink r:id="rId565">
              <w:r>
                <w:rPr>
                  <w:rFonts w:ascii="Times New Roman" w:cs="Times New Roman" w:eastAsia="Times New Roman" w:hAnsi="Times New Roman"/>
                  <w:sz w:val="17"/>
                  <w:szCs w:val="17"/>
                  <w:color w:val="0000FF"/>
                </w:rPr>
                <w:t>Form of common stock certificate of the Registrant.</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11/12/2020</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tcPr>
          <w:p>
            <w:pPr>
              <w:spacing w:after="0"/>
              <w:rPr>
                <w:sz w:val="24"/>
                <w:szCs w:val="24"/>
                <w:color w:val="auto"/>
              </w:rPr>
            </w:pPr>
          </w:p>
        </w:tc>
        <w:tc>
          <w:tcPr>
            <w:tcW w:w="5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Description of the Registrant’s securities registered pursuant to Section 12</w:t>
            </w:r>
          </w:p>
        </w:tc>
        <w:tc>
          <w:tcPr>
            <w:tcW w:w="14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FF"/>
              </w:rPr>
              <w:t>of the Securities Exchange Act of 1934.</w:t>
            </w:r>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518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566">
              <w:r>
                <w:rPr>
                  <w:rFonts w:ascii="Times New Roman" w:cs="Times New Roman" w:eastAsia="Times New Roman" w:hAnsi="Times New Roman"/>
                  <w:sz w:val="17"/>
                  <w:szCs w:val="17"/>
                  <w:color w:val="0000FF"/>
                </w:rPr>
                <w:t>Form of Indemnification Agreement between the Registrant and each of its</w:t>
              </w:r>
            </w:hyperlink>
          </w:p>
        </w:tc>
        <w:tc>
          <w:tcPr>
            <w:tcW w:w="80" w:type="dxa"/>
            <w:vAlign w:val="bottom"/>
            <w:gridSpan w:val="2"/>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11/12/2020</w:t>
            </w: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gridSpan w:val="17"/>
          </w:tcPr>
          <w:p>
            <w:pPr>
              <w:spacing w:after="0" w:line="183" w:lineRule="exact"/>
              <w:rPr>
                <w:rFonts w:ascii="Times New Roman" w:cs="Times New Roman" w:eastAsia="Times New Roman" w:hAnsi="Times New Roman"/>
                <w:sz w:val="17"/>
                <w:szCs w:val="17"/>
                <w:color w:val="0000FF"/>
              </w:rPr>
            </w:pPr>
            <w:hyperlink r:id="rId566">
              <w:r>
                <w:rPr>
                  <w:rFonts w:ascii="Times New Roman" w:cs="Times New Roman" w:eastAsia="Times New Roman" w:hAnsi="Times New Roman"/>
                  <w:sz w:val="17"/>
                  <w:szCs w:val="17"/>
                  <w:color w:val="0000FF"/>
                </w:rPr>
                <w:t>directors and executive officers.</w:t>
              </w:r>
            </w:hyperlink>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39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w w:val="99"/>
              </w:rPr>
            </w:pPr>
            <w:hyperlink r:id="rId567">
              <w:r>
                <w:rPr>
                  <w:rFonts w:ascii="Times New Roman" w:cs="Times New Roman" w:eastAsia="Times New Roman" w:hAnsi="Times New Roman"/>
                  <w:sz w:val="17"/>
                  <w:szCs w:val="17"/>
                  <w:color w:val="0000FF"/>
                  <w:w w:val="99"/>
                </w:rPr>
                <w:t>2020 Equity Incentive Plan and related form agreements.</w:t>
              </w:r>
            </w:hyperlink>
          </w:p>
        </w:tc>
        <w:tc>
          <w:tcPr>
            <w:tcW w:w="1360" w:type="dxa"/>
            <w:vAlign w:val="bottom"/>
            <w:gridSpan w:val="8"/>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11/30/2020</w:t>
            </w: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2017 Stock Incentive Plan and related form agreements.</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20" w:type="dxa"/>
            <w:vAlign w:val="bottom"/>
            <w:tcBorders>
              <w:right w:val="single" w:sz="8" w:color="0000EE"/>
            </w:tcBorders>
            <w:gridSpan w:val="5"/>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428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568">
              <w:r>
                <w:rPr>
                  <w:rFonts w:ascii="Times New Roman" w:cs="Times New Roman" w:eastAsia="Times New Roman" w:hAnsi="Times New Roman"/>
                  <w:sz w:val="17"/>
                  <w:szCs w:val="17"/>
                  <w:color w:val="0000FF"/>
                </w:rPr>
                <w:t>2020 RSU Equity Incentive Plan and related form agreements.</w:t>
              </w:r>
            </w:hyperlink>
          </w:p>
        </w:tc>
        <w:tc>
          <w:tcPr>
            <w:tcW w:w="20" w:type="dxa"/>
            <w:vAlign w:val="bottom"/>
            <w:tcBorders>
              <w:bottom w:val="single" w:sz="8" w:color="0000EE"/>
            </w:tcBorders>
          </w:tcPr>
          <w:p>
            <w:pPr>
              <w:spacing w:after="0"/>
              <w:rPr>
                <w:sz w:val="24"/>
                <w:szCs w:val="24"/>
                <w:color w:val="auto"/>
              </w:rPr>
            </w:pPr>
          </w:p>
        </w:tc>
        <w:tc>
          <w:tcPr>
            <w:tcW w:w="960" w:type="dxa"/>
            <w:vAlign w:val="bottom"/>
            <w:gridSpan w:val="6"/>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11/30/2020</w:t>
            </w: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4"/>
                <w:szCs w:val="24"/>
                <w:color w:val="auto"/>
              </w:rPr>
            </w:pPr>
          </w:p>
        </w:tc>
        <w:tc>
          <w:tcPr>
            <w:tcW w:w="4980" w:type="dxa"/>
            <w:vAlign w:val="bottom"/>
            <w:tcBorders>
              <w:bottom w:val="single" w:sz="8" w:color="0000FF"/>
            </w:tcBorders>
            <w:gridSpan w:val="13"/>
          </w:tcPr>
          <w:p>
            <w:pPr>
              <w:spacing w:after="0"/>
              <w:rPr>
                <w:rFonts w:ascii="Times New Roman" w:cs="Times New Roman" w:eastAsia="Times New Roman" w:hAnsi="Times New Roman"/>
                <w:sz w:val="17"/>
                <w:szCs w:val="17"/>
                <w:color w:val="0000FF"/>
              </w:rPr>
            </w:pPr>
            <w:hyperlink r:id="rId569">
              <w:r>
                <w:rPr>
                  <w:rFonts w:ascii="Times New Roman" w:cs="Times New Roman" w:eastAsia="Times New Roman" w:hAnsi="Times New Roman"/>
                  <w:sz w:val="17"/>
                  <w:szCs w:val="17"/>
                  <w:color w:val="0000FF"/>
                </w:rPr>
                <w:t>Amended and Restated 2020 Employee Stock Purchase Plan and related</w:t>
              </w:r>
            </w:hyperlink>
          </w:p>
        </w:tc>
        <w:tc>
          <w:tcPr>
            <w:tcW w:w="280" w:type="dxa"/>
            <w:vAlign w:val="bottom"/>
            <w:gridSpan w:val="4"/>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333-270351</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3/8/2023</w:t>
            </w: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0000EE"/>
            </w:tcBorders>
            <w:gridSpan w:val="2"/>
          </w:tcPr>
          <w:p>
            <w:pPr>
              <w:spacing w:after="0" w:line="183" w:lineRule="exact"/>
              <w:rPr>
                <w:rFonts w:ascii="Times New Roman" w:cs="Times New Roman" w:eastAsia="Times New Roman" w:hAnsi="Times New Roman"/>
                <w:sz w:val="17"/>
                <w:szCs w:val="17"/>
                <w:color w:val="0000FF"/>
              </w:rPr>
            </w:pPr>
            <w:hyperlink r:id="rId569">
              <w:r>
                <w:rPr>
                  <w:rFonts w:ascii="Times New Roman" w:cs="Times New Roman" w:eastAsia="Times New Roman" w:hAnsi="Times New Roman"/>
                  <w:sz w:val="17"/>
                  <w:szCs w:val="17"/>
                  <w:color w:val="0000FF"/>
                </w:rPr>
                <w:t>form agreements.</w:t>
              </w:r>
            </w:hyperlink>
          </w:p>
        </w:tc>
        <w:tc>
          <w:tcPr>
            <w:tcW w:w="4020" w:type="dxa"/>
            <w:vAlign w:val="bottom"/>
            <w:gridSpan w:val="15"/>
          </w:tcPr>
          <w:p>
            <w:pPr>
              <w:spacing w:after="0"/>
              <w:rPr>
                <w:sz w:val="15"/>
                <w:szCs w:val="15"/>
                <w:color w:val="auto"/>
              </w:rPr>
            </w:pPr>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4"/>
                <w:szCs w:val="24"/>
                <w:color w:val="auto"/>
              </w:rPr>
            </w:pPr>
          </w:p>
        </w:tc>
        <w:tc>
          <w:tcPr>
            <w:tcW w:w="524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570">
              <w:r>
                <w:rPr>
                  <w:rFonts w:ascii="Times New Roman" w:cs="Times New Roman" w:eastAsia="Times New Roman" w:hAnsi="Times New Roman"/>
                  <w:sz w:val="17"/>
                  <w:szCs w:val="17"/>
                  <w:color w:val="0000FF"/>
                </w:rPr>
                <w:t>Confirmatory Offer Letter between the Registrant and Dr. Omid Farokhzad,</w:t>
              </w:r>
            </w:hyperlink>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11/30/2020</w:t>
            </w: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0000FF"/>
            </w:tcBorders>
            <w:gridSpan w:val="3"/>
          </w:tcPr>
          <w:p>
            <w:pPr>
              <w:spacing w:after="0" w:line="183" w:lineRule="exact"/>
              <w:rPr>
                <w:rFonts w:ascii="Times New Roman" w:cs="Times New Roman" w:eastAsia="Times New Roman" w:hAnsi="Times New Roman"/>
                <w:sz w:val="17"/>
                <w:szCs w:val="17"/>
                <w:color w:val="0000FF"/>
                <w:w w:val="99"/>
              </w:rPr>
            </w:pPr>
            <w:hyperlink r:id="rId570">
              <w:r>
                <w:rPr>
                  <w:rFonts w:ascii="Times New Roman" w:cs="Times New Roman" w:eastAsia="Times New Roman" w:hAnsi="Times New Roman"/>
                  <w:sz w:val="17"/>
                  <w:szCs w:val="17"/>
                  <w:color w:val="0000FF"/>
                  <w:w w:val="99"/>
                </w:rPr>
                <w:t>dated November 30, 2020.</w:t>
              </w:r>
            </w:hyperlink>
          </w:p>
        </w:tc>
        <w:tc>
          <w:tcPr>
            <w:tcW w:w="3440" w:type="dxa"/>
            <w:vAlign w:val="bottom"/>
            <w:gridSpan w:val="14"/>
          </w:tcPr>
          <w:p>
            <w:pPr>
              <w:spacing w:after="0"/>
              <w:rPr>
                <w:sz w:val="15"/>
                <w:szCs w:val="15"/>
                <w:color w:val="auto"/>
              </w:rPr>
            </w:pPr>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871"/>
        </w:trPr>
        <w:tc>
          <w:tcPr>
            <w:tcW w:w="1120" w:type="dxa"/>
            <w:vAlign w:val="bottom"/>
          </w:tcPr>
          <w:p>
            <w:pPr>
              <w:spacing w:after="0"/>
              <w:rPr>
                <w:sz w:val="24"/>
                <w:szCs w:val="24"/>
                <w:color w:val="auto"/>
              </w:rPr>
            </w:pPr>
          </w:p>
        </w:tc>
        <w:tc>
          <w:tcPr>
            <w:tcW w:w="4820" w:type="dxa"/>
            <w:vAlign w:val="bottom"/>
            <w:gridSpan w:val="13"/>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10.7+</w:t>
            </w:r>
          </w:p>
        </w:tc>
        <w:tc>
          <w:tcPr>
            <w:tcW w:w="5180" w:type="dxa"/>
            <w:vAlign w:val="bottom"/>
            <w:gridSpan w:val="20"/>
          </w:tcPr>
          <w:p>
            <w:pPr>
              <w:spacing w:after="0"/>
              <w:rPr>
                <w:rFonts w:ascii="Times New Roman" w:cs="Times New Roman" w:eastAsia="Times New Roman" w:hAnsi="Times New Roman"/>
                <w:sz w:val="17"/>
                <w:szCs w:val="17"/>
                <w:color w:val="0000FF"/>
              </w:rPr>
            </w:pPr>
            <w:hyperlink r:id="rId574">
              <w:r>
                <w:rPr>
                  <w:rFonts w:ascii="Times New Roman" w:cs="Times New Roman" w:eastAsia="Times New Roman" w:hAnsi="Times New Roman"/>
                  <w:sz w:val="17"/>
                  <w:szCs w:val="17"/>
                  <w:color w:val="0000FF"/>
                </w:rPr>
                <w:t>Confirmatory Offer Letter between the Registrant and David Horn, dated</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11/30/2020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rFonts w:ascii="Times New Roman" w:cs="Times New Roman" w:eastAsia="Times New Roman" w:hAnsi="Times New Roman"/>
                <w:sz w:val="17"/>
                <w:szCs w:val="17"/>
                <w:color w:val="0000FF"/>
              </w:rPr>
            </w:pPr>
            <w:hyperlink r:id="rId574">
              <w:r>
                <w:rPr>
                  <w:rFonts w:ascii="Times New Roman" w:cs="Times New Roman" w:eastAsia="Times New Roman" w:hAnsi="Times New Roman"/>
                  <w:sz w:val="17"/>
                  <w:szCs w:val="17"/>
                  <w:color w:val="0000FF"/>
                </w:rPr>
                <w:t>November 30, 2020.</w:t>
              </w:r>
            </w:hyperlink>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10.8+</w:t>
            </w:r>
          </w:p>
        </w:tc>
        <w:tc>
          <w:tcPr>
            <w:tcW w:w="5180" w:type="dxa"/>
            <w:vAlign w:val="bottom"/>
            <w:gridSpan w:val="20"/>
          </w:tcPr>
          <w:p>
            <w:pPr>
              <w:spacing w:after="0"/>
              <w:rPr>
                <w:rFonts w:ascii="Times New Roman" w:cs="Times New Roman" w:eastAsia="Times New Roman" w:hAnsi="Times New Roman"/>
                <w:sz w:val="17"/>
                <w:szCs w:val="17"/>
                <w:color w:val="0000FF"/>
              </w:rPr>
            </w:pPr>
            <w:hyperlink r:id="rId575">
              <w:r>
                <w:rPr>
                  <w:rFonts w:ascii="Times New Roman" w:cs="Times New Roman" w:eastAsia="Times New Roman" w:hAnsi="Times New Roman"/>
                  <w:sz w:val="17"/>
                  <w:szCs w:val="17"/>
                  <w:color w:val="0000FF"/>
                </w:rPr>
                <w:t>CEO Change in Control and Severance Agreement between the Registrant</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10.10</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11/30/2020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rFonts w:ascii="Times New Roman" w:cs="Times New Roman" w:eastAsia="Times New Roman" w:hAnsi="Times New Roman"/>
                <w:sz w:val="17"/>
                <w:szCs w:val="17"/>
                <w:color w:val="0000FF"/>
              </w:rPr>
            </w:pPr>
            <w:hyperlink r:id="rId575">
              <w:r>
                <w:rPr>
                  <w:rFonts w:ascii="Times New Roman" w:cs="Times New Roman" w:eastAsia="Times New Roman" w:hAnsi="Times New Roman"/>
                  <w:sz w:val="17"/>
                  <w:szCs w:val="17"/>
                  <w:color w:val="0000FF"/>
                </w:rPr>
                <w:t>and Dr. Omid Farokhzad, dated November 30, 2020.</w:t>
              </w:r>
            </w:hyperlink>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10.9+</w:t>
            </w:r>
          </w:p>
        </w:tc>
        <w:tc>
          <w:tcPr>
            <w:tcW w:w="5180" w:type="dxa"/>
            <w:vAlign w:val="bottom"/>
            <w:gridSpan w:val="20"/>
          </w:tcPr>
          <w:p>
            <w:pPr>
              <w:spacing w:after="0"/>
              <w:rPr>
                <w:rFonts w:ascii="Times New Roman" w:cs="Times New Roman" w:eastAsia="Times New Roman" w:hAnsi="Times New Roman"/>
                <w:sz w:val="17"/>
                <w:szCs w:val="17"/>
                <w:color w:val="0000FF"/>
              </w:rPr>
            </w:pPr>
            <w:hyperlink r:id="rId576">
              <w:r>
                <w:rPr>
                  <w:rFonts w:ascii="Times New Roman" w:cs="Times New Roman" w:eastAsia="Times New Roman" w:hAnsi="Times New Roman"/>
                  <w:sz w:val="17"/>
                  <w:szCs w:val="17"/>
                  <w:color w:val="0000FF"/>
                </w:rPr>
                <w:t>Executive Incentive Compensation Plan</w:t>
              </w:r>
            </w:hyperlink>
            <w:r>
              <w:rPr>
                <w:rFonts w:ascii="Times New Roman" w:cs="Times New Roman" w:eastAsia="Times New Roman" w:hAnsi="Times New Roman"/>
                <w:sz w:val="17"/>
                <w:szCs w:val="17"/>
                <w:color w:val="000000"/>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11/30/2020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10.10#</w:t>
            </w:r>
          </w:p>
        </w:tc>
        <w:tc>
          <w:tcPr>
            <w:tcW w:w="5180" w:type="dxa"/>
            <w:vAlign w:val="bottom"/>
            <w:gridSpan w:val="20"/>
          </w:tcPr>
          <w:p>
            <w:pPr>
              <w:spacing w:after="0"/>
              <w:rPr>
                <w:rFonts w:ascii="Times New Roman" w:cs="Times New Roman" w:eastAsia="Times New Roman" w:hAnsi="Times New Roman"/>
                <w:sz w:val="17"/>
                <w:szCs w:val="17"/>
                <w:color w:val="0000FF"/>
              </w:rPr>
            </w:pPr>
            <w:hyperlink r:id="rId577">
              <w:r>
                <w:rPr>
                  <w:rFonts w:ascii="Times New Roman" w:cs="Times New Roman" w:eastAsia="Times New Roman" w:hAnsi="Times New Roman"/>
                  <w:sz w:val="17"/>
                  <w:szCs w:val="17"/>
                  <w:color w:val="0000FF"/>
                </w:rPr>
                <w:t>Umbrella Development &amp; Supply Agreement between the Registrant and</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11/12/2020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rFonts w:ascii="Times New Roman" w:cs="Times New Roman" w:eastAsia="Times New Roman" w:hAnsi="Times New Roman"/>
                <w:sz w:val="17"/>
                <w:szCs w:val="17"/>
                <w:color w:val="0000FF"/>
              </w:rPr>
            </w:pPr>
            <w:hyperlink r:id="rId577">
              <w:r>
                <w:rPr>
                  <w:rFonts w:ascii="Times New Roman" w:cs="Times New Roman" w:eastAsia="Times New Roman" w:hAnsi="Times New Roman"/>
                  <w:sz w:val="17"/>
                  <w:szCs w:val="17"/>
                  <w:color w:val="0000FF"/>
                </w:rPr>
                <w:t>Hamilton Company, dated March 9, 2020.</w:t>
              </w:r>
            </w:hyperlink>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10.11#</w:t>
            </w:r>
          </w:p>
        </w:tc>
        <w:tc>
          <w:tcPr>
            <w:tcW w:w="5180" w:type="dxa"/>
            <w:vAlign w:val="bottom"/>
            <w:gridSpan w:val="20"/>
          </w:tcPr>
          <w:p>
            <w:pPr>
              <w:spacing w:after="0"/>
              <w:rPr>
                <w:rFonts w:ascii="Times New Roman" w:cs="Times New Roman" w:eastAsia="Times New Roman" w:hAnsi="Times New Roman"/>
                <w:sz w:val="17"/>
                <w:szCs w:val="17"/>
                <w:color w:val="0000FF"/>
              </w:rPr>
            </w:pPr>
            <w:hyperlink r:id="rId578">
              <w:r>
                <w:rPr>
                  <w:rFonts w:ascii="Times New Roman" w:cs="Times New Roman" w:eastAsia="Times New Roman" w:hAnsi="Times New Roman"/>
                  <w:sz w:val="17"/>
                  <w:szCs w:val="17"/>
                  <w:color w:val="0000FF"/>
                </w:rPr>
                <w:t>Exclusive Patent License Agreement between the Registrant and The</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10.15</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11/12/2020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rFonts w:ascii="Times New Roman" w:cs="Times New Roman" w:eastAsia="Times New Roman" w:hAnsi="Times New Roman"/>
                <w:sz w:val="17"/>
                <w:szCs w:val="17"/>
                <w:color w:val="0000FF"/>
              </w:rPr>
            </w:pPr>
            <w:hyperlink r:id="rId578">
              <w:r>
                <w:rPr>
                  <w:rFonts w:ascii="Times New Roman" w:cs="Times New Roman" w:eastAsia="Times New Roman" w:hAnsi="Times New Roman"/>
                  <w:sz w:val="17"/>
                  <w:szCs w:val="17"/>
                  <w:color w:val="0000FF"/>
                </w:rPr>
                <w:t>Brigham and Women’s Hospital, Inc., dated December 18, 2017.</w:t>
              </w:r>
            </w:hyperlink>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10.12+</w:t>
            </w:r>
          </w:p>
        </w:tc>
        <w:tc>
          <w:tcPr>
            <w:tcW w:w="51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w w:val="99"/>
              </w:rPr>
              <w:t>Outside Director Compensation Policy (as amended on February 26, 2025).</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10.13+</w:t>
            </w:r>
          </w:p>
        </w:tc>
        <w:tc>
          <w:tcPr>
            <w:tcW w:w="5180" w:type="dxa"/>
            <w:vAlign w:val="bottom"/>
            <w:gridSpan w:val="20"/>
          </w:tcPr>
          <w:p>
            <w:pPr>
              <w:spacing w:after="0"/>
              <w:rPr>
                <w:rFonts w:ascii="Times New Roman" w:cs="Times New Roman" w:eastAsia="Times New Roman" w:hAnsi="Times New Roman"/>
                <w:sz w:val="17"/>
                <w:szCs w:val="17"/>
                <w:color w:val="0000FF"/>
              </w:rPr>
            </w:pPr>
            <w:hyperlink r:id="rId579">
              <w:r>
                <w:rPr>
                  <w:rFonts w:ascii="Times New Roman" w:cs="Times New Roman" w:eastAsia="Times New Roman" w:hAnsi="Times New Roman"/>
                  <w:sz w:val="17"/>
                  <w:szCs w:val="17"/>
                  <w:color w:val="0000FF"/>
                </w:rPr>
                <w:t>Key Executive Change in Control and Severance Plan, and form of</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11/7/2023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rFonts w:ascii="Times New Roman" w:cs="Times New Roman" w:eastAsia="Times New Roman" w:hAnsi="Times New Roman"/>
                <w:sz w:val="17"/>
                <w:szCs w:val="17"/>
                <w:color w:val="0000FF"/>
              </w:rPr>
            </w:pPr>
            <w:hyperlink r:id="rId579">
              <w:r>
                <w:rPr>
                  <w:rFonts w:ascii="Times New Roman" w:cs="Times New Roman" w:eastAsia="Times New Roman" w:hAnsi="Times New Roman"/>
                  <w:sz w:val="17"/>
                  <w:szCs w:val="17"/>
                  <w:color w:val="0000FF"/>
                </w:rPr>
                <w:t>Participation Agreement thereunder.</w:t>
              </w:r>
            </w:hyperlink>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3/4/2024</w:t>
            </w:r>
          </w:p>
        </w:tc>
        <w:tc>
          <w:tcPr>
            <w:tcW w:w="0" w:type="dxa"/>
            <w:vAlign w:val="bottom"/>
          </w:tcPr>
          <w:p>
            <w:pPr>
              <w:spacing w:after="0" w:line="20" w:lineRule="exact"/>
              <w:rPr>
                <w:sz w:val="1"/>
                <w:szCs w:val="1"/>
                <w:color w:val="auto"/>
              </w:rPr>
            </w:pPr>
          </w:p>
        </w:tc>
      </w:tr>
      <w:tr>
        <w:trPr>
          <w:trHeight w:val="398"/>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19.1</w:t>
            </w:r>
          </w:p>
        </w:tc>
        <w:tc>
          <w:tcPr>
            <w:tcW w:w="5180" w:type="dxa"/>
            <w:vAlign w:val="bottom"/>
            <w:gridSpan w:val="20"/>
          </w:tcPr>
          <w:p>
            <w:pPr>
              <w:spacing w:after="0"/>
              <w:rPr>
                <w:rFonts w:ascii="Times New Roman" w:cs="Times New Roman" w:eastAsia="Times New Roman" w:hAnsi="Times New Roman"/>
                <w:sz w:val="18"/>
                <w:szCs w:val="18"/>
                <w:color w:val="0000FF"/>
              </w:rPr>
            </w:pPr>
            <w:hyperlink r:id="rId580">
              <w:r>
                <w:rPr>
                  <w:rFonts w:ascii="Times New Roman" w:cs="Times New Roman" w:eastAsia="Times New Roman" w:hAnsi="Times New Roman"/>
                  <w:sz w:val="18"/>
                  <w:szCs w:val="18"/>
                  <w:color w:val="0000FF"/>
                </w:rPr>
                <w:t>Insider Trading Policy.</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10-K</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21.1</w:t>
            </w:r>
          </w:p>
        </w:tc>
        <w:tc>
          <w:tcPr>
            <w:tcW w:w="51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List of Subsidiaries of the Registrant.</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6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23.1</w:t>
            </w:r>
          </w:p>
        </w:tc>
        <w:tc>
          <w:tcPr>
            <w:tcW w:w="51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Consent of Deloitte &amp; Touche LLP, independent registered public</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sz w:val="20"/>
                <w:szCs w:val="20"/>
                <w:color w:val="auto"/>
              </w:rPr>
            </w:pPr>
            <w:r>
              <w:rPr>
                <w:rFonts w:ascii="Times New Roman" w:cs="Times New Roman" w:eastAsia="Times New Roman" w:hAnsi="Times New Roman"/>
                <w:sz w:val="17"/>
                <w:szCs w:val="17"/>
                <w:color w:val="0000FF"/>
              </w:rPr>
              <w:t>accounting firm.</w:t>
            </w: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31.1</w:t>
            </w:r>
          </w:p>
        </w:tc>
        <w:tc>
          <w:tcPr>
            <w:tcW w:w="51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w w:val="99"/>
              </w:rPr>
              <w:t>Certification of Principal Executive Officer Pursuant to Rules 13a-14(a) and</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1280" w:type="dxa"/>
            <w:vAlign w:val="bottom"/>
            <w:tcBorders>
              <w:right w:val="single" w:sz="8" w:color="0000EE"/>
            </w:tcBorders>
            <w:gridSpan w:val="5"/>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31.2</w:t>
            </w:r>
          </w:p>
        </w:tc>
        <w:tc>
          <w:tcPr>
            <w:tcW w:w="51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w w:val="99"/>
              </w:rPr>
              <w:t>Certification of Principal Financial Officer Pursuant to Rules 13a-14(a) and</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76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4"/>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76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1280" w:type="dxa"/>
            <w:vAlign w:val="bottom"/>
            <w:tcBorders>
              <w:right w:val="single" w:sz="8" w:color="0000EE"/>
            </w:tcBorders>
            <w:gridSpan w:val="5"/>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32.1†</w:t>
            </w:r>
          </w:p>
        </w:tc>
        <w:tc>
          <w:tcPr>
            <w:tcW w:w="51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76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3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0000FF"/>
                <w:w w:val="88"/>
              </w:rPr>
              <w:t>2002.</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32.2†</w:t>
            </w:r>
          </w:p>
        </w:tc>
        <w:tc>
          <w:tcPr>
            <w:tcW w:w="51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tcBorders>
              <w:right w:val="single" w:sz="8" w:color="0000FF"/>
            </w:tcBorders>
            <w:gridSpan w:val="5"/>
            <w:shd w:val="clear" w:color="auto" w:fill="0000FF"/>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180" w:type="dxa"/>
            <w:vAlign w:val="bottom"/>
            <w:gridSpan w:val="20"/>
          </w:tcPr>
          <w:p>
            <w:pPr>
              <w:spacing w:after="0" w:line="183"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3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0000FF"/>
                <w:w w:val="88"/>
              </w:rPr>
              <w:t>2002.</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3000" w:type="dxa"/>
            <w:vAlign w:val="bottom"/>
            <w:gridSpan w:val="1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97.1</w:t>
            </w:r>
          </w:p>
        </w:tc>
        <w:tc>
          <w:tcPr>
            <w:tcW w:w="5180" w:type="dxa"/>
            <w:vAlign w:val="bottom"/>
            <w:gridSpan w:val="20"/>
          </w:tcPr>
          <w:p>
            <w:pPr>
              <w:spacing w:after="0"/>
              <w:rPr>
                <w:rFonts w:ascii="Times New Roman" w:cs="Times New Roman" w:eastAsia="Times New Roman" w:hAnsi="Times New Roman"/>
                <w:sz w:val="17"/>
                <w:szCs w:val="17"/>
                <w:color w:val="0000FF"/>
              </w:rPr>
            </w:pPr>
            <w:hyperlink r:id="rId580">
              <w:r>
                <w:rPr>
                  <w:rFonts w:ascii="Times New Roman" w:cs="Times New Roman" w:eastAsia="Times New Roman" w:hAnsi="Times New Roman"/>
                  <w:sz w:val="17"/>
                  <w:szCs w:val="17"/>
                  <w:color w:val="0000FF"/>
                </w:rPr>
                <w:t>Compensation Clawback Policy</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10-K</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97.1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3/4/2024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gridSpan w:val="5"/>
            <w:shd w:val="clear" w:color="auto" w:fill="0000FF"/>
          </w:tcPr>
          <w:p>
            <w:pPr>
              <w:spacing w:after="0" w:line="20" w:lineRule="exact"/>
              <w:rPr>
                <w:sz w:val="1"/>
                <w:szCs w:val="1"/>
                <w:color w:val="auto"/>
              </w:rPr>
            </w:pPr>
          </w:p>
        </w:tc>
        <w:tc>
          <w:tcPr>
            <w:tcW w:w="3000" w:type="dxa"/>
            <w:vAlign w:val="bottom"/>
            <w:gridSpan w:val="1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101.INS</w:t>
            </w:r>
          </w:p>
        </w:tc>
        <w:tc>
          <w:tcPr>
            <w:tcW w:w="51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3"/>
        </w:trPr>
        <w:tc>
          <w:tcPr>
            <w:tcW w:w="1260" w:type="dxa"/>
            <w:vAlign w:val="bottom"/>
          </w:tcPr>
          <w:p>
            <w:pPr>
              <w:spacing w:after="0"/>
              <w:rPr>
                <w:sz w:val="24"/>
                <w:szCs w:val="24"/>
                <w:color w:val="auto"/>
              </w:rPr>
            </w:pPr>
          </w:p>
        </w:tc>
        <w:tc>
          <w:tcPr>
            <w:tcW w:w="4540" w:type="dxa"/>
            <w:vAlign w:val="bottom"/>
            <w:gridSpan w:val="13"/>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w:t>
            </w:r>
          </w:p>
        </w:tc>
      </w:tr>
      <w:tr>
        <w:trPr>
          <w:trHeight w:val="222"/>
        </w:trPr>
        <w:tc>
          <w:tcPr>
            <w:tcW w:w="820" w:type="dxa"/>
            <w:vAlign w:val="bottom"/>
          </w:tcPr>
          <w:p>
            <w:pPr>
              <w:spacing w:after="0"/>
              <w:rPr>
                <w:sz w:val="19"/>
                <w:szCs w:val="19"/>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Linkbase Documents</w:t>
            </w:r>
          </w:p>
        </w:tc>
      </w:tr>
    </w:tbl>
    <w:p>
      <w:pPr>
        <w:spacing w:after="0" w:line="183" w:lineRule="exact"/>
        <w:rPr>
          <w:sz w:val="20"/>
          <w:szCs w:val="20"/>
          <w:color w:val="auto"/>
        </w:rPr>
      </w:pPr>
    </w:p>
    <w:p>
      <w:pPr>
        <w:jc w:val="both"/>
        <w:ind w:left="1240" w:right="4720" w:hanging="807"/>
        <w:spacing w:after="0" w:line="265" w:lineRule="auto"/>
        <w:tabs>
          <w:tab w:leader="none" w:pos="12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107" w:lineRule="exact"/>
        <w:rPr>
          <w:rFonts w:ascii="Times New Roman" w:cs="Times New Roman" w:eastAsia="Times New Roman" w:hAnsi="Times New Roman"/>
          <w:sz w:val="17"/>
          <w:szCs w:val="17"/>
          <w:color w:val="auto"/>
        </w:rPr>
      </w:pPr>
    </w:p>
    <w:p>
      <w:pPr>
        <w:ind w:left="120" w:hanging="112"/>
        <w:spacing w:after="0"/>
        <w:tabs>
          <w:tab w:leader="none" w:pos="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90309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firstLine="8"/>
        <w:spacing w:after="0" w:line="221" w:lineRule="auto"/>
        <w:tabs>
          <w:tab w:leader="none" w:pos="10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ind w:right="56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Confidential treatment has been requested for portions of this exhibit. These portions have been omitted and have been filed separately with the Securities and Exchange Commission. * Filed herewith</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20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5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w:t>
            </w:r>
          </w:p>
        </w:tc>
        <w:tc>
          <w:tcPr>
            <w:tcW w:w="10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313"/>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Omid Farokhzad, M.D.</w:t>
            </w:r>
          </w:p>
        </w:tc>
        <w:tc>
          <w:tcPr>
            <w:tcW w:w="10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w:t>
            </w:r>
          </w:p>
        </w:tc>
        <w:tc>
          <w:tcPr>
            <w:tcW w:w="100" w:type="dxa"/>
            <w:vAlign w:val="bottom"/>
          </w:tcPr>
          <w:p>
            <w:pPr>
              <w:spacing w:after="0"/>
              <w:rPr>
                <w:sz w:val="24"/>
                <w:szCs w:val="24"/>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118"/>
        </w:trPr>
        <w:tc>
          <w:tcPr>
            <w:tcW w:w="36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0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Omid Farokhzad, M.D.</w:t>
            </w:r>
          </w:p>
        </w:tc>
        <w:tc>
          <w:tcPr>
            <w:tcW w:w="1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R. Horn</w:t>
            </w:r>
          </w:p>
        </w:tc>
        <w:tc>
          <w:tcPr>
            <w:tcW w:w="10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 and President</w:t>
            </w:r>
          </w:p>
        </w:tc>
        <w:tc>
          <w:tcPr>
            <w:tcW w:w="100" w:type="dxa"/>
            <w:vAlign w:val="bottom"/>
          </w:tcPr>
          <w:p>
            <w:pPr>
              <w:spacing w:after="0"/>
              <w:rPr>
                <w:sz w:val="24"/>
                <w:szCs w:val="24"/>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88"/>
        </w:trPr>
        <w:tc>
          <w:tcPr>
            <w:tcW w:w="36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David R. Horn</w:t>
            </w:r>
          </w:p>
        </w:tc>
        <w:tc>
          <w:tcPr>
            <w:tcW w:w="100" w:type="dxa"/>
            <w:vAlign w:val="bottom"/>
          </w:tcPr>
          <w:p>
            <w:pPr>
              <w:spacing w:after="0"/>
              <w:rPr>
                <w:sz w:val="7"/>
                <w:szCs w:val="7"/>
                <w:color w:val="auto"/>
              </w:rPr>
            </w:pPr>
          </w:p>
        </w:tc>
        <w:tc>
          <w:tcPr>
            <w:tcW w:w="40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Accounting Officer</w:t>
            </w:r>
            <w:r>
              <w:rPr>
                <w:rFonts w:ascii="Times New Roman" w:cs="Times New Roman" w:eastAsia="Times New Roman" w:hAnsi="Times New Roman"/>
                <w:sz w:val="18"/>
                <w:szCs w:val="18"/>
                <w:color w:val="auto"/>
                <w:w w:val="99"/>
              </w:rPr>
              <w:t>)</w:t>
            </w:r>
          </w:p>
        </w:tc>
        <w:tc>
          <w:tcPr>
            <w:tcW w:w="1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Roelofs</w:t>
            </w:r>
          </w:p>
        </w:tc>
        <w:tc>
          <w:tcPr>
            <w:tcW w:w="100" w:type="dxa"/>
            <w:vAlign w:val="bottom"/>
          </w:tcPr>
          <w:p>
            <w:pPr>
              <w:spacing w:after="0"/>
              <w:rPr>
                <w:sz w:val="24"/>
                <w:szCs w:val="24"/>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00" w:type="dxa"/>
            <w:vAlign w:val="bottom"/>
          </w:tcPr>
          <w:p>
            <w:pPr>
              <w:spacing w:after="0"/>
              <w:rPr>
                <w:sz w:val="24"/>
                <w:szCs w:val="24"/>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88"/>
        </w:trPr>
        <w:tc>
          <w:tcPr>
            <w:tcW w:w="36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Nicolas Roelofs, Ph.D.</w:t>
            </w:r>
          </w:p>
        </w:tc>
        <w:tc>
          <w:tcPr>
            <w:tcW w:w="1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Hallal</w:t>
            </w:r>
          </w:p>
        </w:tc>
        <w:tc>
          <w:tcPr>
            <w:tcW w:w="100" w:type="dxa"/>
            <w:vAlign w:val="bottom"/>
          </w:tcPr>
          <w:p>
            <w:pPr>
              <w:spacing w:after="0"/>
              <w:rPr>
                <w:sz w:val="24"/>
                <w:szCs w:val="24"/>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88"/>
        </w:trPr>
        <w:tc>
          <w:tcPr>
            <w:tcW w:w="36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David Hallal</w:t>
            </w:r>
          </w:p>
        </w:tc>
        <w:tc>
          <w:tcPr>
            <w:tcW w:w="1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Meeta Gulyani</w:t>
            </w:r>
          </w:p>
        </w:tc>
        <w:tc>
          <w:tcPr>
            <w:tcW w:w="100" w:type="dxa"/>
            <w:vAlign w:val="bottom"/>
          </w:tcPr>
          <w:p>
            <w:pPr>
              <w:spacing w:after="0"/>
              <w:rPr>
                <w:sz w:val="24"/>
                <w:szCs w:val="24"/>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88"/>
        </w:trPr>
        <w:tc>
          <w:tcPr>
            <w:tcW w:w="36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Meeta Gulyani</w:t>
            </w:r>
          </w:p>
        </w:tc>
        <w:tc>
          <w:tcPr>
            <w:tcW w:w="1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Langer, Sc.D.</w:t>
            </w:r>
          </w:p>
        </w:tc>
        <w:tc>
          <w:tcPr>
            <w:tcW w:w="100" w:type="dxa"/>
            <w:vAlign w:val="bottom"/>
          </w:tcPr>
          <w:p>
            <w:pPr>
              <w:spacing w:after="0"/>
              <w:rPr>
                <w:sz w:val="24"/>
                <w:szCs w:val="24"/>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88"/>
        </w:trPr>
        <w:tc>
          <w:tcPr>
            <w:tcW w:w="36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Robert Langer, Sc.D.</w:t>
            </w:r>
          </w:p>
        </w:tc>
        <w:tc>
          <w:tcPr>
            <w:tcW w:w="1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Terrance McGuire</w:t>
            </w:r>
          </w:p>
        </w:tc>
        <w:tc>
          <w:tcPr>
            <w:tcW w:w="100" w:type="dxa"/>
            <w:vAlign w:val="bottom"/>
          </w:tcPr>
          <w:p>
            <w:pPr>
              <w:spacing w:after="0"/>
              <w:rPr>
                <w:sz w:val="24"/>
                <w:szCs w:val="24"/>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88"/>
        </w:trPr>
        <w:tc>
          <w:tcPr>
            <w:tcW w:w="36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Terrance McGuire</w:t>
            </w:r>
          </w:p>
        </w:tc>
        <w:tc>
          <w:tcPr>
            <w:tcW w:w="1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Deep Nishar</w:t>
            </w:r>
          </w:p>
        </w:tc>
        <w:tc>
          <w:tcPr>
            <w:tcW w:w="100" w:type="dxa"/>
            <w:vAlign w:val="bottom"/>
          </w:tcPr>
          <w:p>
            <w:pPr>
              <w:spacing w:after="0"/>
              <w:rPr>
                <w:sz w:val="24"/>
                <w:szCs w:val="24"/>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88"/>
        </w:trPr>
        <w:tc>
          <w:tcPr>
            <w:tcW w:w="36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Deep Nishar</w:t>
            </w:r>
          </w:p>
        </w:tc>
        <w:tc>
          <w:tcPr>
            <w:tcW w:w="1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7" w:name="page148"/>
    <w:bookmarkEnd w:id="147"/>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0"/>
          <w:szCs w:val="20"/>
          <w:color w:val="auto"/>
        </w:rPr>
      </w:pPr>
    </w:p>
    <w:p>
      <w:pPr>
        <w:jc w:val="both"/>
        <w:ind w:right="20" w:firstLine="424"/>
        <w:spacing w:after="0" w:line="282" w:lineRule="auto"/>
        <w:rPr>
          <w:sz w:val="20"/>
          <w:szCs w:val="20"/>
          <w:color w:val="auto"/>
        </w:rPr>
      </w:pPr>
      <w:r>
        <w:rPr>
          <w:rFonts w:ascii="Times New Roman" w:cs="Times New Roman" w:eastAsia="Times New Roman" w:hAnsi="Times New Roman"/>
          <w:sz w:val="18"/>
          <w:szCs w:val="18"/>
          <w:color w:val="auto"/>
        </w:rPr>
        <w:t>Seer, Inc. (the “Company”) has one class of securities registered under Section 12 of the Securities Exchange Act of 1934, as amended: our Class A common stock, par value $0.00001 per share.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summary, the terms “Seer,” “the Company,” “we,” “our” and “us” refer to Seer, Inc.</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description of the material terms and provisions relating to our capital stock. The following description is a summary that is not complete and is subject to and qualified in its entirety by reference to our amended and restated certificate of incorporation and our amended and restated bylaws, and to provisions of the Delaware General Corporation Law. Copies of our amended and restated certificate of incorporation and our amended and restated bylaws, each of which may be amended from time to time, are included as exhibits to the Annual Report on Form 10-K to which this description is an Exhibit.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120" w:firstLine="424"/>
        <w:spacing w:after="0" w:line="258" w:lineRule="auto"/>
        <w:rPr>
          <w:sz w:val="20"/>
          <w:szCs w:val="20"/>
          <w:color w:val="auto"/>
        </w:rPr>
      </w:pPr>
      <w:r>
        <w:rPr>
          <w:rFonts w:ascii="Times New Roman" w:cs="Times New Roman" w:eastAsia="Times New Roman" w:hAnsi="Times New Roman"/>
          <w:sz w:val="18"/>
          <w:szCs w:val="18"/>
          <w:color w:val="auto"/>
        </w:rPr>
        <w:t>The following description summarizes certain important terms of our capital stock. Because it is only a summary, it does not contain all the information that may be important to you. For a complete description of the matters set forth herein, you should refer to our amended and restated certificate of incorporation and amended and restated bylaws, which are included as exhibits to the Annual Report on Form 10-K to which this description is an Exhibit, and to the applicable provisions of Delaware law. Our authorized capital stock consists of 105,000,000 shares of capital stock, $0.00001 par value per share, of which:</w:t>
      </w:r>
    </w:p>
    <w:p>
      <w:pPr>
        <w:spacing w:after="0" w:line="183" w:lineRule="exact"/>
        <w:rPr>
          <w:sz w:val="20"/>
          <w:szCs w:val="20"/>
          <w:color w:val="auto"/>
        </w:rPr>
      </w:pPr>
    </w:p>
    <w:p>
      <w:pPr>
        <w:ind w:left="1180" w:hanging="370"/>
        <w:spacing w:after="0"/>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94,000,000 shares are designated as Class A common stock;</w:t>
      </w:r>
    </w:p>
    <w:p>
      <w:pPr>
        <w:spacing w:after="0" w:line="27"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6,000,000 shares are designated as Class B common stock; and</w:t>
      </w:r>
    </w:p>
    <w:p>
      <w:pPr>
        <w:spacing w:after="0" w:line="9"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are designated as preferred stock.</w:t>
      </w:r>
    </w:p>
    <w:p>
      <w:pPr>
        <w:spacing w:after="0" w:line="234" w:lineRule="exact"/>
        <w:rPr>
          <w:sz w:val="20"/>
          <w:szCs w:val="20"/>
          <w:color w:val="auto"/>
        </w:rPr>
      </w:pPr>
    </w:p>
    <w:p>
      <w:pPr>
        <w:ind w:right="320" w:firstLine="424"/>
        <w:spacing w:after="0" w:line="282"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has the authority, without stockholder approval except as required by the listing standards of Nasdaq, to issue additional shares of our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6" w:lineRule="exact"/>
        <w:rPr>
          <w:sz w:val="20"/>
          <w:szCs w:val="20"/>
          <w:color w:val="auto"/>
        </w:rPr>
      </w:pPr>
    </w:p>
    <w:p>
      <w:pPr>
        <w:ind w:right="120" w:firstLine="424"/>
        <w:spacing w:after="0" w:line="282"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56" w:lineRule="exact"/>
        <w:rPr>
          <w:sz w:val="20"/>
          <w:szCs w:val="20"/>
          <w:color w:val="auto"/>
        </w:rPr>
      </w:pPr>
    </w:p>
    <w:p>
      <w:pPr>
        <w:ind w:right="40" w:firstLine="4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6" w:lineRule="exact"/>
        <w:rPr>
          <w:sz w:val="20"/>
          <w:szCs w:val="20"/>
          <w:color w:val="auto"/>
        </w:rPr>
      </w:pPr>
    </w:p>
    <w:p>
      <w:pPr>
        <w:jc w:val="both"/>
        <w:ind w:right="280" w:firstLine="424"/>
        <w:spacing w:after="0" w:line="266" w:lineRule="auto"/>
        <w:rPr>
          <w:sz w:val="20"/>
          <w:szCs w:val="20"/>
          <w:color w:val="auto"/>
        </w:rPr>
      </w:pPr>
      <w:r>
        <w:rPr>
          <w:rFonts w:ascii="Times New Roman" w:cs="Times New Roman" w:eastAsia="Times New Roman" w:hAnsi="Times New Roman"/>
          <w:sz w:val="18"/>
          <w:szCs w:val="18"/>
          <w:color w:val="auto"/>
        </w:rPr>
        <w:t>Holders of Class A common stock are entitled to one vote for each share held on all matters submitted to a vote of stockholders and holders of our Class B common stock are entitled to ten votes for each share held, except as otherwise required by law. The holders of our Class A common stock and Class B common stock vote together as a single class, unless otherwise required by law.</w:t>
      </w:r>
    </w:p>
    <w:p>
      <w:pPr>
        <w:spacing w:after="0" w:line="203" w:lineRule="exact"/>
        <w:rPr>
          <w:sz w:val="20"/>
          <w:szCs w:val="20"/>
          <w:color w:val="auto"/>
        </w:rPr>
      </w:pPr>
    </w:p>
    <w:p>
      <w:pPr>
        <w:ind w:right="360" w:firstLine="424"/>
        <w:spacing w:after="0" w:line="282" w:lineRule="auto"/>
        <w:rPr>
          <w:sz w:val="20"/>
          <w:szCs w:val="20"/>
          <w:color w:val="auto"/>
        </w:rPr>
      </w:pPr>
      <w:r>
        <w:rPr>
          <w:rFonts w:ascii="Times New Roman" w:cs="Times New Roman" w:eastAsia="Times New Roman" w:hAnsi="Times New Roman"/>
          <w:sz w:val="18"/>
          <w:szCs w:val="18"/>
          <w:color w:val="auto"/>
        </w:rPr>
        <w:t>Delaware law could require either holders of our Class A common stock and our Class B common stock to vote separately as a single class in the following circumstances:</w:t>
      </w:r>
    </w:p>
    <w:p>
      <w:pPr>
        <w:spacing w:after="0" w:line="189" w:lineRule="exact"/>
        <w:rPr>
          <w:sz w:val="20"/>
          <w:szCs w:val="20"/>
          <w:color w:val="auto"/>
        </w:rPr>
      </w:pPr>
    </w:p>
    <w:p>
      <w:pPr>
        <w:ind w:left="1500" w:right="160" w:hanging="690"/>
        <w:spacing w:after="0" w:line="261" w:lineRule="auto"/>
        <w:tabs>
          <w:tab w:leader="none" w:pos="11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ind w:left="1500" w:right="320" w:hanging="690"/>
        <w:spacing w:after="0" w:line="255" w:lineRule="auto"/>
        <w:tabs>
          <w:tab w:leader="none" w:pos="11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213" w:lineRule="exact"/>
        <w:rPr>
          <w:sz w:val="20"/>
          <w:szCs w:val="20"/>
          <w:color w:val="auto"/>
        </w:rPr>
      </w:pPr>
    </w:p>
    <w:p>
      <w:pPr>
        <w:ind w:firstLine="424"/>
        <w:spacing w:after="0" w:line="282" w:lineRule="auto"/>
        <w:rPr>
          <w:sz w:val="20"/>
          <w:szCs w:val="20"/>
          <w:color w:val="auto"/>
        </w:rPr>
      </w:pPr>
      <w:r>
        <w:rPr>
          <w:rFonts w:ascii="Times New Roman" w:cs="Times New Roman" w:eastAsia="Times New Roman" w:hAnsi="Times New Roman"/>
          <w:sz w:val="18"/>
          <w:szCs w:val="18"/>
          <w:color w:val="auto"/>
        </w:rPr>
        <w:t>Stockholders do not have the ability to cumulate votes for the election of directors. Beginning with the 2023 annual meeting of stockholders, directors are elected for a full term of one year expiring at the following annual meeting of stockholders or, if earlier, their death or resignation.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56" w:lineRule="exact"/>
        <w:rPr>
          <w:sz w:val="20"/>
          <w:szCs w:val="20"/>
          <w:color w:val="auto"/>
        </w:rPr>
      </w:pPr>
    </w:p>
    <w:p>
      <w:pPr>
        <w:ind w:right="160" w:firstLine="424"/>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256" w:lineRule="exact"/>
        <w:rPr>
          <w:sz w:val="20"/>
          <w:szCs w:val="20"/>
          <w:color w:val="auto"/>
        </w:rPr>
      </w:pPr>
    </w:p>
    <w:p>
      <w:pPr>
        <w:ind w:right="40" w:firstLine="424"/>
        <w:spacing w:after="0" w:line="26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6" w:lineRule="exact"/>
        <w:rPr>
          <w:sz w:val="20"/>
          <w:szCs w:val="20"/>
          <w:color w:val="auto"/>
        </w:rPr>
      </w:pPr>
    </w:p>
    <w:p>
      <w:pPr>
        <w:ind w:firstLine="424"/>
        <w:spacing w:after="0" w:line="253" w:lineRule="auto"/>
        <w:rPr>
          <w:sz w:val="20"/>
          <w:szCs w:val="20"/>
          <w:color w:val="auto"/>
        </w:rPr>
      </w:pPr>
      <w:r>
        <w:rPr>
          <w:rFonts w:ascii="Times New Roman" w:cs="Times New Roman" w:eastAsia="Times New Roman" w:hAnsi="Times New Roman"/>
          <w:sz w:val="18"/>
          <w:szCs w:val="18"/>
          <w:color w:val="auto"/>
        </w:rPr>
        <w:t>No shares of our preferred stock are outstanding. Pursuant to our amended and restated certificate of incorporation, 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56" w:lineRule="exact"/>
        <w:rPr>
          <w:sz w:val="20"/>
          <w:szCs w:val="20"/>
          <w:color w:val="auto"/>
        </w:rPr>
      </w:pPr>
    </w:p>
    <w:p>
      <w:pPr>
        <w:ind w:right="60" w:firstLine="424"/>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56" w:lineRule="exact"/>
        <w:rPr>
          <w:sz w:val="20"/>
          <w:szCs w:val="20"/>
          <w:color w:val="auto"/>
        </w:rPr>
      </w:pPr>
    </w:p>
    <w:p>
      <w:pPr>
        <w:ind w:right="20" w:firstLine="424"/>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203" w:lineRule="exact"/>
        <w:rPr>
          <w:sz w:val="20"/>
          <w:szCs w:val="20"/>
          <w:color w:val="auto"/>
        </w:rPr>
      </w:pPr>
    </w:p>
    <w:p>
      <w:pPr>
        <w:ind w:left="1180" w:hanging="370"/>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was approved by the board of directors prior to the time that the stockholder became an interested stockholder;</w:t>
      </w:r>
    </w:p>
    <w:p>
      <w:pPr>
        <w:spacing w:after="0" w:line="27" w:lineRule="exact"/>
        <w:rPr>
          <w:rFonts w:ascii="Times New Roman" w:cs="Times New Roman" w:eastAsia="Times New Roman" w:hAnsi="Times New Roman"/>
          <w:sz w:val="18"/>
          <w:szCs w:val="18"/>
          <w:color w:val="auto"/>
        </w:rPr>
      </w:pPr>
    </w:p>
    <w:p>
      <w:pPr>
        <w:jc w:val="both"/>
        <w:ind w:left="1500" w:right="60" w:hanging="690"/>
        <w:spacing w:after="0" w:line="250" w:lineRule="auto"/>
        <w:tabs>
          <w:tab w:leader="none" w:pos="11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 w:lineRule="exact"/>
        <w:rPr>
          <w:rFonts w:ascii="Times New Roman" w:cs="Times New Roman" w:eastAsia="Times New Roman" w:hAnsi="Times New Roman"/>
          <w:sz w:val="18"/>
          <w:szCs w:val="18"/>
          <w:color w:val="auto"/>
        </w:rPr>
      </w:pPr>
    </w:p>
    <w:p>
      <w:pPr>
        <w:ind w:left="1500" w:right="200" w:hanging="690"/>
        <w:spacing w:after="0" w:line="255" w:lineRule="auto"/>
        <w:tabs>
          <w:tab w:leader="none" w:pos="11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213" w:lineRule="exact"/>
        <w:rPr>
          <w:sz w:val="20"/>
          <w:szCs w:val="20"/>
          <w:color w:val="auto"/>
        </w:rPr>
      </w:pPr>
    </w:p>
    <w:p>
      <w:pPr>
        <w:ind w:right="200" w:firstLine="424"/>
        <w:spacing w:after="0" w:line="266"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 Provisions</w:t>
      </w:r>
    </w:p>
    <w:p>
      <w:pPr>
        <w:spacing w:after="0" w:line="256" w:lineRule="exact"/>
        <w:rPr>
          <w:sz w:val="20"/>
          <w:szCs w:val="20"/>
          <w:color w:val="auto"/>
        </w:rPr>
      </w:pPr>
    </w:p>
    <w:p>
      <w:pPr>
        <w:ind w:right="240" w:firstLine="4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187" w:lineRule="exact"/>
        <w:rPr>
          <w:sz w:val="20"/>
          <w:szCs w:val="20"/>
          <w:color w:val="auto"/>
        </w:rPr>
      </w:pPr>
    </w:p>
    <w:p>
      <w:pPr>
        <w:ind w:right="120" w:firstLine="4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amended and restated certificate of incorporation and amended and restated bylaws authorize only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fill vacant directorships, including newly created seats. In addition, the number of directors constituting our board of directors are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10" w:lineRule="exact"/>
        <w:rPr>
          <w:sz w:val="20"/>
          <w:szCs w:val="20"/>
          <w:color w:val="auto"/>
        </w:rPr>
      </w:pPr>
    </w:p>
    <w:p>
      <w:pPr>
        <w:ind w:firstLine="4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Our amended and restated certificate of incorporation provide that our stockholders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10" w:lineRule="exact"/>
        <w:rPr>
          <w:sz w:val="20"/>
          <w:szCs w:val="20"/>
          <w:color w:val="auto"/>
        </w:rPr>
      </w:pPr>
    </w:p>
    <w:p>
      <w:pPr>
        <w:ind w:right="40" w:firstLine="4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 restated bylaws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10" w:lineRule="exact"/>
        <w:rPr>
          <w:sz w:val="20"/>
          <w:szCs w:val="20"/>
          <w:color w:val="auto"/>
        </w:rPr>
      </w:pPr>
    </w:p>
    <w:p>
      <w:pPr>
        <w:ind w:right="160" w:firstLine="4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Delaware General Corporation Law provides that stockholders are not entitled to cumulate votes in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unless a corporation’s certificate of incorporation provides otherwise. Our amended and restated certificate of incorporation does not provide for cumulative voting.</w:t>
      </w:r>
    </w:p>
    <w:p>
      <w:pPr>
        <w:spacing w:after="0" w:line="200" w:lineRule="exact"/>
        <w:rPr>
          <w:sz w:val="20"/>
          <w:szCs w:val="20"/>
          <w:color w:val="auto"/>
        </w:rPr>
      </w:pPr>
    </w:p>
    <w:p>
      <w:pPr>
        <w:ind w:right="220" w:firstLine="4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amended and restated certificate of incorporation provide that stockholders may remove directors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w:t>
      </w:r>
    </w:p>
    <w:p>
      <w:pPr>
        <w:spacing w:after="0" w:line="185" w:lineRule="exact"/>
        <w:rPr>
          <w:sz w:val="20"/>
          <w:szCs w:val="20"/>
          <w:color w:val="auto"/>
        </w:rPr>
      </w:pPr>
    </w:p>
    <w:p>
      <w:pPr>
        <w:ind w:right="240" w:firstLine="4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Any amendment of the above provisions in our amended and restated certificate of incorporation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holders of at least a two thirds majority of our then outstanding capital stock.</w:t>
      </w:r>
    </w:p>
    <w:p>
      <w:pPr>
        <w:spacing w:after="0" w:line="185" w:lineRule="exact"/>
        <w:rPr>
          <w:sz w:val="20"/>
          <w:szCs w:val="20"/>
          <w:color w:val="auto"/>
        </w:rPr>
      </w:pPr>
    </w:p>
    <w:p>
      <w:pPr>
        <w:ind w:right="200" w:firstLine="4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has the authority, without further action by our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ind w:firstLine="41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Exclusive Forum. </w:t>
      </w:r>
      <w:r>
        <w:rPr>
          <w:rFonts w:ascii="Times New Roman" w:cs="Times New Roman" w:eastAsia="Times New Roman" w:hAnsi="Times New Roman"/>
          <w:sz w:val="17"/>
          <w:szCs w:val="17"/>
          <w:color w:val="auto"/>
        </w:rPr>
        <w:t>Our amended and restated bylaws provide that, unless we consent to the selection of an alternative forum, the Court of Chancery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State of Delaware (or, if the Court of Chancery does not have jurisdiction, another State court in Delaware or the federal district court for the District of Delaware) shall be the sole and exclusive forum for (i) any derivative action or proceeding under Delaware statutory or common law brought on our behalf,</w:t>
      </w:r>
    </w:p>
    <w:p>
      <w:pPr>
        <w:spacing w:after="0" w:line="1" w:lineRule="exact"/>
        <w:rPr>
          <w:sz w:val="20"/>
          <w:szCs w:val="20"/>
          <w:color w:val="auto"/>
        </w:rPr>
      </w:pPr>
    </w:p>
    <w:p>
      <w:pPr>
        <w:ind w:left="280" w:hanging="272"/>
        <w:spacing w:after="0"/>
        <w:tabs>
          <w:tab w:leader="none" w:pos="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 (iii) any action asserting a claim arising pursuant to the Delaware General Corporation Law,</w:t>
      </w:r>
    </w:p>
    <w:p>
      <w:pPr>
        <w:spacing w:after="0" w:line="9" w:lineRule="exact"/>
        <w:rPr>
          <w:rFonts w:ascii="Times New Roman" w:cs="Times New Roman" w:eastAsia="Times New Roman" w:hAnsi="Times New Roman"/>
          <w:sz w:val="18"/>
          <w:szCs w:val="18"/>
          <w:color w:val="auto"/>
        </w:rPr>
      </w:pPr>
    </w:p>
    <w:p>
      <w:pPr>
        <w:ind w:firstLine="8"/>
        <w:spacing w:after="0" w:line="251" w:lineRule="auto"/>
        <w:tabs>
          <w:tab w:leader="none" w:pos="30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regarding our amended and restated certificate of incorporation or amended and restated bylaws, or (v) any action asserting a claim against us that is governed by the internal affairs doctrine, except, in each case,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or liability created by the Exchange Act or the rules and regulations thereunder. As a result, the exclusive forum provision will not apply to actions arising under the Exchange Act or the rules and regulations thereunder. Although our amended and restated bylaws contain the exclusive forum provision described above, to the extent the exclusive forum provision restricts the courts in which claims arising under the Securities Act may be brought, there is uncertainty as to whether a court would enforce such a provision, and the enforceability of similar choice of forum provisions in other companies’ charter documents has been challenged in legal proceedings. We note that investors cannot waive compliance with the federal securities laws and the rules and regulations thereunder.</w:t>
      </w:r>
    </w:p>
    <w:p>
      <w:pPr>
        <w:spacing w:after="0" w:line="191" w:lineRule="exact"/>
        <w:rPr>
          <w:sz w:val="20"/>
          <w:szCs w:val="20"/>
          <w:color w:val="auto"/>
        </w:rPr>
      </w:pPr>
    </w:p>
    <w:p>
      <w:pPr>
        <w:ind w:right="40" w:firstLine="424"/>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56" w:lineRule="exact"/>
        <w:rPr>
          <w:sz w:val="20"/>
          <w:szCs w:val="20"/>
          <w:color w:val="auto"/>
        </w:rPr>
      </w:pPr>
    </w:p>
    <w:p>
      <w:pPr>
        <w:ind w:right="180" w:firstLine="4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Computershare Trust Company, N.A. The transfer agent and registrar’s address is 250 Royal Street, Canton, Massachusetts 02021.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256" w:lineRule="exact"/>
        <w:rPr>
          <w:sz w:val="20"/>
          <w:szCs w:val="20"/>
          <w:color w:val="auto"/>
        </w:rPr>
      </w:pPr>
    </w:p>
    <w:p>
      <w:pPr>
        <w:ind w:right="180" w:firstLine="4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203" w:lineRule="exact"/>
        <w:rPr>
          <w:sz w:val="20"/>
          <w:szCs w:val="20"/>
          <w:color w:val="auto"/>
        </w:rPr>
      </w:pPr>
    </w:p>
    <w:p>
      <w:pPr>
        <w:ind w:left="1180" w:hanging="370"/>
        <w:spacing w:after="0"/>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27"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1500" w:right="640" w:hanging="690"/>
        <w:spacing w:after="0" w:line="250" w:lineRule="auto"/>
        <w:tabs>
          <w:tab w:leader="none" w:pos="11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ind w:left="1180" w:hanging="370"/>
        <w:spacing w:after="0"/>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34" w:lineRule="exact"/>
        <w:rPr>
          <w:sz w:val="20"/>
          <w:szCs w:val="20"/>
          <w:color w:val="auto"/>
        </w:rPr>
      </w:pPr>
    </w:p>
    <w:p>
      <w:pPr>
        <w:ind w:right="200" w:firstLine="424"/>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52" w:name="page153"/>
    <w:bookmarkEnd w:id="152"/>
    <w:p>
      <w:pPr>
        <w:spacing w:after="0" w:line="221" w:lineRule="exact"/>
        <w:rPr>
          <w:sz w:val="20"/>
          <w:szCs w:val="20"/>
          <w:color w:val="auto"/>
        </w:rPr>
      </w:pPr>
    </w:p>
    <w:p>
      <w:pPr>
        <w:ind w:firstLine="424"/>
        <w:spacing w:after="0" w:line="255" w:lineRule="auto"/>
        <w:rPr>
          <w:sz w:val="20"/>
          <w:szCs w:val="20"/>
          <w:color w:val="auto"/>
        </w:rPr>
      </w:pPr>
      <w:r>
        <w:rPr>
          <w:rFonts w:ascii="Times New Roman" w:cs="Times New Roman" w:eastAsia="Times New Roman" w:hAnsi="Times New Roman"/>
          <w:sz w:val="18"/>
          <w:szCs w:val="18"/>
          <w:color w:val="auto"/>
        </w:rPr>
        <w:t>In addition, our amended and restated bylaws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216" w:lineRule="exact"/>
        <w:rPr>
          <w:sz w:val="20"/>
          <w:szCs w:val="20"/>
          <w:color w:val="auto"/>
        </w:rPr>
      </w:pPr>
    </w:p>
    <w:p>
      <w:pPr>
        <w:ind w:right="20" w:firstLine="424"/>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210" w:lineRule="exact"/>
        <w:rPr>
          <w:sz w:val="20"/>
          <w:szCs w:val="20"/>
          <w:color w:val="auto"/>
        </w:rPr>
      </w:pPr>
    </w:p>
    <w:p>
      <w:pPr>
        <w:ind w:firstLine="424"/>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215" w:lineRule="exact"/>
        <w:rPr>
          <w:sz w:val="20"/>
          <w:szCs w:val="20"/>
          <w:color w:val="auto"/>
        </w:rPr>
      </w:pPr>
    </w:p>
    <w:p>
      <w:pPr>
        <w:ind w:right="80" w:firstLine="424"/>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207" w:lineRule="exact"/>
        <w:rPr>
          <w:sz w:val="20"/>
          <w:szCs w:val="20"/>
          <w:color w:val="auto"/>
        </w:rPr>
      </w:pPr>
    </w:p>
    <w:p>
      <w:pPr>
        <w:ind w:right="400" w:firstLine="424"/>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89" w:lineRule="exact"/>
        <w:rPr>
          <w:sz w:val="20"/>
          <w:szCs w:val="20"/>
          <w:color w:val="auto"/>
        </w:rPr>
      </w:pPr>
    </w:p>
    <w:p>
      <w:pPr>
        <w:ind w:right="340" w:firstLine="424"/>
        <w:spacing w:after="0" w:line="282" w:lineRule="auto"/>
        <w:rPr>
          <w:sz w:val="20"/>
          <w:szCs w:val="20"/>
          <w:color w:val="auto"/>
        </w:rPr>
      </w:pPr>
      <w:r>
        <w:rPr>
          <w:rFonts w:ascii="Times New Roman" w:cs="Times New Roman" w:eastAsia="Times New Roman" w:hAnsi="Times New Roman"/>
          <w:sz w:val="18"/>
          <w:szCs w:val="18"/>
          <w:color w:val="auto"/>
        </w:rPr>
        <w:t>The underwriting agreement will provide for indemnification by the underwriters of us and our officers and directors for certain liabilities arising under the Securities Act or otherwise.</w:t>
      </w:r>
    </w:p>
    <w:p>
      <w:pPr>
        <w:spacing w:after="0" w:line="189" w:lineRule="exact"/>
        <w:rPr>
          <w:sz w:val="20"/>
          <w:szCs w:val="20"/>
          <w:color w:val="auto"/>
        </w:rPr>
      </w:pPr>
    </w:p>
    <w:p>
      <w:pPr>
        <w:jc w:val="both"/>
        <w:ind w:right="140" w:firstLine="4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“SEER.”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Stock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November 18, 2020)</w:t>
      </w:r>
    </w:p>
    <w:p>
      <w:pPr>
        <w:spacing w:after="0" w:line="206" w:lineRule="exact"/>
        <w:rPr>
          <w:sz w:val="20"/>
          <w:szCs w:val="20"/>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0"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The purpose of this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to secure for Seer, Inc., a Delaware corporation, or any successor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its shareholders the benefits arising from capital stock ownership by employees, officers and directors of, and consultants or advisors to, the Company and its parent and subsidiary corporations who are expected to contribute to the Company’s future growth and success. Under the Plan recipients may be awarded both (i) Options (as defined in Section 2.1) to purchase the Company’s Class A Common Stock, par value $0.00001 per share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and (ii) shares of Class A Common Stock (“</w:t>
      </w:r>
      <w:r>
        <w:rPr>
          <w:rFonts w:ascii="Times New Roman" w:cs="Times New Roman" w:eastAsia="Times New Roman" w:hAnsi="Times New Roman"/>
          <w:sz w:val="22"/>
          <w:szCs w:val="22"/>
          <w:u w:val="single" w:color="auto"/>
          <w:color w:val="auto"/>
        </w:rPr>
        <w:t>Restricted Stock Awards</w:t>
      </w:r>
      <w:r>
        <w:rPr>
          <w:rFonts w:ascii="Times New Roman" w:cs="Times New Roman" w:eastAsia="Times New Roman" w:hAnsi="Times New Roman"/>
          <w:sz w:val="22"/>
          <w:szCs w:val="22"/>
          <w:color w:val="auto"/>
        </w:rPr>
        <w:t>”). Except where the context otherwise requires, 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include any parent and all present and future subsidiaries of the Company as defined in Sections 424(e) and 424(f) of the Internal Revenue Code of 1986, as amended or replaced from time to time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Those provisions of the Plan which make express reference to Section 422 of the Code shall apply only to Incentive Stock Options (as that term is defined below).</w:t>
      </w:r>
    </w:p>
    <w:p>
      <w:pPr>
        <w:spacing w:after="0" w:line="179" w:lineRule="exact"/>
        <w:rPr>
          <w:sz w:val="20"/>
          <w:szCs w:val="20"/>
          <w:color w:val="auto"/>
        </w:rPr>
      </w:pPr>
    </w:p>
    <w:p>
      <w:pPr>
        <w:ind w:left="1180" w:hanging="423"/>
        <w:spacing w:after="0"/>
        <w:tabs>
          <w:tab w:leader="none" w:pos="118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Types of Awards and Administration.</w:t>
      </w:r>
    </w:p>
    <w:p>
      <w:pPr>
        <w:spacing w:after="0" w:line="206" w:lineRule="exact"/>
        <w:rPr>
          <w:sz w:val="20"/>
          <w:szCs w:val="20"/>
          <w:color w:val="auto"/>
        </w:rPr>
      </w:pPr>
    </w:p>
    <w:p>
      <w:pPr>
        <w:ind w:right="4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xml:space="preserve"> Options granted pursuant to the Plan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shall be authorized by action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and may be either incentive stock options (“</w:t>
      </w:r>
      <w:r>
        <w:rPr>
          <w:rFonts w:ascii="Times New Roman" w:cs="Times New Roman" w:eastAsia="Times New Roman" w:hAnsi="Times New Roman"/>
          <w:sz w:val="22"/>
          <w:szCs w:val="22"/>
          <w:u w:val="single" w:color="auto"/>
          <w:color w:val="auto"/>
        </w:rPr>
        <w:t>Incentive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meeting the requirements of Section 422 of the Code or non-statutory Options which are not intended to meet the requirements of Section 422. All Options when granted are intended to be non-statutory Options, unless the applicable Option Agreement (as defined in Section 5.1) explicitly states that the Option is intended to be an Incentive Stock Option. The vesting of Options may be conditioned upon the completion of a specified period of employment with the Company and/or such other conditions or events as the Board may determine. The Board may also provide that Options are immediately exercisable subject to certain repurchase rights in the Company dependent upon the continued employment of the optionee and/or such other conditions or events as the Board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ind w:right="40" w:firstLine="2621"/>
        <w:spacing w:after="0" w:line="235"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Incentive Stock Options.</w:t>
      </w:r>
      <w:r>
        <w:rPr>
          <w:rFonts w:ascii="Times New Roman" w:cs="Times New Roman" w:eastAsia="Times New Roman" w:hAnsi="Times New Roman"/>
          <w:sz w:val="22"/>
          <w:szCs w:val="22"/>
          <w:color w:val="auto"/>
        </w:rPr>
        <w:t xml:space="preserve"> Incentive Stock Options may only be granted to employees of the Company. For so long as the Code shall so provide, Options granted to any employee under the Plan (and any other incentive stock option plans of the Company) which are intended to constitute Incentive Stock Options shall not constitute Incentive Stock Options to the extent that such Options, in the aggregate, become exercisable for the first time in any one calendar year for shares of Class A Common Stock with an aggregate fair market value (determined as of the respective date or dates of grant) of more than $100,000. If an Option is intended to be an Incentive Stock Option, and if for any reason such Option (or any portion thereof) shall not qualify as an Incentive Stock Option, then, to the extent of such nonqualification, such Option (or portion thereof) shall be regarded as a non-statutory Option appropriately granted under the Plan provided that such Option (or portion thereof) otherwise meets the Plan’s requirements relating to non-statutory Options.</w:t>
      </w:r>
    </w:p>
    <w:p>
      <w:pPr>
        <w:spacing w:after="0" w:line="174" w:lineRule="exact"/>
        <w:rPr>
          <w:sz w:val="20"/>
          <w:szCs w:val="20"/>
          <w:color w:val="auto"/>
        </w:rPr>
      </w:pPr>
    </w:p>
    <w:p>
      <w:pPr>
        <w:ind w:right="18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Restricted Stock Awards.</w:t>
      </w:r>
      <w:r>
        <w:rPr>
          <w:rFonts w:ascii="Times New Roman" w:cs="Times New Roman" w:eastAsia="Times New Roman" w:hAnsi="Times New Roman"/>
          <w:sz w:val="22"/>
          <w:szCs w:val="22"/>
          <w:color w:val="auto"/>
        </w:rPr>
        <w:t xml:space="preserve"> The Board in its discretion may grant Restricted Stock Awards, entitling the recipient to acquire, for a purchase price determined by the Board, shares of Class A Common Stock subject to such restrictions and conditions as the Board may determine at the time of grant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including continued employment and/or achievement of pre-established performance goals and objectives.</w:t>
      </w:r>
    </w:p>
    <w:p>
      <w:pPr>
        <w:spacing w:after="0" w:line="172" w:lineRule="exact"/>
        <w:rPr>
          <w:sz w:val="20"/>
          <w:szCs w:val="20"/>
          <w:color w:val="auto"/>
        </w:rPr>
      </w:pPr>
    </w:p>
    <w:p>
      <w:pPr>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xml:space="preserve"> The Plan shall be administered by the Board, whose construction and interpretation of the terms and provisions of the Plan shall be final and conclusive. The Board may in its sole discretion authorize issuance of Restricted Stock, the grant of Options and the issuance of shares upon exercise of such Options as provided in the Plan. The Board shall have authority, subject to the express provisions of the Plan, to construe Restricted Stock Agreements, Option Agreements and the Plan, to prescribe, amend and rescind rules and regulations relating to the Plan, to determine the terms and provisions of Restricted Stock Agreements and Option Agreements, and to make all other determinations in the judgment of the Board necessary or desirable for the administration of the Plan. The Board may correct any defect or supply any omission or reconcile any inconsistency in the Plan or in any Restricted Stock Agreement or Option Agreement in the manner and to the extent it shall deem expedient to carry the Plan into effect and it shall be the sole and final judge of such expediency. Subject to the consent of any adversely affected optionee or recipient of Restricted Stock, the Board may unilaterally institute and determine the terms of a program under which (i) outstanding Options or Restricted Stock Awards are surrendered or cancelled in exchange for awards of the same type (which may have higher or lower exercise prices and different terms), awards of a different type, and/or cash, (ii) optionees or recipients of Restricted Stock would have the opportunity to transfer any outstanding options or Restricted Stock Awards to a financial institution or other person or entity selected by the Board, and/or (iii) the exercise price of an outstanding Option is reduced or increased (each, an “</w:t>
      </w:r>
      <w:r>
        <w:rPr>
          <w:rFonts w:ascii="Times New Roman" w:cs="Times New Roman" w:eastAsia="Times New Roman" w:hAnsi="Times New Roman"/>
          <w:sz w:val="22"/>
          <w:szCs w:val="22"/>
          <w:u w:val="single" w:color="auto"/>
          <w:color w:val="auto"/>
        </w:rPr>
        <w:t>Exchange Program</w:t>
      </w:r>
      <w:r>
        <w:rPr>
          <w:rFonts w:ascii="Times New Roman" w:cs="Times New Roman" w:eastAsia="Times New Roman" w:hAnsi="Times New Roman"/>
          <w:sz w:val="22"/>
          <w:szCs w:val="22"/>
          <w:color w:val="auto"/>
        </w:rPr>
        <w:t>”). The Board will determine the terms and conditions of any Exchange Program in its sole discretion. No director or person acting pursuant to authority delegated by the Board shall be liable for any action or determination under the Plan made in good faith. The Board may, to the full extent permitted by or consistent with applicable laws or regulations, delegate any or all of its powers under the Plan to a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appointed by the Board, and if the Committee is so appointed, to the extent of such delegation, all references to the Board in the Plan shall mean and relate to such Committee, other than references to the Board in this sentence and in Section 18 (as to amendment or termination of the Plan) and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5" w:name="page156"/>
    <w:bookmarkEnd w:id="155"/>
    <w:p>
      <w:pPr>
        <w:ind w:left="1180" w:hanging="423"/>
        <w:spacing w:after="0"/>
        <w:tabs>
          <w:tab w:leader="none" w:pos="118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210"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Options may be granted, and Restricted Stock may be issued, to persons who are, at the time of such grant or issuance, employees, officers or directors of, or consultants or advisors to,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class of persons to whom Incentive Stock Options may be granted shall be limited to employees of the Company.</w:t>
      </w:r>
    </w:p>
    <w:p>
      <w:pPr>
        <w:spacing w:after="0" w:line="169" w:lineRule="exact"/>
        <w:rPr>
          <w:sz w:val="20"/>
          <w:szCs w:val="20"/>
          <w:color w:val="auto"/>
        </w:rPr>
      </w:pPr>
    </w:p>
    <w:p>
      <w:pPr>
        <w:ind w:right="60" w:firstLine="1497"/>
        <w:spacing w:after="0" w:line="237"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10% Shareholder</w:t>
      </w:r>
      <w:r>
        <w:rPr>
          <w:rFonts w:ascii="Times New Roman" w:cs="Times New Roman" w:eastAsia="Times New Roman" w:hAnsi="Times New Roman"/>
          <w:sz w:val="22"/>
          <w:szCs w:val="22"/>
          <w:color w:val="auto"/>
        </w:rPr>
        <w:t>. If any employee to whom an Incentive Stock Option is to be granted is, at the time of the grant of such Option, the owner of stock possessing more than 10% of the total combined voting power of all classes of stock of the Company (after taking into account the attribution of stock ownership rules of Section 424(d) of the Code) (a “</w:t>
      </w:r>
      <w:r>
        <w:rPr>
          <w:rFonts w:ascii="Times New Roman" w:cs="Times New Roman" w:eastAsia="Times New Roman" w:hAnsi="Times New Roman"/>
          <w:sz w:val="22"/>
          <w:szCs w:val="22"/>
          <w:u w:val="single" w:color="auto"/>
          <w:color w:val="auto"/>
        </w:rPr>
        <w:t>Greater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Than 10% Shareholder</w:t>
      </w:r>
      <w:r>
        <w:rPr>
          <w:rFonts w:ascii="Times New Roman" w:cs="Times New Roman" w:eastAsia="Times New Roman" w:hAnsi="Times New Roman"/>
          <w:sz w:val="22"/>
          <w:szCs w:val="22"/>
          <w:color w:val="auto"/>
        </w:rPr>
        <w:t>”), any Incentive Stock Option granted to such individual must: (i) have an exercise price per share of not less than 110% of the fair market value of one share of Class A Common Stock at the time of grant; and (ii) expire by its terms not more than five years from the date of grant.</w:t>
      </w:r>
    </w:p>
    <w:p>
      <w:pPr>
        <w:spacing w:after="0" w:line="175" w:lineRule="exact"/>
        <w:rPr>
          <w:sz w:val="20"/>
          <w:szCs w:val="20"/>
          <w:color w:val="auto"/>
        </w:rPr>
      </w:pPr>
    </w:p>
    <w:p>
      <w:pPr>
        <w:ind w:left="1180" w:hanging="423"/>
        <w:spacing w:after="0"/>
        <w:tabs>
          <w:tab w:leader="none" w:pos="118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Subject to Plan.</w:t>
      </w:r>
    </w:p>
    <w:p>
      <w:pPr>
        <w:spacing w:after="0" w:line="210"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Subject to adjustment as provided in Section 14.2 below, the maximum number of shares of Class A Common Stock which may be issued under the Plan is 5,000,000 shares, all of which may be issued with respect to Incentive Stock Options. If an Option shall expire or terminate for any reason without having been exercised in full, the unpurchased shares subject to such Option shall again be available for subsequent Option grants or Restricted Stock Awards under the Plan. If shares of Restricted Stock shall be forfeited to, or otherwise repurchased by, the Company pursuant to a Restricted Stock Agreement, such repurchased shares shall again be available for subsequent Option grants or Restricted Stock Awards under the Plan. If shares otherwise issuable upon exercise of an Option are withheld by the Company in payment of the exercise price of an Option or to satisfy tax withholding obligations with respect to such exercise, such withheld shares shall again be available for subsequent Option grants or Restricted Stock Awards under the Plan.</w:t>
      </w:r>
    </w:p>
    <w:p>
      <w:pPr>
        <w:spacing w:after="0" w:line="179" w:lineRule="exact"/>
        <w:rPr>
          <w:sz w:val="20"/>
          <w:szCs w:val="20"/>
          <w:color w:val="auto"/>
        </w:rPr>
      </w:pPr>
    </w:p>
    <w:p>
      <w:pPr>
        <w:ind w:left="1180" w:hanging="423"/>
        <w:spacing w:after="0"/>
        <w:tabs>
          <w:tab w:leader="none" w:pos="118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Forms of Restricted Stock Agreements and Option Agreements.</w:t>
      </w:r>
    </w:p>
    <w:p>
      <w:pPr>
        <w:spacing w:after="0" w:line="206" w:lineRule="exact"/>
        <w:rPr>
          <w:sz w:val="20"/>
          <w:szCs w:val="20"/>
          <w:color w:val="auto"/>
        </w:rPr>
      </w:pPr>
    </w:p>
    <w:p>
      <w:pPr>
        <w:ind w:right="6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xml:space="preserve"> Each recipient of an Option shall execute an option agreement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in such form not inconsistent with the Plan as may be approved by the Board of Directors. Such Option Agreements may differ among recipients.</w:t>
      </w:r>
    </w:p>
    <w:p>
      <w:pPr>
        <w:spacing w:after="0" w:line="167" w:lineRule="exact"/>
        <w:rPr>
          <w:sz w:val="20"/>
          <w:szCs w:val="20"/>
          <w:color w:val="auto"/>
        </w:rPr>
      </w:pPr>
    </w:p>
    <w:p>
      <w:pPr>
        <w:ind w:right="10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Restricted Stock Agreement.</w:t>
      </w:r>
      <w:r>
        <w:rPr>
          <w:rFonts w:ascii="Times New Roman" w:cs="Times New Roman" w:eastAsia="Times New Roman" w:hAnsi="Times New Roman"/>
          <w:sz w:val="22"/>
          <w:szCs w:val="22"/>
          <w:color w:val="auto"/>
        </w:rPr>
        <w:t xml:space="preserve"> Each recipient of a grant of Restricted Stock shall execute an agreement (“</w:t>
      </w:r>
      <w:r>
        <w:rPr>
          <w:rFonts w:ascii="Times New Roman" w:cs="Times New Roman" w:eastAsia="Times New Roman" w:hAnsi="Times New Roman"/>
          <w:sz w:val="22"/>
          <w:szCs w:val="22"/>
          <w:u w:val="single" w:color="auto"/>
          <w:color w:val="auto"/>
        </w:rPr>
        <w:t>Restricted Stock Agreement</w:t>
      </w:r>
      <w:r>
        <w:rPr>
          <w:rFonts w:ascii="Times New Roman" w:cs="Times New Roman" w:eastAsia="Times New Roman" w:hAnsi="Times New Roman"/>
          <w:sz w:val="22"/>
          <w:szCs w:val="22"/>
          <w:color w:val="auto"/>
        </w:rPr>
        <w:t>”) in such form not inconsistent with the Plan as may be approved by the Board of Directors. Such Restricted Stock Agreements may differ among recipients.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56" w:name="page157"/>
    <w:bookmarkEnd w:id="156"/>
    <w:p>
      <w:pPr>
        <w:ind w:right="4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“Lock-Up” Agreement.</w:t>
      </w:r>
      <w:r>
        <w:rPr>
          <w:rFonts w:ascii="Times New Roman" w:cs="Times New Roman" w:eastAsia="Times New Roman" w:hAnsi="Times New Roman"/>
          <w:sz w:val="22"/>
          <w:szCs w:val="22"/>
          <w:color w:val="auto"/>
        </w:rPr>
        <w:t xml:space="preserve"> Unless the Board specifies otherwise, each Restricted Stock Agreement and Option Agreement shall provide that upon the request of the Company or the managing underwriter(s) of any offering of securities of the Company that is the subject of a registration statement filed under the United States Securities Act of 1933, as amended from time to time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the holder of any Option or the purchaser of any Restricted Stock shall, in connection therewith, agree in writing (in such form as the Company or such managing underwriter(s) shall request) to the general effect that for a period of time (not to exceed 180 days) from the effective date of the registration statement under the Act for such offering, the holder or purchaser will not sell, make any short sale of, loan, grant any option for the purchase of, or otherwise dispose of any shares of the common stock of the Company owned or controlled by him or her.</w:t>
      </w:r>
    </w:p>
    <w:p>
      <w:pPr>
        <w:spacing w:after="0" w:line="178" w:lineRule="exact"/>
        <w:rPr>
          <w:sz w:val="20"/>
          <w:szCs w:val="20"/>
          <w:color w:val="auto"/>
        </w:rPr>
      </w:pPr>
    </w:p>
    <w:p>
      <w:pPr>
        <w:ind w:left="1180" w:hanging="423"/>
        <w:spacing w:after="0"/>
        <w:tabs>
          <w:tab w:leader="none" w:pos="118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Price.</w:t>
      </w:r>
    </w:p>
    <w:p>
      <w:pPr>
        <w:spacing w:after="0" w:line="206"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xml:space="preserve"> The purchase price per share of Restricted Stock and per share of stock deliverable upon the exercise of an Option shall be determined by the Board, provided, however, that in the case of any Option, the exercise price shall not be less than 100% of the fair market value of such stock, as determined by the Board, at the time of grant of such Option, or less than 110% of such fair market value in the case of any Incentive Stock Option granted to a Greater Than 10% Shareholder.</w:t>
      </w:r>
    </w:p>
    <w:p>
      <w:pPr>
        <w:spacing w:after="0" w:line="158"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Payment of Purchase Price.</w:t>
      </w:r>
      <w:r>
        <w:rPr>
          <w:rFonts w:ascii="Times New Roman" w:cs="Times New Roman" w:eastAsia="Times New Roman" w:hAnsi="Times New Roman"/>
          <w:sz w:val="22"/>
          <w:szCs w:val="22"/>
          <w:color w:val="auto"/>
        </w:rPr>
        <w:t xml:space="preserve"> Option Agreements may provide for the payment of the exercise price by delivery of cash or a check to the order of the Company in an amount equal to the exercise price of such Options, or, to the extent provided in the applicable Option Agreement, by one of the following methods:</w:t>
      </w:r>
    </w:p>
    <w:p>
      <w:pPr>
        <w:spacing w:after="0" w:line="171" w:lineRule="exact"/>
        <w:rPr>
          <w:sz w:val="20"/>
          <w:szCs w:val="20"/>
          <w:color w:val="auto"/>
        </w:rPr>
      </w:pPr>
    </w:p>
    <w:p>
      <w:pPr>
        <w:jc w:val="both"/>
        <w:ind w:left="760" w:right="180" w:firstLine="1494"/>
        <w:spacing w:after="0" w:line="244" w:lineRule="auto"/>
        <w:tabs>
          <w:tab w:leader="none" w:pos="268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by delivery to the Company of shares of the Company’s common stock; such surrendered shares shall have a fair market value equal in amount to the exercise price of the Options being exercised,</w:t>
      </w:r>
    </w:p>
    <w:p>
      <w:pPr>
        <w:spacing w:after="0" w:line="173" w:lineRule="exact"/>
        <w:rPr>
          <w:rFonts w:ascii="Times New Roman" w:cs="Times New Roman" w:eastAsia="Times New Roman" w:hAnsi="Times New Roman"/>
          <w:sz w:val="22"/>
          <w:szCs w:val="22"/>
          <w:color w:val="auto"/>
        </w:rPr>
      </w:pPr>
    </w:p>
    <w:p>
      <w:pPr>
        <w:ind w:left="760" w:right="20" w:firstLine="1494"/>
        <w:spacing w:after="0" w:line="239" w:lineRule="auto"/>
        <w:tabs>
          <w:tab w:leader="none" w:pos="268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a personal recourse note issued by the optionee to the Company in a principal amount equal to such aggregate exercise price and with such other terms, including interest rate and maturity, as the Company may determine in its discretion; provided, however, that the interest rate borne by such note shall not be less than the lowest applicable federal rate, as defined in Section 1274(d) of the Code,</w:t>
      </w:r>
    </w:p>
    <w:p>
      <w:pPr>
        <w:spacing w:after="0" w:line="180" w:lineRule="exact"/>
        <w:rPr>
          <w:rFonts w:ascii="Times New Roman" w:cs="Times New Roman" w:eastAsia="Times New Roman" w:hAnsi="Times New Roman"/>
          <w:sz w:val="22"/>
          <w:szCs w:val="22"/>
          <w:color w:val="auto"/>
        </w:rPr>
      </w:pPr>
    </w:p>
    <w:p>
      <w:pPr>
        <w:ind w:left="760" w:right="20" w:firstLine="1494"/>
        <w:spacing w:after="0" w:line="239" w:lineRule="auto"/>
        <w:tabs>
          <w:tab w:leader="none" w:pos="268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if the Class A Common Stock is registered under the Securities Exchange Act of 1934 at such time, subject to rules as may be established by the Board, by delivery to the Company of a properly executed exercise notice along with irrevocable instructions to a broker to promptly deliver to the Company cash or a check payable and acceptable to the Company for the purchase price,</w:t>
      </w:r>
    </w:p>
    <w:p>
      <w:pPr>
        <w:spacing w:after="0" w:line="180" w:lineRule="exact"/>
        <w:rPr>
          <w:rFonts w:ascii="Times New Roman" w:cs="Times New Roman" w:eastAsia="Times New Roman" w:hAnsi="Times New Roman"/>
          <w:sz w:val="22"/>
          <w:szCs w:val="22"/>
          <w:color w:val="auto"/>
        </w:rPr>
      </w:pPr>
    </w:p>
    <w:p>
      <w:pPr>
        <w:jc w:val="both"/>
        <w:ind w:left="760" w:right="120" w:firstLine="1494"/>
        <w:spacing w:after="0" w:line="244" w:lineRule="auto"/>
        <w:tabs>
          <w:tab w:leader="none" w:pos="268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by reducing the number of Option shares otherwise issuable to the optionee upon exercise of the Option by a number of shares of Class A Common Stock having a fair market value equal to such aggregate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7" w:name="page158"/>
    <w:bookmarkEnd w:id="157"/>
    <w:p>
      <w:pPr>
        <w:jc w:val="center"/>
        <w:ind w:left="620"/>
        <w:spacing w:after="0"/>
        <w:tabs>
          <w:tab w:leader="none" w:pos="16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1"/>
          <w:szCs w:val="21"/>
          <w:color w:val="auto"/>
        </w:rPr>
        <w:t>with the consent of the Board, by any combination of such methods of payment.</w:t>
      </w:r>
    </w:p>
    <w:p>
      <w:pPr>
        <w:spacing w:after="0" w:line="20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21"/>
          <w:szCs w:val="21"/>
          <w:color w:val="auto"/>
        </w:rPr>
        <w:t>The fair market value of any shares of Class A Common Stock or other non-cash consideration which may be delivered upon exercise of an Option shall be determined by the Board of Directors. Restricted Stock Agreements may provide for the payment of any purchase price in any manner approved by the Board of Directors at the time of authorizing the issuance thereof.</w:t>
      </w:r>
    </w:p>
    <w:p>
      <w:pPr>
        <w:spacing w:after="0" w:line="153" w:lineRule="exact"/>
        <w:rPr>
          <w:sz w:val="20"/>
          <w:szCs w:val="20"/>
          <w:color w:val="auto"/>
        </w:rPr>
      </w:pPr>
    </w:p>
    <w:p>
      <w:pPr>
        <w:ind w:left="1180" w:hanging="423"/>
        <w:spacing w:after="0"/>
        <w:tabs>
          <w:tab w:leader="none" w:pos="118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 Period.</w:t>
      </w:r>
    </w:p>
    <w:p>
      <w:pPr>
        <w:spacing w:after="0" w:line="21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any other provision of the Plan or any Option Agreement, each Option and all rights thereunder shall expire on the date specified in the applicable Option Agreement, provided that such date shall not be later than ten years after the date on which the Option is granted (or five years in the case of an Incentive Stock Option granted to a Greater Than 10% Shareholder), and in either case, shall be subject to earlier termination as provided in the Plan or Option Agreement.</w:t>
      </w:r>
    </w:p>
    <w:p>
      <w:pPr>
        <w:spacing w:after="0" w:line="176" w:lineRule="exact"/>
        <w:rPr>
          <w:sz w:val="20"/>
          <w:szCs w:val="20"/>
          <w:color w:val="auto"/>
        </w:rPr>
      </w:pPr>
    </w:p>
    <w:p>
      <w:pPr>
        <w:ind w:left="1180" w:hanging="423"/>
        <w:spacing w:after="0"/>
        <w:tabs>
          <w:tab w:leader="none" w:pos="118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Options.</w:t>
      </w:r>
    </w:p>
    <w:p>
      <w:pPr>
        <w:spacing w:after="0" w:line="206" w:lineRule="exact"/>
        <w:rPr>
          <w:sz w:val="20"/>
          <w:szCs w:val="20"/>
          <w:color w:val="auto"/>
        </w:rPr>
      </w:pPr>
    </w:p>
    <w:p>
      <w:pPr>
        <w:ind w:right="2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xml:space="preserve"> Each Option shall be exercisable either in full or in installments at such time or times and during such period as shall be set forth in the Option Agreement evidencing such Option, subject to the provisions of the Plan. To the extent not exercised, installments shall accumulate and be exercisable, in whole or in part, at any time after becoming exercisable, but not later than the date the Option expires.</w:t>
      </w:r>
    </w:p>
    <w:p>
      <w:pPr>
        <w:spacing w:after="0" w:line="172" w:lineRule="exact"/>
        <w:rPr>
          <w:sz w:val="20"/>
          <w:szCs w:val="20"/>
          <w:color w:val="auto"/>
        </w:rPr>
      </w:pPr>
    </w:p>
    <w:p>
      <w:pPr>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Notice of Exercise.</w:t>
      </w:r>
      <w:r>
        <w:rPr>
          <w:rFonts w:ascii="Times New Roman" w:cs="Times New Roman" w:eastAsia="Times New Roman" w:hAnsi="Times New Roman"/>
          <w:sz w:val="22"/>
          <w:szCs w:val="22"/>
          <w:color w:val="auto"/>
        </w:rPr>
        <w:t xml:space="preserve"> An Option may be exercised by the optionee by delivering to the Company on any business day a written notice specifying the number of shares of Class A Common Stock the optionee then desires to purchase and specifying the address to which the certificates for such shares are to be mailed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accompanied by payment for such shares. In addition, the Company may require any individual to whom an Option is granted, as a condition of exercising such Option, to give written assurances (the “</w:t>
      </w:r>
      <w:r>
        <w:rPr>
          <w:rFonts w:ascii="Times New Roman" w:cs="Times New Roman" w:eastAsia="Times New Roman" w:hAnsi="Times New Roman"/>
          <w:sz w:val="22"/>
          <w:szCs w:val="22"/>
          <w:u w:val="single" w:color="auto"/>
          <w:color w:val="auto"/>
        </w:rPr>
        <w:t>Investment Letter</w:t>
      </w:r>
      <w:r>
        <w:rPr>
          <w:rFonts w:ascii="Times New Roman" w:cs="Times New Roman" w:eastAsia="Times New Roman" w:hAnsi="Times New Roman"/>
          <w:sz w:val="22"/>
          <w:szCs w:val="22"/>
          <w:color w:val="auto"/>
        </w:rPr>
        <w:t>”) in a substance and form satisfactory to the Company to the effect that such individual is acquiring the Class A Common Stock subject to the Option for his or her own account for investment and not with a view to the resale or distribution thereof, and to such other effects as the Company deems necessary or advisable in order to comply with any securities law(s).</w:t>
      </w:r>
    </w:p>
    <w:p>
      <w:pPr>
        <w:spacing w:after="0" w:line="178" w:lineRule="exact"/>
        <w:rPr>
          <w:sz w:val="20"/>
          <w:szCs w:val="20"/>
          <w:color w:val="auto"/>
        </w:rPr>
      </w:pPr>
    </w:p>
    <w:p>
      <w:pPr>
        <w:ind w:right="10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Delivery.</w:t>
      </w:r>
      <w:r>
        <w:rPr>
          <w:rFonts w:ascii="Times New Roman" w:cs="Times New Roman" w:eastAsia="Times New Roman" w:hAnsi="Times New Roman"/>
          <w:sz w:val="22"/>
          <w:szCs w:val="22"/>
          <w:color w:val="auto"/>
        </w:rPr>
        <w:t xml:space="preserve"> As promptly as practicable after receipt of the Notice, the Investment Letter (if required) and payment, the Company shall deliver or cause to be delivered to the optionee certificates for the number of shares with respect to which such Option has been so exercised, issued in the optionee’s name; provided, however, that such delivery shall be deemed effected for all purposes when the Company or a stock transfer agent shall have deposited such certificates in the United States mail, addressed to the optionee, at the address specified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58" w:name="page159"/>
    <w:bookmarkEnd w:id="158"/>
    <w:p>
      <w:pPr>
        <w:ind w:left="1180" w:hanging="423"/>
        <w:spacing w:after="0"/>
        <w:tabs>
          <w:tab w:leader="none" w:pos="118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Options.</w:t>
      </w:r>
    </w:p>
    <w:p>
      <w:pPr>
        <w:spacing w:after="0" w:line="210"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No Option shall be assignable or transferable by the person to whom it is granted, either voluntarily or by operation of law, except by will or the laws of descent and distribution. During the life of an optionee, an Option shall be exercisable only by the optionee.</w:t>
      </w:r>
    </w:p>
    <w:p>
      <w:pPr>
        <w:spacing w:after="0" w:line="169" w:lineRule="exact"/>
        <w:rPr>
          <w:sz w:val="20"/>
          <w:szCs w:val="20"/>
          <w:color w:val="auto"/>
        </w:rPr>
      </w:pPr>
    </w:p>
    <w:p>
      <w:pPr>
        <w:ind w:right="40" w:firstLine="757"/>
        <w:spacing w:after="0" w:line="262" w:lineRule="auto"/>
        <w:tabs>
          <w:tab w:leader="none" w:pos="1181"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Employment; Disability; Death. </w:t>
      </w:r>
      <w:r>
        <w:rPr>
          <w:rFonts w:ascii="Times New Roman" w:cs="Times New Roman" w:eastAsia="Times New Roman" w:hAnsi="Times New Roman"/>
          <w:sz w:val="22"/>
          <w:szCs w:val="22"/>
          <w:color w:val="auto"/>
        </w:rPr>
        <w:t>Except as may be otherwise expressly provided in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the Option Agreement, Options shall terminate on the earliest to occur of:</w:t>
      </w:r>
    </w:p>
    <w:p>
      <w:pPr>
        <w:spacing w:after="0" w:line="153" w:lineRule="exact"/>
        <w:rPr>
          <w:rFonts w:ascii="Times New Roman" w:cs="Times New Roman" w:eastAsia="Times New Roman" w:hAnsi="Times New Roman"/>
          <w:sz w:val="22"/>
          <w:szCs w:val="22"/>
          <w:b w:val="1"/>
          <w:bCs w:val="1"/>
          <w:color w:val="auto"/>
        </w:rPr>
      </w:pPr>
    </w:p>
    <w:p>
      <w:pPr>
        <w:ind w:left="1940" w:hanging="434"/>
        <w:spacing w:after="0"/>
        <w:tabs>
          <w:tab w:leader="none" w:pos="19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expiration thereof;</w:t>
      </w:r>
    </w:p>
    <w:p>
      <w:pPr>
        <w:spacing w:after="0" w:line="206" w:lineRule="exact"/>
        <w:rPr>
          <w:rFonts w:ascii="Times New Roman" w:cs="Times New Roman" w:eastAsia="Times New Roman" w:hAnsi="Times New Roman"/>
          <w:sz w:val="22"/>
          <w:szCs w:val="22"/>
          <w:color w:val="auto"/>
        </w:rPr>
      </w:pPr>
    </w:p>
    <w:p>
      <w:pPr>
        <w:ind w:left="2260" w:right="60" w:hanging="754"/>
        <w:spacing w:after="0" w:line="258" w:lineRule="auto"/>
        <w:tabs>
          <w:tab w:leader="none" w:pos="194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termination of the optionee’s employment with, or provision of services to, the Company by the Company for Cause (as hereinafter defined);</w:t>
      </w:r>
    </w:p>
    <w:p>
      <w:pPr>
        <w:spacing w:after="0" w:line="158"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 days after the date of voluntary termination of the optionee’s employment with, or provision of services</w:t>
      </w:r>
    </w:p>
    <w:p>
      <w:pPr>
        <w:spacing w:after="0" w:line="25" w:lineRule="exact"/>
        <w:rPr>
          <w:rFonts w:ascii="Times New Roman" w:cs="Times New Roman" w:eastAsia="Times New Roman" w:hAnsi="Times New Roman"/>
          <w:sz w:val="21"/>
          <w:szCs w:val="21"/>
          <w:color w:val="auto"/>
        </w:rPr>
      </w:pPr>
    </w:p>
    <w:p>
      <w:pPr>
        <w:ind w:left="2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the Company by the optionee (other than for death or permanent disability as defined below); or</w:t>
      </w:r>
    </w:p>
    <w:p>
      <w:pPr>
        <w:spacing w:after="0" w:line="182" w:lineRule="exact"/>
        <w:rPr>
          <w:rFonts w:ascii="Times New Roman" w:cs="Times New Roman" w:eastAsia="Times New Roman" w:hAnsi="Times New Roman"/>
          <w:sz w:val="21"/>
          <w:szCs w:val="21"/>
          <w:color w:val="auto"/>
        </w:rPr>
      </w:pPr>
    </w:p>
    <w:p>
      <w:pPr>
        <w:ind w:left="2260" w:hanging="754"/>
        <w:spacing w:after="0" w:line="244" w:lineRule="auto"/>
        <w:tabs>
          <w:tab w:leader="none" w:pos="194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days after the date of termination of the optionee’s employment with, or provision of services to, the Company by the Company without Cause (other than for death or permanent disability as defined below).</w:t>
      </w:r>
    </w:p>
    <w:p>
      <w:pPr>
        <w:spacing w:after="0" w:line="173" w:lineRule="exact"/>
        <w:rPr>
          <w:sz w:val="20"/>
          <w:szCs w:val="20"/>
          <w:color w:val="auto"/>
        </w:rPr>
      </w:pPr>
    </w:p>
    <w:p>
      <w:pPr>
        <w:ind w:right="580" w:firstLine="749"/>
        <w:spacing w:after="0" w:line="258" w:lineRule="auto"/>
        <w:rPr>
          <w:sz w:val="20"/>
          <w:szCs w:val="20"/>
          <w:color w:val="auto"/>
        </w:rPr>
      </w:pPr>
      <w:r>
        <w:rPr>
          <w:rFonts w:ascii="Times New Roman" w:cs="Times New Roman" w:eastAsia="Times New Roman" w:hAnsi="Times New Roman"/>
          <w:sz w:val="22"/>
          <w:szCs w:val="22"/>
          <w:color w:val="auto"/>
        </w:rPr>
        <w:t>Until the date on which the Option so expires, the optionee may exercise that portion of his or her Option which is exercisable at the time of termination of the employment or service relationship.</w:t>
      </w:r>
    </w:p>
    <w:p>
      <w:pPr>
        <w:spacing w:after="0" w:line="158"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An employment or service relationship between the Company and the optionee shall be deemed to exist during any period during which the optionee is employed by or providing services to the Company. Whether an authorized leave of absence or an absence due to military or government service shall constitute termination of the employment relationship between the Company and the optionee shall be determined by the Board at the time thereof.</w:t>
      </w:r>
    </w:p>
    <w:p>
      <w:pPr>
        <w:spacing w:after="0" w:line="180"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For purposes of this Section 10, the term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(a) any material breach by the optionee of any agreement to which the optionee and the Company are both parties, (b) any act (other than retirement) or omission to act by the optionee which may have a material and adverse effect on the Company’s business or on the optionee’s ability to perform services for the Company, including, without limitation, the commission of any crime (other than minor traffic violations), or (c) any material misconduct or material neglect of duties by the optionee in connection with the business or affairs of the Company. An optionee’s employment shall be deemed to have been terminated for Cause if the Company determines within thirty (30) days of the termination of employment (whether such termination was voluntary or involuntary) that termination for Cause was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59" w:name="page160"/>
    <w:bookmarkEnd w:id="159"/>
    <w:p>
      <w:pPr>
        <w:ind w:right="80" w:firstLine="749"/>
        <w:spacing w:after="0" w:line="246" w:lineRule="auto"/>
        <w:rPr>
          <w:sz w:val="20"/>
          <w:szCs w:val="20"/>
          <w:color w:val="auto"/>
        </w:rPr>
      </w:pPr>
      <w:r>
        <w:rPr>
          <w:rFonts w:ascii="Times New Roman" w:cs="Times New Roman" w:eastAsia="Times New Roman" w:hAnsi="Times New Roman"/>
          <w:sz w:val="21"/>
          <w:szCs w:val="21"/>
          <w:color w:val="auto"/>
        </w:rPr>
        <w:t>In the event of the permanent and total disability or death of an optionee while in an employment or other relationship with the Company, any Option held by such optionee shall terminate on the earlier of the date of expiration of the Option or 180 days following the date of such disability or death. After disability or death, the optionee (or in the case of death, his or her executor, administrator or any person or persons to whom this option may be transferred by will or by laws of descent and distribution) shall have the right, at any time prior to such termination of an Option , to exercise the Option to the extent the optionee was entitled to exercise such Option as of the date of his or her disability or death. An optionee is permanently and totally disabled if he or she is unable to engage in any substantial gainful activity by reason of any medically determinable physical or mental impairment which can be expected to last for a continuous period of not less than 12 months; permanent and total disability shall be determined in accordance with Section 22(e)(3) of the Code and the regulations issued thereunder.</w:t>
      </w:r>
    </w:p>
    <w:p>
      <w:pPr>
        <w:spacing w:after="0" w:line="171" w:lineRule="exact"/>
        <w:rPr>
          <w:sz w:val="20"/>
          <w:szCs w:val="20"/>
          <w:color w:val="auto"/>
        </w:rPr>
      </w:pPr>
    </w:p>
    <w:p>
      <w:pPr>
        <w:ind w:right="60" w:firstLine="757"/>
        <w:spacing w:after="0" w:line="241" w:lineRule="auto"/>
        <w:tabs>
          <w:tab w:leader="none" w:pos="1181"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Rights as a Shareholder. </w:t>
      </w:r>
      <w:r>
        <w:rPr>
          <w:rFonts w:ascii="Times New Roman" w:cs="Times New Roman" w:eastAsia="Times New Roman" w:hAnsi="Times New Roman"/>
          <w:sz w:val="22"/>
          <w:szCs w:val="22"/>
          <w:color w:val="auto"/>
        </w:rPr>
        <w:t>The holder of an Option shall have no rights as a shareholder with respect to any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by the Option (including, without limitation, any rights to receive dividends or non-cash distributions with respect to such shares) until the date of issue of a stock certificate to him or her for such shares. No adjustment shall be made for dividends or other rights for which the record date is prior to the date such stock certificate is issued.</w:t>
      </w:r>
    </w:p>
    <w:p>
      <w:pPr>
        <w:spacing w:after="0" w:line="171" w:lineRule="exact"/>
        <w:rPr>
          <w:rFonts w:ascii="Times New Roman" w:cs="Times New Roman" w:eastAsia="Times New Roman" w:hAnsi="Times New Roman"/>
          <w:sz w:val="22"/>
          <w:szCs w:val="22"/>
          <w:b w:val="1"/>
          <w:bCs w:val="1"/>
          <w:color w:val="auto"/>
        </w:rPr>
      </w:pPr>
    </w:p>
    <w:p>
      <w:pPr>
        <w:ind w:firstLine="757"/>
        <w:spacing w:after="0" w:line="248" w:lineRule="auto"/>
        <w:tabs>
          <w:tab w:leader="none" w:pos="1181"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Additional Provisions. </w:t>
      </w:r>
      <w:r>
        <w:rPr>
          <w:rFonts w:ascii="Times New Roman" w:cs="Times New Roman" w:eastAsia="Times New Roman" w:hAnsi="Times New Roman"/>
          <w:sz w:val="21"/>
          <w:szCs w:val="21"/>
          <w:color w:val="auto"/>
        </w:rPr>
        <w:t>The Board of Directors may, in its sole discretion, include additional provisions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Restricted Stock Agreements and Option Agreements, including, without limitation, restrictions on transfer, rights of the Company to repurchase shares of Restricted Stock or shares of Class A Common Stock acquired upon exercise of Options, commitments to pay cash bonuses, to make, arrange for or guaranty loans or to transfer other property to optionees upon exercise of Options, or such other provisions as shall be determined by the Board of Directors;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additional provisions shall not be inconsistent with any other term or condition of the Plan and such additional provisions shall not be such as to cause any Incentive Stock Option to fail to qualify as an Incentive Stock Option within the meaning of Section 422 of the Code.</w:t>
      </w:r>
    </w:p>
    <w:p>
      <w:pPr>
        <w:spacing w:after="0" w:line="170" w:lineRule="exact"/>
        <w:rPr>
          <w:rFonts w:ascii="Times New Roman" w:cs="Times New Roman" w:eastAsia="Times New Roman" w:hAnsi="Times New Roman"/>
          <w:sz w:val="21"/>
          <w:szCs w:val="21"/>
          <w:b w:val="1"/>
          <w:bCs w:val="1"/>
          <w:color w:val="auto"/>
        </w:rPr>
      </w:pPr>
    </w:p>
    <w:p>
      <w:pPr>
        <w:ind w:right="40" w:firstLine="757"/>
        <w:spacing w:after="0" w:line="246" w:lineRule="auto"/>
        <w:tabs>
          <w:tab w:leader="none" w:pos="1181"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Acceleration, Extension, Etc. </w:t>
      </w:r>
      <w:r>
        <w:rPr>
          <w:rFonts w:ascii="Times New Roman" w:cs="Times New Roman" w:eastAsia="Times New Roman" w:hAnsi="Times New Roman"/>
          <w:sz w:val="22"/>
          <w:szCs w:val="22"/>
          <w:color w:val="auto"/>
        </w:rPr>
        <w:t>The Board of Directors may, in its sole discretion, (i) accelerate the date or dates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all or any particular Option or Options may be exercised or (ii) extend the period or periods of time during which all, or any particular, Option or Options may be exercised.</w:t>
      </w:r>
    </w:p>
    <w:p>
      <w:pPr>
        <w:spacing w:after="0" w:line="167"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 Upon Changes in Capitalization</w:t>
      </w:r>
    </w:p>
    <w:p>
      <w:pPr>
        <w:spacing w:after="0" w:line="206" w:lineRule="exact"/>
        <w:rPr>
          <w:sz w:val="20"/>
          <w:szCs w:val="20"/>
          <w:color w:val="auto"/>
        </w:rPr>
      </w:pPr>
    </w:p>
    <w:p>
      <w:pPr>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color w:val="auto"/>
        </w:rPr>
        <w:t>No Effect of Options upon Certain Corporate Transactions.</w:t>
      </w:r>
      <w:r>
        <w:rPr>
          <w:rFonts w:ascii="Times New Roman" w:cs="Times New Roman" w:eastAsia="Times New Roman" w:hAnsi="Times New Roman"/>
          <w:sz w:val="22"/>
          <w:szCs w:val="22"/>
          <w:color w:val="auto"/>
        </w:rPr>
        <w:t xml:space="preserve"> The existence of outstanding Options shall not affect in any way the right or power of the Company to make or authorize any or all adjustments, recapitalizations, reorganizations or other changes in the Company’s capital structure or its business, or any merger or consolidation, or any issue of Class A Common Stock, or any issue of bonds, debentures, preferred or prior preference stock ahead of or affecting the Class A Common Stock or the rights thereof, or the dissolution or liquidation of the Company, or any sale or transfer of all or any part of its assets or business, or any other corporate act or proceeding, whether of a similar character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60" w:name="page161"/>
    <w:bookmarkEnd w:id="160"/>
    <w:p>
      <w:pPr>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color w:val="auto"/>
        </w:rPr>
        <w:t>Adjustment Provisions.</w:t>
      </w:r>
      <w:r>
        <w:rPr>
          <w:rFonts w:ascii="Times New Roman" w:cs="Times New Roman" w:eastAsia="Times New Roman" w:hAnsi="Times New Roman"/>
          <w:sz w:val="22"/>
          <w:szCs w:val="22"/>
          <w:color w:val="auto"/>
        </w:rPr>
        <w:t xml:space="preserve"> If, through or as a result of any merger, consolidation, sale of all or substantially all of the assets of the Company, reorganization, recapitalization, reclassification, stock dividend, stock split, reverse stock split or other similar transaction, (i) the outstanding shares of Class A Common Stock are increased, decreased or exchanged for a different number or kind of shares or other securities of the Company, or (ii) additional shares or new or different shares or other securities of the Company or other non-cash assets are distributed with respect to such shares of Class A Common Stock or other securities, an appropriate and proportionate adjustment shall be made in (x) the maximum number and kind of shares reserved for issuance under the Plan, (y) the number and kind of shares or other securities subject to any then outstanding Options, and (z) the price for each share or other security subject to any then outstanding Options, so that upon exercise of such Options, in lieu of the shares of Class A Common Stock for which such Options were then exercisable, the relevant optionee shall be entitled to receive, for the same aggregate consideration, the same total number and kind of shares or other securities, cash or property that the owner of an equal number of outstanding shares of Class A Common Stock immediately prior to the event requiring adjustment would own as a result of the event. If any such event shall occur, appropriate adjustment shall also be made in the application of the provisions of this Section 14 and Section 15 with respect to Options and the rights of optionees after the event so that the provisions of such Sections shall be applicable after the event and be as nearly equivalent as practicable in operation after the event as they were before the event.</w:t>
      </w:r>
    </w:p>
    <w:p>
      <w:pPr>
        <w:spacing w:after="0" w:line="177" w:lineRule="exact"/>
        <w:rPr>
          <w:sz w:val="20"/>
          <w:szCs w:val="20"/>
          <w:color w:val="auto"/>
        </w:rPr>
      </w:pPr>
    </w:p>
    <w:p>
      <w:pPr>
        <w:ind w:right="100" w:firstLine="1497"/>
        <w:spacing w:after="0" w:line="252"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b w:val="1"/>
          <w:bCs w:val="1"/>
          <w:color w:val="auto"/>
        </w:rPr>
        <w:t>No Adjustment in Certain Cases.</w:t>
      </w:r>
      <w:r>
        <w:rPr>
          <w:rFonts w:ascii="Times New Roman" w:cs="Times New Roman" w:eastAsia="Times New Roman" w:hAnsi="Times New Roman"/>
          <w:sz w:val="21"/>
          <w:szCs w:val="21"/>
          <w:color w:val="auto"/>
        </w:rPr>
        <w:t xml:space="preserve"> Except as hereinbefore expressly provided, the issue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or price of shares of Class A Common Stock then subject to outstanding options.</w:t>
      </w:r>
    </w:p>
    <w:p>
      <w:pPr>
        <w:spacing w:after="0" w:line="163"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b w:val="1"/>
          <w:bCs w:val="1"/>
          <w:color w:val="auto"/>
        </w:rPr>
        <w:t>Board Authority to Make Adjustments.</w:t>
      </w:r>
      <w:r>
        <w:rPr>
          <w:rFonts w:ascii="Times New Roman" w:cs="Times New Roman" w:eastAsia="Times New Roman" w:hAnsi="Times New Roman"/>
          <w:sz w:val="22"/>
          <w:szCs w:val="22"/>
          <w:color w:val="auto"/>
        </w:rPr>
        <w:t xml:space="preserve"> Any adjustments under this Section 14 will be made by the Board of Directors, whose determination as to what adjustments, if any, will be made and the extent thereof will be final, binding and conclusive. No fractional shares will be issued under the Plan on account of any such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61" w:name="page162"/>
    <w:bookmarkEnd w:id="161"/>
    <w:p>
      <w:pPr>
        <w:ind w:left="760"/>
        <w:spacing w:after="0"/>
        <w:rPr>
          <w:sz w:val="20"/>
          <w:szCs w:val="20"/>
          <w:color w:val="auto"/>
        </w:rPr>
      </w:pPr>
      <w:r>
        <w:rPr>
          <w:rFonts w:ascii="Times New Roman" w:cs="Times New Roman" w:eastAsia="Times New Roman" w:hAnsi="Times New Roman"/>
          <w:sz w:val="22"/>
          <w:szCs w:val="22"/>
          <w:b w:val="1"/>
          <w:bCs w:val="1"/>
          <w:color w:val="auto"/>
        </w:rPr>
        <w:t>15.  Effect of Certain Transactions</w:t>
      </w:r>
    </w:p>
    <w:p>
      <w:pPr>
        <w:spacing w:after="0" w:line="206" w:lineRule="exact"/>
        <w:rPr>
          <w:sz w:val="20"/>
          <w:szCs w:val="20"/>
          <w:color w:val="auto"/>
        </w:rPr>
      </w:pPr>
    </w:p>
    <w:p>
      <w:pPr>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xml:space="preserve"> Except as provided in any Option Agreement or Restricted Stock Agreement to the contrary, if the Company is merged with or into or consolidated with another corporation under circumstances where the stockholders of the Company immediately prior to such merger or consolidation do not own after such merger or consolidation shares representing at least fifty percent (50%) of the voting power of the Company or the surviving or resulting corporation, as the case may be, or if shares representing fifty percent (50%) or more of the voting power of the Company are transferred to an Unrelated Third Party, as hereinafter defined, or if the Company is liquidated, or sells or otherwise disposes of all or substantially all its assets (each such transaction is referred to herein as a “</w:t>
      </w:r>
      <w:r>
        <w:rPr>
          <w:rFonts w:ascii="Times New Roman" w:cs="Times New Roman" w:eastAsia="Times New Roman" w:hAnsi="Times New Roman"/>
          <w:sz w:val="22"/>
          <w:szCs w:val="22"/>
          <w:u w:val="single" w:color="auto"/>
          <w:color w:val="auto"/>
        </w:rPr>
        <w:t>Change in Control Transaction</w:t>
      </w:r>
      <w:r>
        <w:rPr>
          <w:rFonts w:ascii="Times New Roman" w:cs="Times New Roman" w:eastAsia="Times New Roman" w:hAnsi="Times New Roman"/>
          <w:sz w:val="22"/>
          <w:szCs w:val="22"/>
          <w:color w:val="auto"/>
        </w:rPr>
        <w:t xml:space="preserve">”), the Board, or the board of directors of any corporation assuming the obligations of the Company, may, in its discretion, take any one or more of the following actions, as to some or all outstanding Options or Restricted Stock Awards (and need not take the same action as to each such Option or Restricted Stock Award): (i) provide that such Options shall be assumed, or equivalent Options shall be substituted, by the acquiring or succeeding corporation (or an affiliate thereof),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any such Options substituted for Incentive Stock Options shall meet the requirements of Section 424(a) of the Code, (ii) upon written notice to the optionees, provide that all unexercised Options (whether vested or unvested) will terminate immediately prior to the consummation of the Change in Control Transaction unless exercised by the optionee to the extent otherwise then exercisable within a specified period following the date of such notice, (iii) upon written notice to the grantees, provide that all unvested shares of Restricted Stock shall be repurchased at cost, (iv) make or provide for a cash payment to the optionees equal to the difference between (A) the fair market value of the per share consideration (whether cash, securities or other property or any combination of the above) the holder of a share of Class A Common Stock will receive upon consummation of the Change in Control Transaction (the “</w:t>
      </w:r>
      <w:r>
        <w:rPr>
          <w:rFonts w:ascii="Times New Roman" w:cs="Times New Roman" w:eastAsia="Times New Roman" w:hAnsi="Times New Roman"/>
          <w:sz w:val="22"/>
          <w:szCs w:val="22"/>
          <w:u w:val="single" w:color="auto"/>
          <w:color w:val="auto"/>
        </w:rPr>
        <w:t>Per 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 Price</w:t>
      </w:r>
      <w:r>
        <w:rPr>
          <w:rFonts w:ascii="Times New Roman" w:cs="Times New Roman" w:eastAsia="Times New Roman" w:hAnsi="Times New Roman"/>
          <w:sz w:val="22"/>
          <w:szCs w:val="22"/>
          <w:color w:val="auto"/>
        </w:rPr>
        <w:t>”) times the number of shares of Class A Common Stock subject to outstanding vested Options (to the extent then exercisable at prices not equal to or in excess of the Per Share Transaction Price) and (B) the aggregate exercise price of such outstanding vested Options, in exchange for the termination of such Options, or (v) provide that all or any outstanding Options shall become exercisable and all or any outstanding Restricted Stock Awards shall vest in part or in full immediately prior to such event. To the extent that any Options are exercisable at a price equal to or in excess of the Per Share Transaction Price, the Board may provide that such Options shall terminate immediately upon the consummation of the Change in Control Transaction without any payment being made to the holders of such Options. “</w:t>
      </w:r>
      <w:r>
        <w:rPr>
          <w:rFonts w:ascii="Times New Roman" w:cs="Times New Roman" w:eastAsia="Times New Roman" w:hAnsi="Times New Roman"/>
          <w:sz w:val="22"/>
          <w:szCs w:val="22"/>
          <w:u w:val="single" w:color="auto"/>
          <w:color w:val="auto"/>
        </w:rPr>
        <w:t>Unrelated Third Party</w:t>
      </w:r>
      <w:r>
        <w:rPr>
          <w:rFonts w:ascii="Times New Roman" w:cs="Times New Roman" w:eastAsia="Times New Roman" w:hAnsi="Times New Roman"/>
          <w:sz w:val="22"/>
          <w:szCs w:val="22"/>
          <w:color w:val="auto"/>
        </w:rPr>
        <w:t>” shall mean any person who is not, on the date of adoption of this Plan by the Board, a holder of stock of any class or preference or any stock option of the Company</w:t>
      </w:r>
      <w:r>
        <w:rPr>
          <w:rFonts w:ascii="Times New Roman" w:cs="Times New Roman" w:eastAsia="Times New Roman" w:hAnsi="Times New Roman"/>
          <w:sz w:val="22"/>
          <w:szCs w:val="22"/>
          <w:b w:val="1"/>
          <w:bCs w:val="1"/>
          <w:color w:val="auto"/>
        </w:rPr>
        <w:t>.</w:t>
      </w:r>
    </w:p>
    <w:p>
      <w:pPr>
        <w:spacing w:after="0" w:line="178" w:lineRule="exact"/>
        <w:rPr>
          <w:sz w:val="20"/>
          <w:szCs w:val="20"/>
          <w:color w:val="auto"/>
        </w:rPr>
      </w:pPr>
    </w:p>
    <w:p>
      <w:pPr>
        <w:ind w:right="120" w:firstLine="1872"/>
        <w:spacing w:after="0" w:line="235"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Options or Restricted Stock Awards (or portion thereof), optionees or holders of Restricted Stock will fully vest in and have the right to exercise outstanding Options (or portions thereof) not assumed or substituted for, including shares of Class A Common Stock as to which such Options would not otherwise be vested or exercisable, all restrictions on Awards of Restricted Stock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62" w:name="page163"/>
    <w:bookmarkEnd w:id="162"/>
    <w:p>
      <w:pPr>
        <w:ind w:right="40"/>
        <w:spacing w:after="0" w:line="248" w:lineRule="auto"/>
        <w:rPr>
          <w:sz w:val="20"/>
          <w:szCs w:val="20"/>
          <w:color w:val="auto"/>
        </w:rPr>
      </w:pPr>
      <w:r>
        <w:rPr>
          <w:rFonts w:ascii="Times New Roman" w:cs="Times New Roman" w:eastAsia="Times New Roman" w:hAnsi="Times New Roman"/>
          <w:sz w:val="21"/>
          <w:szCs w:val="21"/>
          <w:color w:val="auto"/>
        </w:rPr>
        <w:t>otherwise under the applicable Option Agreement or Restricted Stock Agreement or other written agreement authorized by the Board between an optionee or holder of Restricted Stock and the Company or any of its subsidiaries or parents, as applicable. In addition, unless specifically provided otherwise under the applicable Option Agreement or other written agreement authorized by the Board between the optionee and the Company or any of its subsidiaries or parents, as applicable, if an Option (or portion thereof) is not assumed or substituted in the event of a Change in Control Transaction, the Board will notify affected optionees in writing or electronically that the Option (or its applicable portion) will be exercisable for a period of time determined by the Board in its sole discretion, and the Option (or its applicable portion) will terminate upon the expiration of such period.</w:t>
      </w:r>
    </w:p>
    <w:p>
      <w:pPr>
        <w:spacing w:after="0" w:line="166" w:lineRule="exact"/>
        <w:rPr>
          <w:sz w:val="20"/>
          <w:szCs w:val="20"/>
          <w:color w:val="auto"/>
        </w:rPr>
      </w:pPr>
    </w:p>
    <w:p>
      <w:pPr>
        <w:ind w:right="80" w:firstLine="1497"/>
        <w:spacing w:after="0" w:line="252" w:lineRule="auto"/>
        <w:rPr>
          <w:sz w:val="20"/>
          <w:szCs w:val="20"/>
          <w:color w:val="auto"/>
        </w:rPr>
      </w:pPr>
      <w:r>
        <w:rPr>
          <w:rFonts w:ascii="Times New Roman" w:cs="Times New Roman" w:eastAsia="Times New Roman" w:hAnsi="Times New Roman"/>
          <w:sz w:val="21"/>
          <w:szCs w:val="21"/>
          <w:color w:val="auto"/>
        </w:rPr>
        <w:t xml:space="preserve">15.2 </w:t>
      </w:r>
      <w:r>
        <w:rPr>
          <w:rFonts w:ascii="Times New Roman" w:cs="Times New Roman" w:eastAsia="Times New Roman" w:hAnsi="Times New Roman"/>
          <w:sz w:val="21"/>
          <w:szCs w:val="21"/>
          <w:b w:val="1"/>
          <w:bCs w:val="1"/>
          <w:color w:val="auto"/>
        </w:rPr>
        <w:t>Substitute Options.</w:t>
      </w:r>
      <w:r>
        <w:rPr>
          <w:rFonts w:ascii="Times New Roman" w:cs="Times New Roman" w:eastAsia="Times New Roman" w:hAnsi="Times New Roman"/>
          <w:sz w:val="21"/>
          <w:szCs w:val="21"/>
          <w:color w:val="auto"/>
        </w:rPr>
        <w:t xml:space="preserve"> The Company may grant Options in substitution for options held by employees, officers or directors of, or consultants or advisors to, another corporation who become employees, officers or directors of, or consultants or advisors to, the Company, as the result of a merger or consolidation of the employing corporation with the Company or as a result of the acquisition by the Company of property or stock of the employing corporation. The Company may direct that substitute Options be granted on such terms and conditions as the Board considers appropriate in the circumstances.</w:t>
      </w:r>
    </w:p>
    <w:p>
      <w:pPr>
        <w:spacing w:after="0" w:line="163"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xml:space="preserve"> In the event of a business combination or other transaction of the type detailed in Section 15.1, any securities, cash or other property received in exchange for shares of Restricted Stock shall continue to be governed by the provisions of any Restricted Stock Agreement pursuant to which they were issued, including any provision regarding vesting, and such securities, cash, or other property may be held in escrow on such terms as the Board of Directors may direct, to insure compliance with the terms of any such Restricted Stock Agreement.</w:t>
      </w:r>
    </w:p>
    <w:p>
      <w:pPr>
        <w:spacing w:after="0" w:line="177" w:lineRule="exact"/>
        <w:rPr>
          <w:sz w:val="20"/>
          <w:szCs w:val="20"/>
          <w:color w:val="auto"/>
        </w:rPr>
      </w:pPr>
    </w:p>
    <w:p>
      <w:pPr>
        <w:jc w:val="both"/>
        <w:ind w:right="40" w:firstLine="757"/>
        <w:spacing w:after="0" w:line="241" w:lineRule="auto"/>
        <w:tabs>
          <w:tab w:leader="none" w:pos="1181"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Special Employment Rights. </w:t>
      </w:r>
      <w:r>
        <w:rPr>
          <w:rFonts w:ascii="Times New Roman" w:cs="Times New Roman" w:eastAsia="Times New Roman" w:hAnsi="Times New Roman"/>
          <w:sz w:val="22"/>
          <w:szCs w:val="22"/>
          <w:color w:val="auto"/>
        </w:rPr>
        <w:t>Nothing contained in the Plan or in any Option Agreement or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confer upon any optionee or holder of Restricted Stock any right with respect to the continuation of his or her employment by the Company or interfere in any way with the right of the Company at any time to terminate such employment or to increase or decrease his or her compensation.</w:t>
      </w:r>
    </w:p>
    <w:p>
      <w:pPr>
        <w:spacing w:after="0" w:line="171" w:lineRule="exact"/>
        <w:rPr>
          <w:rFonts w:ascii="Times New Roman" w:cs="Times New Roman" w:eastAsia="Times New Roman" w:hAnsi="Times New Roman"/>
          <w:sz w:val="22"/>
          <w:szCs w:val="22"/>
          <w:b w:val="1"/>
          <w:bCs w:val="1"/>
          <w:color w:val="auto"/>
        </w:rPr>
      </w:pPr>
    </w:p>
    <w:p>
      <w:pPr>
        <w:ind w:right="160" w:firstLine="757"/>
        <w:spacing w:after="0" w:line="238" w:lineRule="auto"/>
        <w:tabs>
          <w:tab w:leader="none" w:pos="1181"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Employee Benefits. </w:t>
      </w:r>
      <w:r>
        <w:rPr>
          <w:rFonts w:ascii="Times New Roman" w:cs="Times New Roman" w:eastAsia="Times New Roman" w:hAnsi="Times New Roman"/>
          <w:sz w:val="22"/>
          <w:szCs w:val="22"/>
          <w:color w:val="auto"/>
        </w:rPr>
        <w:t>The amount of any compensation deemed to be received by an employee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issuance of shares of Restricted Stock or the grant or exercise of an Option or the sale of shares received upon issuance of a Restricted Stock Award or exercise of an Option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3" w:name="page164"/>
    <w:bookmarkEnd w:id="163"/>
    <w:p>
      <w:pPr>
        <w:ind w:left="760"/>
        <w:spacing w:after="0"/>
        <w:rPr>
          <w:sz w:val="20"/>
          <w:szCs w:val="20"/>
          <w:color w:val="auto"/>
        </w:rPr>
      </w:pPr>
      <w:r>
        <w:rPr>
          <w:rFonts w:ascii="Times New Roman" w:cs="Times New Roman" w:eastAsia="Times New Roman" w:hAnsi="Times New Roman"/>
          <w:sz w:val="22"/>
          <w:szCs w:val="22"/>
          <w:b w:val="1"/>
          <w:bCs w:val="1"/>
          <w:color w:val="auto"/>
        </w:rPr>
        <w:t>18.  Amendment of the Plan.</w:t>
      </w:r>
    </w:p>
    <w:p>
      <w:pPr>
        <w:spacing w:after="0" w:line="210" w:lineRule="exact"/>
        <w:rPr>
          <w:sz w:val="20"/>
          <w:szCs w:val="20"/>
          <w:color w:val="auto"/>
        </w:rPr>
      </w:pPr>
    </w:p>
    <w:p>
      <w:pPr>
        <w:ind w:right="180" w:firstLine="1497"/>
        <w:spacing w:after="0" w:line="238" w:lineRule="auto"/>
        <w:rPr>
          <w:sz w:val="20"/>
          <w:szCs w:val="20"/>
          <w:color w:val="auto"/>
        </w:rPr>
      </w:pPr>
      <w:r>
        <w:rPr>
          <w:rFonts w:ascii="Times New Roman" w:cs="Times New Roman" w:eastAsia="Times New Roman" w:hAnsi="Times New Roman"/>
          <w:sz w:val="22"/>
          <w:szCs w:val="22"/>
          <w:color w:val="auto"/>
        </w:rPr>
        <w:t>18.1 The Board may at any time, and from time to time, modify or amend in any respect or terminate the Plan. If shareholder approval is not obtained within twelve months after any amendment increasing the number of shares authorized under the Plan or changing the class of persons eligible to receive Options under the Plan, no Options granted pursuant to such amendments shall be deemed to be Incentive Stock Options and no Incentive Stock Options shall be issued pursuant to such amendments thereafter.</w:t>
      </w:r>
    </w:p>
    <w:p>
      <w:pPr>
        <w:spacing w:after="0" w:line="177" w:lineRule="exact"/>
        <w:rPr>
          <w:sz w:val="20"/>
          <w:szCs w:val="20"/>
          <w:color w:val="auto"/>
        </w:rPr>
      </w:pPr>
    </w:p>
    <w:p>
      <w:pPr>
        <w:ind w:firstLine="1497"/>
        <w:spacing w:after="0" w:line="239" w:lineRule="auto"/>
        <w:rPr>
          <w:sz w:val="20"/>
          <w:szCs w:val="20"/>
          <w:color w:val="auto"/>
        </w:rPr>
      </w:pPr>
      <w:r>
        <w:rPr>
          <w:rFonts w:ascii="Times New Roman" w:cs="Times New Roman" w:eastAsia="Times New Roman" w:hAnsi="Times New Roman"/>
          <w:sz w:val="22"/>
          <w:szCs w:val="22"/>
          <w:color w:val="auto"/>
        </w:rPr>
        <w:t>18.2 The termination or any modification or amendment of the Plan shall not, without the consent of an optionee or the holder of Restricted Stock, adversely affect his or her rights under an Option or Restricted Stock Award previously granted to him or her. With the consent of the recipient of Restricted Stock or optionee affected, the Board may amend outstanding Restricted Stock Agreements or Option Agreements in a manner not inconsistent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4" w:name="page165"/>
    <w:bookmarkEnd w:id="164"/>
    <w:p>
      <w:pPr>
        <w:ind w:firstLine="757"/>
        <w:spacing w:after="0" w:line="243" w:lineRule="auto"/>
        <w:tabs>
          <w:tab w:leader="none" w:pos="1181" w:val="left"/>
        </w:tabs>
        <w:numPr>
          <w:ilvl w:val="1"/>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Withholding. </w:t>
      </w:r>
      <w:r>
        <w:rPr>
          <w:rFonts w:ascii="Times New Roman" w:cs="Times New Roman" w:eastAsia="Times New Roman" w:hAnsi="Times New Roman"/>
          <w:sz w:val="21"/>
          <w:szCs w:val="21"/>
          <w:color w:val="auto"/>
        </w:rPr>
        <w:t>The Company shall have the right to deduct from payments of any kind otherwise due to the optionee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recipient of Restricted Stock, any U.S. federal, state, local, non-U.S., and other taxes of any kind required by law to be withheld with respect to issuance of any shares of Restricted Stock or shares issued upon exercise of Options (“</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Prior to delivery of any Class A Common Stock pursuant to the terms of this Plan and any procedures as it may specify from time to time, the Board may permit an optionee or recipient of Restricted Stock to satisfy any applicable Withholding Obligations, in whole or in part by such methods as the Board shall determine, including without limitation: (i) paying cash, (ii) electing to have the Company withhold otherwise deliverable cash or shares of Class A Common Stock having a fair market value equal to the minimum statutory amount required to be withheld or such greater amount as the Board may determine if such amount would not have adverse accounting consequences, as the Board determines in its sole discretion, (iii) delivering to the Company already-owned shares of Class A Common Stock having a fair market value equal to the minimum statutory amount required to be withheld or such greater amount as the Board may determine, in each case, provided the delivery of such shares of Class A Common Stock will not result in any adverse accounting consequences, as the Board determines in its sole discretion, (iv) selling a sufficient number of shares of Class A Common Stock otherwise deliverable to the optionee or recipient of Restricted Stock through such means as the Board may determine in its sole discretion (whether through a broker or otherwise) equal to the amount required to be withheld or paid, (v) such other consideration and method of payment for the meeting of tax liabilities or Withholding Obligations as the Board may determine to the extent permitted by applicable laws, or</w:t>
      </w:r>
    </w:p>
    <w:p>
      <w:pPr>
        <w:spacing w:after="0" w:line="4" w:lineRule="exact"/>
        <w:rPr>
          <w:rFonts w:ascii="Times New Roman" w:cs="Times New Roman" w:eastAsia="Times New Roman" w:hAnsi="Times New Roman"/>
          <w:sz w:val="21"/>
          <w:szCs w:val="21"/>
          <w:b w:val="1"/>
          <w:bCs w:val="1"/>
          <w:color w:val="auto"/>
        </w:rPr>
      </w:pPr>
    </w:p>
    <w:p>
      <w:pPr>
        <w:ind w:firstLine="8"/>
        <w:spacing w:after="0" w:line="232" w:lineRule="auto"/>
        <w:tabs>
          <w:tab w:leader="none" w:pos="36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 methods of payment. The amount of the Withholding Obligations will be deemed to include any amount which the Board agrees may be withheld at the time the election is made, not to exceed the amount determined by using the maximum federal, state or local marginal income tax rates applicable to the optionee or recipient of Restricted Stock with respect to the Option or Restricted Stock Award on the date that the amount of tax to be withheld is to be determined or such greater amount as the Board may determine if such amount would not have adverse accounting consequences, as the Board determines in its sole discretion. The fair market value of the shares of Class A Common Stock to be withheld or delivered will be determined as of the date that the taxes are required to be withheld. A person who has made an election pursuant to this Section 19 may only satisfy his or her withholding obligation with shares of Class A Common Stock which are not subject to any repurchase, forfeiture, unfulfilled vesting or other similar restrictions.</w:t>
      </w:r>
    </w:p>
    <w:p>
      <w:pPr>
        <w:spacing w:after="0" w:line="17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 and Duration of the Plan.</w:t>
      </w:r>
    </w:p>
    <w:p>
      <w:pPr>
        <w:spacing w:after="0" w:line="206" w:lineRule="exact"/>
        <w:rPr>
          <w:sz w:val="20"/>
          <w:szCs w:val="20"/>
          <w:color w:val="auto"/>
        </w:rPr>
      </w:pPr>
    </w:p>
    <w:p>
      <w:pPr>
        <w:jc w:val="both"/>
        <w:ind w:right="220" w:firstLine="1497"/>
        <w:spacing w:after="0" w:line="250" w:lineRule="auto"/>
        <w:rPr>
          <w:sz w:val="20"/>
          <w:szCs w:val="20"/>
          <w:color w:val="auto"/>
        </w:rPr>
      </w:pPr>
      <w:r>
        <w:rPr>
          <w:rFonts w:ascii="Times New Roman" w:cs="Times New Roman" w:eastAsia="Times New Roman" w:hAnsi="Times New Roman"/>
          <w:sz w:val="21"/>
          <w:szCs w:val="21"/>
          <w:color w:val="auto"/>
        </w:rPr>
        <w:t xml:space="preserve">20.1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xml:space="preserve"> The Plan shall become effective when adopted by the Board of Directors. If shareholder approval is not obtained within twelve months after the date of the Board’s adoption of the Plan, no Options previously granted under the Plan shall be deemed to be Incentive Stock Options and no Incentive Stock Options shall be granted thereafter.</w:t>
      </w:r>
    </w:p>
    <w:p>
      <w:pPr>
        <w:spacing w:after="0" w:line="2"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Amendments to the Plan not requiring shareholder approval shall become effective when adopted by the Board. Amendments requiring shareholder approval shall become effective when adopted by the Board, but if shareholder approval is not obtained within twelve months of the Board’s adoption of such amendment, any Incentive Stock Options granted pursuant to such amendment shall be deemed to be non-statutory Options provided that such Options are authorized by the Plan. Subject to this limitation, Options may be granted under the Plan at any time after the effective date and before the date fixed for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5" w:name="page166"/>
    <w:bookmarkEnd w:id="165"/>
    <w:p>
      <w:pPr>
        <w:ind w:right="100" w:firstLine="1497"/>
        <w:spacing w:after="0" w:line="286" w:lineRule="auto"/>
        <w:rPr>
          <w:sz w:val="20"/>
          <w:szCs w:val="20"/>
          <w:color w:val="auto"/>
        </w:rPr>
      </w:pPr>
      <w:r>
        <w:rPr>
          <w:rFonts w:ascii="Times New Roman" w:cs="Times New Roman" w:eastAsia="Times New Roman" w:hAnsi="Times New Roman"/>
          <w:sz w:val="21"/>
          <w:szCs w:val="21"/>
          <w:color w:val="auto"/>
        </w:rPr>
        <w:t xml:space="preserve">20.2 </w:t>
      </w: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xml:space="preserve"> Unless sooner terminated by action of the Board of Directors, the Plan shall terminate upon the close of business on the day next preceding the tenth anniversary of the date of its adoption by the Board of Directors.</w:t>
      </w:r>
    </w:p>
    <w:p>
      <w:pPr>
        <w:spacing w:after="0" w:line="126" w:lineRule="exact"/>
        <w:rPr>
          <w:sz w:val="20"/>
          <w:szCs w:val="20"/>
          <w:color w:val="auto"/>
        </w:rPr>
      </w:pPr>
    </w:p>
    <w:p>
      <w:pPr>
        <w:jc w:val="both"/>
        <w:ind w:right="20" w:firstLine="757"/>
        <w:spacing w:after="0" w:line="241" w:lineRule="auto"/>
        <w:tabs>
          <w:tab w:leader="none" w:pos="1181"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Provision for Foreign Participants. </w:t>
      </w:r>
      <w:r>
        <w:rPr>
          <w:rFonts w:ascii="Times New Roman" w:cs="Times New Roman" w:eastAsia="Times New Roman" w:hAnsi="Times New Roman"/>
          <w:sz w:val="22"/>
          <w:szCs w:val="22"/>
          <w:color w:val="auto"/>
        </w:rPr>
        <w:t>The Board of Directors may, without amending the Plan, modify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Agreements or Restricted Stock Agreements to differ from those specified in the Plan with respect to participants who are foreign nationals or employed outside the United States to recognize differences in laws, rules, regulations or customs of such foreign jurisdictions with respect to tax, securities, currency, employee benefit or other matters.</w:t>
      </w:r>
    </w:p>
    <w:p>
      <w:pPr>
        <w:spacing w:after="0" w:line="171" w:lineRule="exact"/>
        <w:rPr>
          <w:rFonts w:ascii="Times New Roman" w:cs="Times New Roman" w:eastAsia="Times New Roman" w:hAnsi="Times New Roman"/>
          <w:sz w:val="22"/>
          <w:szCs w:val="22"/>
          <w:b w:val="1"/>
          <w:bCs w:val="1"/>
          <w:color w:val="auto"/>
        </w:rPr>
      </w:pPr>
    </w:p>
    <w:p>
      <w:pPr>
        <w:ind w:firstLine="757"/>
        <w:spacing w:after="0" w:line="233" w:lineRule="auto"/>
        <w:tabs>
          <w:tab w:leader="none" w:pos="1181"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Requirements of Law. </w:t>
      </w:r>
      <w:r>
        <w:rPr>
          <w:rFonts w:ascii="Times New Roman" w:cs="Times New Roman" w:eastAsia="Times New Roman" w:hAnsi="Times New Roman"/>
          <w:sz w:val="22"/>
          <w:szCs w:val="22"/>
          <w:color w:val="auto"/>
        </w:rPr>
        <w:t>The Company shall not be required to sell or issue any shares under any Option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Award if the issuance of such shares shall constitute a violation by the optionee, the Restricted Stock Award recipient, or by the Company of any provision of any law or regulation of any governmental authority. In addition, in connection with the Act, the Company shall not be required to issue any shares upon exercise of any Option unless the Company has received evidence satisfactory to it to the effect that the holder of such Option will not transfer such shares except pursuant to a registration statement in effect under the Act or unless an opinion of counsel satisfactory to the Company has been received by the Company to the effect that such registration is not required in connection with any such transfer. Any determination in this connection by the Board shall be final, binding and conclusive. In the event the shares issuable on exercise of an Option are not registered under the Act or under the securities laws of each relevant state or other jurisdiction, the Company may imprint on the certificate(s) appropriate legends that counsel for the Company considers necessary or advisable to comply with the Act or any such state or other securities law. The Company may register, but in no event shall be obligated to register, any securities covered by the Plan pursuant to the Act; and in the event any shares are so registered the Company may remove any legend on certificates representing such shares. The Company shall not be obligated to take any affirmative action in order to cause the exercise of an Option, the grant of any Restricted Stock Award or the issuance of shares pursuant thereto to comply with any law or regulation of any governmental authority.</w:t>
      </w:r>
    </w:p>
    <w:p>
      <w:pPr>
        <w:spacing w:after="0" w:line="177" w:lineRule="exact"/>
        <w:rPr>
          <w:rFonts w:ascii="Times New Roman" w:cs="Times New Roman" w:eastAsia="Times New Roman" w:hAnsi="Times New Roman"/>
          <w:sz w:val="22"/>
          <w:szCs w:val="22"/>
          <w:b w:val="1"/>
          <w:bCs w:val="1"/>
          <w:color w:val="auto"/>
        </w:rPr>
      </w:pPr>
    </w:p>
    <w:p>
      <w:pPr>
        <w:ind w:firstLine="757"/>
        <w:spacing w:after="0" w:line="234" w:lineRule="auto"/>
        <w:tabs>
          <w:tab w:leader="none" w:pos="1181"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Conversion of Incentive Stock Options into Non-Qualified Options; Termination. </w:t>
      </w:r>
      <w:r>
        <w:rPr>
          <w:rFonts w:ascii="Times New Roman" w:cs="Times New Roman" w:eastAsia="Times New Roman" w:hAnsi="Times New Roman"/>
          <w:sz w:val="22"/>
          <w:szCs w:val="22"/>
          <w:color w:val="auto"/>
        </w:rPr>
        <w:t>The Board of Directors,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consent of any optionee, may in its discretion take such actions as may be necessary to convert such optionee’s Incentive Stock Options (or any installments or portions of installments thereof) that have not been exercised on the date of conversion into non-statutory Options at any time prior to the expiration of such Incentive Stock Options, regardless of whether the optionee is an employee of the Company or a parent or subsidiary of the Company at the time of such conversion. At the time of such conversion, the Board of Directors (with the consent of the optionee) may impose such conditions on the exercise of the resulting non-statutory Options as the Board of Directors in its discretion may determine, provided that such conditions shall not be inconsistent with this Plan. Nothing in this Plan shall be deemed to give any optionee the right to have such optionee’s Incentive Stock Options converted into non-statutory Options, and no such conversion shall occur until and unless the Board of Directors takes appropriate action. The Board of Directors, with the consent of the optionee, may also terminate any portion of any Incentive Stock Option that has not been exercised at the time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66" w:name="page167"/>
    <w:bookmarkEnd w:id="166"/>
    <w:p>
      <w:pPr>
        <w:ind w:firstLine="757"/>
        <w:spacing w:after="0" w:line="238" w:lineRule="auto"/>
        <w:tabs>
          <w:tab w:leader="none" w:pos="1181"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Non-Exclusivity of this Plan; Non-Uniform Determinations. </w:t>
      </w:r>
      <w:r>
        <w:rPr>
          <w:rFonts w:ascii="Times New Roman" w:cs="Times New Roman" w:eastAsia="Times New Roman" w:hAnsi="Times New Roman"/>
          <w:sz w:val="22"/>
          <w:szCs w:val="22"/>
          <w:color w:val="auto"/>
        </w:rPr>
        <w:t>Neither the adoption of this Plan by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nor the approval of this Plan by the stockholders of the Company shall be construed as creating any limitations on the power of the Board of Directors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81"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The determinations of the Board of Directors under this Plan need not be uniform and may be made by it selectively among persons who receive or are eligible to receive Options or Restricted Stock Awards under this Plan (whether or not such persons are similarly situated). Without limiting the generality of the foregoing, the Board of Directors shall be entitled, among other things, to make non-uniform and selective determinations, and to enter into non-uniform and selective Option Agreements and Restricted Stock Agreements, as to (a) the persons to receive Options or Restricted Stock Awards under this Plan, (b) the terms and provisions of Options or Restricted Stock Awards, (c) the exercise by the Board of Directors of its discretion in respect of the exercise of Options pursuant to the terms of this Plan, and (d) the treatment of leaves of absence pursuant to Section 10 hereof.</w:t>
      </w:r>
    </w:p>
    <w:p>
      <w:pPr>
        <w:spacing w:after="0" w:line="174" w:lineRule="exact"/>
        <w:rPr>
          <w:sz w:val="20"/>
          <w:szCs w:val="20"/>
          <w:color w:val="auto"/>
        </w:rPr>
      </w:pPr>
    </w:p>
    <w:p>
      <w:pPr>
        <w:ind w:right="660" w:firstLine="757"/>
        <w:spacing w:after="0" w:line="262" w:lineRule="auto"/>
        <w:tabs>
          <w:tab w:leader="none" w:pos="1181"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Plan and each Option or Restricted Stock Award shall be governed by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without regard to its principles of conflicts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EXERCISE OF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Seer, Inc.</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is to notify Seer,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that I hereby irrevocably elect to exercise the right to purchase the number of shares of the Company’s Class A common stock, $0.00001 par value per share, indicated below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Shares are being purchased pursuant to my exercise of an option granted to me under the Company’s 2017 Stock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pursuant to [an Incentive][a Non-Statutory] Stock Option Agreement dated [__________] (the “</w:t>
      </w:r>
      <w:r>
        <w:rPr>
          <w:rFonts w:ascii="Times New Roman" w:cs="Times New Roman" w:eastAsia="Times New Roman" w:hAnsi="Times New Roman"/>
          <w:sz w:val="20"/>
          <w:szCs w:val="20"/>
          <w:u w:val="single" w:color="auto"/>
          <w:color w:val="auto"/>
        </w:rPr>
        <w:t>Option Agreement</w:t>
      </w:r>
      <w:r>
        <w:rPr>
          <w:rFonts w:ascii="Times New Roman" w:cs="Times New Roman" w:eastAsia="Times New Roman" w:hAnsi="Times New Roman"/>
          <w:sz w:val="20"/>
          <w:szCs w:val="20"/>
          <w:color w:val="auto"/>
        </w:rPr>
        <w:t>”).</w:t>
      </w:r>
    </w:p>
    <w:p>
      <w:pPr>
        <w:spacing w:after="0" w:line="159" w:lineRule="exact"/>
        <w:rPr>
          <w:sz w:val="20"/>
          <w:szCs w:val="20"/>
          <w:color w:val="auto"/>
        </w:rPr>
      </w:pPr>
    </w:p>
    <w:tbl>
      <w:tblPr>
        <w:tblLayout w:type="fixed"/>
        <w:tblInd w:w="130" w:type="dxa"/>
        <w:tblCellMar>
          <w:top w:w="0" w:type="dxa"/>
          <w:left w:w="0" w:type="dxa"/>
          <w:bottom w:w="0" w:type="dxa"/>
          <w:right w:w="0" w:type="dxa"/>
        </w:tblCellMar>
      </w:tblPr>
      <w:tr>
        <w:trPr>
          <w:trHeight w:val="258"/>
        </w:trPr>
        <w:tc>
          <w:tcPr>
            <w:tcW w:w="3700" w:type="dxa"/>
            <w:vAlign w:val="bottom"/>
          </w:tcPr>
          <w:p>
            <w:pPr>
              <w:jc w:val="right"/>
              <w:ind w:right="1301"/>
              <w:spacing w:after="0"/>
              <w:rPr>
                <w:sz w:val="20"/>
                <w:szCs w:val="20"/>
                <w:color w:val="auto"/>
              </w:rPr>
            </w:pPr>
            <w:r>
              <w:rPr>
                <w:rFonts w:ascii="Times New Roman" w:cs="Times New Roman" w:eastAsia="Times New Roman" w:hAnsi="Times New Roman"/>
                <w:sz w:val="20"/>
                <w:szCs w:val="20"/>
                <w:color w:val="auto"/>
              </w:rPr>
              <w:t>Option and Exercise:</w:t>
            </w:r>
          </w:p>
        </w:tc>
        <w:tc>
          <w:tcPr>
            <w:tcW w:w="23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247"/>
        </w:trPr>
        <w:tc>
          <w:tcPr>
            <w:tcW w:w="37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r>
      <w:tr>
        <w:trPr>
          <w:trHeight w:val="163"/>
        </w:trPr>
        <w:tc>
          <w:tcPr>
            <w:tcW w:w="3700" w:type="dxa"/>
            <w:vAlign w:val="bottom"/>
            <w:tcBorders>
              <w:left w:val="single" w:sz="8" w:color="auto"/>
              <w:right w:val="single" w:sz="8" w:color="auto"/>
            </w:tcBorders>
          </w:tcPr>
          <w:p>
            <w:pPr>
              <w:spacing w:after="0"/>
              <w:rPr>
                <w:sz w:val="14"/>
                <w:szCs w:val="14"/>
                <w:color w:val="auto"/>
              </w:rPr>
            </w:pPr>
          </w:p>
        </w:tc>
        <w:tc>
          <w:tcPr>
            <w:tcW w:w="2360" w:type="dxa"/>
            <w:vAlign w:val="bottom"/>
            <w:tcBorders>
              <w:right w:val="single" w:sz="8" w:color="auto"/>
            </w:tcBorders>
          </w:tcPr>
          <w:p>
            <w:pPr>
              <w:jc w:val="right"/>
              <w:ind w:right="723"/>
              <w:spacing w:after="0" w:line="163" w:lineRule="exact"/>
              <w:rPr>
                <w:sz w:val="20"/>
                <w:szCs w:val="20"/>
                <w:color w:val="auto"/>
              </w:rPr>
            </w:pPr>
            <w:r>
              <w:rPr>
                <w:rFonts w:ascii="Times New Roman" w:cs="Times New Roman" w:eastAsia="Times New Roman" w:hAnsi="Times New Roman"/>
                <w:sz w:val="18"/>
                <w:szCs w:val="18"/>
                <w:color w:val="auto"/>
              </w:rPr>
              <w:t>Per Share</w:t>
            </w:r>
          </w:p>
        </w:tc>
        <w:tc>
          <w:tcPr>
            <w:tcW w:w="2480" w:type="dxa"/>
            <w:vAlign w:val="bottom"/>
            <w:tcBorders>
              <w:right w:val="single" w:sz="8" w:color="auto"/>
            </w:tcBorders>
          </w:tcPr>
          <w:p>
            <w:pPr>
              <w:jc w:val="right"/>
              <w:ind w:right="743"/>
              <w:spacing w:after="0" w:line="163" w:lineRule="exact"/>
              <w:rPr>
                <w:sz w:val="20"/>
                <w:szCs w:val="20"/>
                <w:color w:val="auto"/>
              </w:rPr>
            </w:pPr>
            <w:r>
              <w:rPr>
                <w:rFonts w:ascii="Times New Roman" w:cs="Times New Roman" w:eastAsia="Times New Roman" w:hAnsi="Times New Roman"/>
                <w:sz w:val="18"/>
                <w:szCs w:val="18"/>
                <w:color w:val="auto"/>
              </w:rPr>
              <w:t>Number of</w:t>
            </w:r>
          </w:p>
        </w:tc>
        <w:tc>
          <w:tcPr>
            <w:tcW w:w="2580" w:type="dxa"/>
            <w:vAlign w:val="bottom"/>
            <w:tcBorders>
              <w:right w:val="single" w:sz="8" w:color="auto"/>
            </w:tcBorders>
          </w:tcPr>
          <w:p>
            <w:pPr>
              <w:jc w:val="right"/>
              <w:ind w:right="1023"/>
              <w:spacing w:after="0" w:line="163" w:lineRule="exact"/>
              <w:rPr>
                <w:sz w:val="20"/>
                <w:szCs w:val="20"/>
                <w:color w:val="auto"/>
              </w:rPr>
            </w:pPr>
            <w:r>
              <w:rPr>
                <w:rFonts w:ascii="Times New Roman" w:cs="Times New Roman" w:eastAsia="Times New Roman" w:hAnsi="Times New Roman"/>
                <w:sz w:val="18"/>
                <w:szCs w:val="18"/>
                <w:color w:val="auto"/>
              </w:rPr>
              <w:t>Total</w:t>
            </w:r>
          </w:p>
        </w:tc>
      </w:tr>
      <w:tr>
        <w:trPr>
          <w:trHeight w:val="269"/>
        </w:trPr>
        <w:tc>
          <w:tcPr>
            <w:tcW w:w="370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jc w:val="right"/>
              <w:ind w:right="543"/>
              <w:spacing w:after="0"/>
              <w:rPr>
                <w:sz w:val="20"/>
                <w:szCs w:val="20"/>
                <w:color w:val="auto"/>
              </w:rPr>
            </w:pPr>
            <w:r>
              <w:rPr>
                <w:rFonts w:ascii="Times New Roman" w:cs="Times New Roman" w:eastAsia="Times New Roman" w:hAnsi="Times New Roman"/>
                <w:sz w:val="20"/>
                <w:szCs w:val="20"/>
                <w:color w:val="auto"/>
              </w:rPr>
              <w:t>Exercise Price</w:t>
            </w:r>
          </w:p>
        </w:tc>
        <w:tc>
          <w:tcPr>
            <w:tcW w:w="2480" w:type="dxa"/>
            <w:vAlign w:val="bottom"/>
            <w:tcBorders>
              <w:bottom w:val="single" w:sz="8" w:color="auto"/>
              <w:right w:val="single" w:sz="8" w:color="auto"/>
            </w:tcBorders>
          </w:tcPr>
          <w:p>
            <w:pPr>
              <w:jc w:val="right"/>
              <w:ind w:right="463"/>
              <w:spacing w:after="0"/>
              <w:rPr>
                <w:sz w:val="20"/>
                <w:szCs w:val="20"/>
                <w:color w:val="auto"/>
              </w:rPr>
            </w:pPr>
            <w:r>
              <w:rPr>
                <w:rFonts w:ascii="Times New Roman" w:cs="Times New Roman" w:eastAsia="Times New Roman" w:hAnsi="Times New Roman"/>
                <w:sz w:val="20"/>
                <w:szCs w:val="20"/>
                <w:color w:val="auto"/>
              </w:rPr>
              <w:t>Shares Purchased</w:t>
            </w:r>
          </w:p>
        </w:tc>
        <w:tc>
          <w:tcPr>
            <w:tcW w:w="2580" w:type="dxa"/>
            <w:vAlign w:val="bottom"/>
            <w:tcBorders>
              <w:bottom w:val="single" w:sz="8" w:color="auto"/>
              <w:right w:val="single" w:sz="8" w:color="auto"/>
            </w:tcBorders>
          </w:tcPr>
          <w:p>
            <w:pPr>
              <w:jc w:val="right"/>
              <w:ind w:right="643"/>
              <w:spacing w:after="0"/>
              <w:rPr>
                <w:sz w:val="20"/>
                <w:szCs w:val="20"/>
                <w:color w:val="auto"/>
              </w:rPr>
            </w:pPr>
            <w:r>
              <w:rPr>
                <w:rFonts w:ascii="Times New Roman" w:cs="Times New Roman" w:eastAsia="Times New Roman" w:hAnsi="Times New Roman"/>
                <w:sz w:val="20"/>
                <w:szCs w:val="20"/>
                <w:color w:val="auto"/>
              </w:rPr>
              <w:t>Exercise Price</w:t>
            </w:r>
          </w:p>
        </w:tc>
      </w:tr>
      <w:tr>
        <w:trPr>
          <w:trHeight w:val="206"/>
        </w:trPr>
        <w:tc>
          <w:tcPr>
            <w:tcW w:w="3700" w:type="dxa"/>
            <w:vAlign w:val="bottom"/>
            <w:tcBorders>
              <w:left w:val="single" w:sz="8" w:color="auto"/>
              <w:bottom w:val="single" w:sz="8" w:color="auto"/>
              <w:right w:val="single" w:sz="8" w:color="auto"/>
            </w:tcBorders>
          </w:tcPr>
          <w:p>
            <w:pPr>
              <w:jc w:val="right"/>
              <w:ind w:right="41"/>
              <w:spacing w:after="0" w:line="207" w:lineRule="exact"/>
              <w:rPr>
                <w:sz w:val="20"/>
                <w:szCs w:val="20"/>
                <w:color w:val="auto"/>
              </w:rPr>
            </w:pPr>
            <w:r>
              <w:rPr>
                <w:rFonts w:ascii="Times New Roman" w:cs="Times New Roman" w:eastAsia="Times New Roman" w:hAnsi="Times New Roman"/>
                <w:sz w:val="20"/>
                <w:szCs w:val="20"/>
                <w:color w:val="auto"/>
              </w:rPr>
              <w:t>Vested Shares</w:t>
            </w:r>
          </w:p>
        </w:tc>
        <w:tc>
          <w:tcPr>
            <w:tcW w:w="2360" w:type="dxa"/>
            <w:vAlign w:val="bottom"/>
            <w:tcBorders>
              <w:bottom w:val="single" w:sz="8" w:color="auto"/>
              <w:right w:val="single" w:sz="8" w:color="auto"/>
            </w:tcBorders>
          </w:tcPr>
          <w:p>
            <w:pPr>
              <w:jc w:val="right"/>
              <w:ind w:right="23"/>
              <w:spacing w:after="0" w:line="207" w:lineRule="exact"/>
              <w:rPr>
                <w:sz w:val="20"/>
                <w:szCs w:val="20"/>
                <w:color w:val="auto"/>
              </w:rPr>
            </w:pPr>
            <w:r>
              <w:rPr>
                <w:rFonts w:ascii="Times New Roman" w:cs="Times New Roman" w:eastAsia="Times New Roman" w:hAnsi="Times New Roman"/>
                <w:sz w:val="20"/>
                <w:szCs w:val="20"/>
                <w:color w:val="auto"/>
              </w:rPr>
              <w:t>$[____]</w:t>
            </w:r>
          </w:p>
        </w:tc>
        <w:tc>
          <w:tcPr>
            <w:tcW w:w="2480" w:type="dxa"/>
            <w:vAlign w:val="bottom"/>
            <w:tcBorders>
              <w:bottom w:val="single" w:sz="8" w:color="auto"/>
              <w:right w:val="single" w:sz="8" w:color="auto"/>
            </w:tcBorders>
          </w:tcPr>
          <w:p>
            <w:pPr>
              <w:jc w:val="right"/>
              <w:ind w:right="23"/>
              <w:spacing w:after="0" w:line="207" w:lineRule="exact"/>
              <w:rPr>
                <w:sz w:val="20"/>
                <w:szCs w:val="20"/>
                <w:color w:val="auto"/>
              </w:rPr>
            </w:pPr>
            <w:r>
              <w:rPr>
                <w:rFonts w:ascii="Times New Roman" w:cs="Times New Roman" w:eastAsia="Times New Roman" w:hAnsi="Times New Roman"/>
                <w:sz w:val="20"/>
                <w:szCs w:val="20"/>
                <w:color w:val="auto"/>
              </w:rPr>
              <w:t>[____]</w:t>
            </w:r>
          </w:p>
        </w:tc>
        <w:tc>
          <w:tcPr>
            <w:tcW w:w="2580" w:type="dxa"/>
            <w:vAlign w:val="bottom"/>
            <w:tcBorders>
              <w:bottom w:val="single" w:sz="8" w:color="auto"/>
              <w:right w:val="single" w:sz="8" w:color="auto"/>
            </w:tcBorders>
          </w:tcPr>
          <w:p>
            <w:pPr>
              <w:jc w:val="right"/>
              <w:ind w:right="23"/>
              <w:spacing w:after="0" w:line="207" w:lineRule="exact"/>
              <w:rPr>
                <w:sz w:val="20"/>
                <w:szCs w:val="20"/>
                <w:color w:val="auto"/>
              </w:rPr>
            </w:pPr>
            <w:r>
              <w:rPr>
                <w:rFonts w:ascii="Times New Roman" w:cs="Times New Roman" w:eastAsia="Times New Roman" w:hAnsi="Times New Roman"/>
                <w:sz w:val="20"/>
                <w:szCs w:val="20"/>
                <w:color w:val="auto"/>
              </w:rPr>
              <w:t>$[____]</w:t>
            </w:r>
          </w:p>
        </w:tc>
      </w:tr>
      <w:tr>
        <w:trPr>
          <w:trHeight w:val="223"/>
        </w:trPr>
        <w:tc>
          <w:tcPr>
            <w:tcW w:w="3700" w:type="dxa"/>
            <w:vAlign w:val="bottom"/>
            <w:tcBorders>
              <w:left w:val="single" w:sz="8" w:color="auto"/>
              <w:bottom w:val="single" w:sz="8" w:color="auto"/>
              <w:right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Unvested Shares</w:t>
            </w:r>
          </w:p>
        </w:tc>
        <w:tc>
          <w:tcPr>
            <w:tcW w:w="2360" w:type="dxa"/>
            <w:vAlign w:val="bottom"/>
            <w:tcBorders>
              <w:bottom w:val="single" w:sz="8" w:color="auto"/>
              <w:right w:val="single" w:sz="8" w:color="auto"/>
            </w:tcBorders>
          </w:tcPr>
          <w:p>
            <w:pPr>
              <w:jc w:val="right"/>
              <w:ind w:right="23"/>
              <w:spacing w:after="0" w:line="223" w:lineRule="exact"/>
              <w:rPr>
                <w:sz w:val="20"/>
                <w:szCs w:val="20"/>
                <w:color w:val="auto"/>
              </w:rPr>
            </w:pPr>
            <w:r>
              <w:rPr>
                <w:rFonts w:ascii="Times New Roman" w:cs="Times New Roman" w:eastAsia="Times New Roman" w:hAnsi="Times New Roman"/>
                <w:sz w:val="20"/>
                <w:szCs w:val="20"/>
                <w:color w:val="auto"/>
              </w:rPr>
              <w:t>---</w:t>
            </w:r>
          </w:p>
        </w:tc>
        <w:tc>
          <w:tcPr>
            <w:tcW w:w="2480" w:type="dxa"/>
            <w:vAlign w:val="bottom"/>
            <w:tcBorders>
              <w:bottom w:val="single" w:sz="8" w:color="auto"/>
              <w:right w:val="single" w:sz="8" w:color="auto"/>
            </w:tcBorders>
          </w:tcPr>
          <w:p>
            <w:pPr>
              <w:jc w:val="right"/>
              <w:ind w:right="23"/>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80" w:type="dxa"/>
            <w:vAlign w:val="bottom"/>
            <w:tcBorders>
              <w:bottom w:val="single" w:sz="8" w:color="auto"/>
              <w:right w:val="single" w:sz="8" w:color="auto"/>
            </w:tcBorders>
          </w:tcPr>
          <w:p>
            <w:pPr>
              <w:jc w:val="right"/>
              <w:ind w:right="23"/>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700" w:type="dxa"/>
            <w:vAlign w:val="bottom"/>
            <w:tcBorders>
              <w:left w:val="single" w:sz="8" w:color="auto"/>
              <w:bottom w:val="single" w:sz="8" w:color="auto"/>
              <w:right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auto"/>
              </w:rPr>
              <w:t>Totals:</w:t>
            </w:r>
          </w:p>
        </w:tc>
        <w:tc>
          <w:tcPr>
            <w:tcW w:w="2360" w:type="dxa"/>
            <w:vAlign w:val="bottom"/>
            <w:tcBorders>
              <w:bottom w:val="single" w:sz="8" w:color="auto"/>
              <w:right w:val="single" w:sz="8" w:color="auto"/>
            </w:tcBorders>
          </w:tcPr>
          <w:p>
            <w:pPr>
              <w:jc w:val="right"/>
              <w:ind w:right="23"/>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2480" w:type="dxa"/>
            <w:vAlign w:val="bottom"/>
            <w:tcBorders>
              <w:bottom w:val="single" w:sz="8" w:color="auto"/>
              <w:right w:val="single" w:sz="8" w:color="auto"/>
            </w:tcBorders>
          </w:tcPr>
          <w:p>
            <w:pPr>
              <w:jc w:val="right"/>
              <w:ind w:right="23"/>
              <w:spacing w:after="0" w:line="223" w:lineRule="exact"/>
              <w:rPr>
                <w:sz w:val="20"/>
                <w:szCs w:val="20"/>
                <w:color w:val="auto"/>
              </w:rPr>
            </w:pPr>
            <w:r>
              <w:rPr>
                <w:rFonts w:ascii="Times New Roman" w:cs="Times New Roman" w:eastAsia="Times New Roman" w:hAnsi="Times New Roman"/>
                <w:sz w:val="20"/>
                <w:szCs w:val="20"/>
                <w:color w:val="auto"/>
              </w:rPr>
              <w:t>[____]</w:t>
            </w:r>
          </w:p>
        </w:tc>
        <w:tc>
          <w:tcPr>
            <w:tcW w:w="2580" w:type="dxa"/>
            <w:vAlign w:val="bottom"/>
            <w:tcBorders>
              <w:bottom w:val="single" w:sz="8" w:color="auto"/>
              <w:right w:val="single" w:sz="8" w:color="auto"/>
            </w:tcBorders>
          </w:tcPr>
          <w:p>
            <w:pPr>
              <w:jc w:val="right"/>
              <w:ind w:right="23"/>
              <w:spacing w:after="0" w:line="223" w:lineRule="exact"/>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[____]</w:t>
            </w:r>
          </w:p>
        </w:tc>
      </w:tr>
    </w:tbl>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As payment for the Shares, enclosed is a </w:t>
      </w:r>
      <w:r>
        <w:rPr>
          <w:rFonts w:ascii="Times New Roman" w:cs="Times New Roman" w:eastAsia="Times New Roman" w:hAnsi="Times New Roman"/>
          <w:sz w:val="20"/>
          <w:szCs w:val="20"/>
          <w:b w:val="1"/>
          <w:bCs w:val="1"/>
          <w:i w:val="1"/>
          <w:iCs w:val="1"/>
          <w:color w:val="auto"/>
        </w:rPr>
        <w:t>certified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bank check</w:t>
      </w:r>
      <w:r>
        <w:rPr>
          <w:rFonts w:ascii="Times New Roman" w:cs="Times New Roman" w:eastAsia="Times New Roman" w:hAnsi="Times New Roman"/>
          <w:sz w:val="20"/>
          <w:szCs w:val="20"/>
          <w:color w:val="auto"/>
        </w:rPr>
        <w:t xml:space="preserve"> payable to the order of “Seer, Inc.” in the sum of $[____].</w:t>
      </w:r>
    </w:p>
    <w:p>
      <w:pPr>
        <w:spacing w:after="0" w:line="220" w:lineRule="exact"/>
        <w:rPr>
          <w:sz w:val="20"/>
          <w:szCs w:val="20"/>
          <w:color w:val="auto"/>
        </w:rPr>
      </w:pPr>
    </w:p>
    <w:p>
      <w:pPr>
        <w:ind w:firstLine="749"/>
        <w:spacing w:after="0" w:line="274" w:lineRule="auto"/>
        <w:rPr>
          <w:sz w:val="20"/>
          <w:szCs w:val="20"/>
          <w:color w:val="auto"/>
        </w:rPr>
      </w:pPr>
      <w:r>
        <w:rPr>
          <w:rFonts w:ascii="Times New Roman" w:cs="Times New Roman" w:eastAsia="Times New Roman" w:hAnsi="Times New Roman"/>
          <w:sz w:val="19"/>
          <w:szCs w:val="19"/>
          <w:color w:val="auto"/>
        </w:rPr>
        <w:t>If any of the Shares are vested shares as of the date hereof (in accordance with the vesting schedule provided in the Option Agreement), enclosed is an executed and dated copy of an investment letter that shall apply with respect to such vested shares. I hereby confirm that I have read and I fully understand the terms and conditions (including representations and warranties) of such letter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If any of the Shares are unvested shares as of the date hereof (in accordance with the vesting schedule provided in the Option Agreement), I acknowledge that the sale of such unvested shares shall be conditioned upon my execution of the Company’s standard form of restricted stock purchase agreement (the “</w:t>
      </w:r>
      <w:r>
        <w:rPr>
          <w:rFonts w:ascii="Times New Roman" w:cs="Times New Roman" w:eastAsia="Times New Roman" w:hAnsi="Times New Roman"/>
          <w:sz w:val="20"/>
          <w:szCs w:val="20"/>
          <w:u w:val="single" w:color="auto"/>
          <w:color w:val="auto"/>
        </w:rPr>
        <w:t>RSPA</w:t>
      </w:r>
      <w:r>
        <w:rPr>
          <w:rFonts w:ascii="Times New Roman" w:cs="Times New Roman" w:eastAsia="Times New Roman" w:hAnsi="Times New Roman"/>
          <w:sz w:val="20"/>
          <w:szCs w:val="20"/>
          <w:color w:val="auto"/>
        </w:rPr>
        <w:t>”). I hereby confirm that I have read and I fully understand the terms and conditions (including representations and warranties) of the RSPA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25146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0">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539750</wp:posOffset>
            </wp:positionV>
            <wp:extent cx="2514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w:t>
            </w:r>
          </w:p>
        </w:tc>
        <w:tc>
          <w:tcPr>
            <w:tcW w:w="10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(Street Address)</w:t>
            </w:r>
          </w:p>
        </w:tc>
        <w:tc>
          <w:tcPr>
            <w:tcW w:w="0" w:type="dxa"/>
            <w:vAlign w:val="bottom"/>
          </w:tcPr>
          <w:p>
            <w:pPr>
              <w:spacing w:after="0"/>
              <w:rPr>
                <w:sz w:val="1"/>
                <w:szCs w:val="1"/>
                <w:color w:val="auto"/>
              </w:rPr>
            </w:pPr>
          </w:p>
        </w:tc>
      </w:tr>
      <w:tr>
        <w:trPr>
          <w:trHeight w:val="615"/>
        </w:trPr>
        <w:tc>
          <w:tcPr>
            <w:tcW w:w="4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(City, State, Zip Code)</w:t>
            </w:r>
          </w:p>
        </w:tc>
        <w:tc>
          <w:tcPr>
            <w:tcW w:w="0" w:type="dxa"/>
            <w:vAlign w:val="bottom"/>
          </w:tcPr>
          <w:p>
            <w:pPr>
              <w:spacing w:after="0"/>
              <w:rPr>
                <w:sz w:val="1"/>
                <w:szCs w:val="1"/>
                <w:color w:val="auto"/>
              </w:rPr>
            </w:pPr>
          </w:p>
        </w:tc>
      </w:tr>
      <w:tr>
        <w:trPr>
          <w:trHeight w:val="256"/>
        </w:trPr>
        <w:tc>
          <w:tcPr>
            <w:tcW w:w="1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 Name)</w:t>
            </w:r>
          </w:p>
        </w:tc>
        <w:tc>
          <w:tcPr>
            <w:tcW w:w="10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4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(E-mail Address)</w:t>
            </w:r>
          </w:p>
        </w:tc>
        <w:tc>
          <w:tcPr>
            <w:tcW w:w="0" w:type="dxa"/>
            <w:vAlign w:val="bottom"/>
          </w:tcPr>
          <w:p>
            <w:pPr>
              <w:spacing w:after="0"/>
              <w:rPr>
                <w:sz w:val="1"/>
                <w:szCs w:val="1"/>
                <w:color w:val="auto"/>
              </w:rPr>
            </w:pPr>
          </w:p>
        </w:tc>
      </w:tr>
      <w:tr>
        <w:trPr>
          <w:trHeight w:val="256"/>
        </w:trPr>
        <w:tc>
          <w:tcPr>
            <w:tcW w:w="1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w:t>
            </w:r>
          </w:p>
        </w:tc>
        <w:tc>
          <w:tcPr>
            <w:tcW w:w="10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37"/>
        </w:trPr>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INVESTMENT LETTER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Seer, Inc.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b w:val="1"/>
          <w:bCs w:val="1"/>
          <w:i w:val="1"/>
          <w:iCs w:val="1"/>
          <w:u w:val="single" w:color="auto"/>
          <w:color w:val="auto"/>
        </w:rPr>
        <w:t>Purchase of Class A Common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ind w:right="460" w:firstLine="749"/>
        <w:spacing w:after="0" w:line="254" w:lineRule="auto"/>
        <w:rPr>
          <w:sz w:val="20"/>
          <w:szCs w:val="20"/>
          <w:color w:val="auto"/>
        </w:rPr>
      </w:pPr>
      <w:r>
        <w:rPr>
          <w:rFonts w:ascii="Times New Roman" w:cs="Times New Roman" w:eastAsia="Times New Roman" w:hAnsi="Times New Roman"/>
          <w:sz w:val="20"/>
          <w:szCs w:val="20"/>
          <w:color w:val="auto"/>
        </w:rPr>
        <w:t>This investment letter is executed and delivered to Seer,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 connection with my purchase of [</w:t>
      </w:r>
      <w:r>
        <w:rPr>
          <w:rFonts w:ascii="Times New Roman" w:cs="Times New Roman" w:eastAsia="Times New Roman" w:hAnsi="Times New Roman"/>
          <w:sz w:val="20"/>
          <w:szCs w:val="20"/>
          <w:b w:val="1"/>
          <w:bCs w:val="1"/>
          <w:i w:val="1"/>
          <w:iCs w:val="1"/>
          <w:color w:val="auto"/>
        </w:rPr>
        <w:t>number of vested shares purchased</w:t>
      </w:r>
      <w:r>
        <w:rPr>
          <w:rFonts w:ascii="Times New Roman" w:cs="Times New Roman" w:eastAsia="Times New Roman" w:hAnsi="Times New Roman"/>
          <w:sz w:val="20"/>
          <w:szCs w:val="20"/>
          <w:color w:val="auto"/>
        </w:rPr>
        <w:t>] shares of Class A common stock of the Company, $0.00001 par value per share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19"/>
          <w:szCs w:val="19"/>
          <w:color w:val="auto"/>
        </w:rPr>
        <w:t>The Shares are being purchased pursuant to my exercise of an option granted to me under the Company’s 2017 Stock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and pursuant to [an Incentive][a Non-Statutory] Stock Option Agreement dated [__________] (the “</w:t>
      </w:r>
      <w:r>
        <w:rPr>
          <w:rFonts w:ascii="Times New Roman" w:cs="Times New Roman" w:eastAsia="Times New Roman" w:hAnsi="Times New Roman"/>
          <w:sz w:val="19"/>
          <w:szCs w:val="19"/>
          <w:u w:val="single" w:color="auto"/>
          <w:color w:val="auto"/>
        </w:rPr>
        <w:t>Option Agreement</w:t>
      </w:r>
      <w:r>
        <w:rPr>
          <w:rFonts w:ascii="Times New Roman" w:cs="Times New Roman" w:eastAsia="Times New Roman" w:hAnsi="Times New Roman"/>
          <w:sz w:val="19"/>
          <w:szCs w:val="19"/>
          <w:color w:val="auto"/>
        </w:rPr>
        <w:t>”). I</w:t>
      </w:r>
    </w:p>
    <w:p>
      <w:pPr>
        <w:spacing w:after="0" w:line="246" w:lineRule="auto"/>
        <w:rPr>
          <w:sz w:val="20"/>
          <w:szCs w:val="20"/>
          <w:color w:val="auto"/>
        </w:rPr>
      </w:pPr>
      <w:r>
        <w:rPr>
          <w:rFonts w:ascii="Times New Roman" w:cs="Times New Roman" w:eastAsia="Times New Roman" w:hAnsi="Times New Roman"/>
          <w:sz w:val="20"/>
          <w:szCs w:val="20"/>
          <w:color w:val="auto"/>
        </w:rPr>
        <w:t>hereby acknowledge that all of the Shares hereunder have vested as of the date hereof in accordance with the vesting schedule provided in the Option Agreement.</w:t>
      </w:r>
    </w:p>
    <w:p>
      <w:pPr>
        <w:spacing w:after="0" w:line="182"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20"/>
          <w:szCs w:val="20"/>
          <w:color w:val="auto"/>
        </w:rPr>
        <w:t>I understand that the Shares have not been registered under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or registered or qualified under the securities or “blue sky” laws of any state or jurisdiction, and are being sold to me pursuant to exemptions contained in the Securities Act and exemptions contained in other applicable securities or “blue sky” laws. I represent and warrant that the offer and sale of the Shares was made solely in the state shown in the address set forth below. I hereby represent to the Company, and agree that the Company is entitled to rely on such representations, (i) that no one else has any beneficial ownership in the Shares and (ii) that the Shares are not subject to any pledge or other lien. The nature and amount of my investment in the Shares are consistent with my investment objectives, abilities and resources. I understand that the Shares are an illiquid investment, which will not become freely transferable by reason of any “change of circumstances” whatsoever. I have adequate means of providing for my current needs and possible contingencies and have no need for liquidity in my investment.</w:t>
      </w:r>
    </w:p>
    <w:p>
      <w:pPr>
        <w:spacing w:after="0" w:line="186"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20"/>
          <w:szCs w:val="20"/>
          <w:color w:val="auto"/>
        </w:rPr>
        <w:t>I understand that the Shares will constitute “restricted securities” within the meaning of Rule l44 promulgated under the Securities Act and that, as such, the Shares must be held indefinitely unless they are subsequently registered under the Securities Act or unless an exemption from the registration requirements thereof is available.</w:t>
      </w:r>
    </w:p>
    <w:p>
      <w:pPr>
        <w:spacing w:after="0" w:line="174"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I hereby acknowledge and agree that (i) the Shares shall continue to be bound by the terms and conditions of the Option Agreement and the terms of the Plan, and (ii) in addition to any restrictions on transfer pursuant to any applicable law, the Shares are and will remain subject to restrictions on transfer imposed pursuant to the Plan and the Option Agreement. Without limiting the generality of the foregoing, I acknowledge that the Shares shall be subject to that certain right of first refusal in favor of the Company and that certain repurchase right in favor of the Company, which are described in the Option Agreement.</w:t>
      </w:r>
    </w:p>
    <w:p>
      <w:pPr>
        <w:spacing w:after="0" w:line="185" w:lineRule="exact"/>
        <w:rPr>
          <w:sz w:val="20"/>
          <w:szCs w:val="20"/>
          <w:color w:val="auto"/>
        </w:rPr>
      </w:pPr>
    </w:p>
    <w:p>
      <w:pPr>
        <w:ind w:right="560" w:firstLine="749"/>
        <w:spacing w:after="0" w:line="269" w:lineRule="auto"/>
        <w:rPr>
          <w:sz w:val="20"/>
          <w:szCs w:val="20"/>
          <w:color w:val="auto"/>
        </w:rPr>
      </w:pPr>
      <w:r>
        <w:rPr>
          <w:rFonts w:ascii="Times New Roman" w:cs="Times New Roman" w:eastAsia="Times New Roman" w:hAnsi="Times New Roman"/>
          <w:sz w:val="20"/>
          <w:szCs w:val="20"/>
          <w:color w:val="auto"/>
        </w:rPr>
        <w:t>I acknowledge and agree that in addition to legends required or permitted pursuant to the Plan and the Option Agreement, the certificate representing the Shares will bear a legend in substantially the following form: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0" w:name="page171"/>
    <w:bookmarkEnd w:id="170"/>
    <w:p>
      <w:pPr>
        <w:ind w:left="760" w:right="880"/>
        <w:spacing w:after="0" w:line="245" w:lineRule="auto"/>
        <w:rPr>
          <w:sz w:val="20"/>
          <w:szCs w:val="20"/>
          <w:color w:val="auto"/>
        </w:rPr>
      </w:pPr>
      <w:r>
        <w:rPr>
          <w:rFonts w:ascii="Times New Roman" w:cs="Times New Roman" w:eastAsia="Times New Roman" w:hAnsi="Times New Roman"/>
          <w:sz w:val="20"/>
          <w:szCs w:val="20"/>
          <w:color w:val="auto"/>
        </w:rPr>
        <w:t>THE SHARES OF STOCK REPRESENTED BY THIS CERTIFICATE HAVE NOT BEEN REGISTERED UNDER THE SECURITIES ACT OF 1933 OR UNDER THE SECURITIES LAWS OF ANY STATE AND MAY NOT BE PLEDGED, HYPOTHECATED, SOLD OR OTHERWISE TRANSFERRED UNLESS SUCH SHARES HAVE BEEN REGISTERED UNDER THE ACT OR UNLESS THE COMPANY HAS RECEIVED AN OPINION OF COUNSEL SATISFACTORY TO THE COMPANY, IN FORM AND SUBSTANCE SATISFACTORY TO THE COMPANY, THAT SUCH REGISTRATION IS NOT REQUIRED.</w:t>
      </w:r>
    </w:p>
    <w:p>
      <w:pPr>
        <w:spacing w:after="0" w:line="184" w:lineRule="exact"/>
        <w:rPr>
          <w:sz w:val="20"/>
          <w:szCs w:val="20"/>
          <w:color w:val="auto"/>
        </w:rPr>
      </w:pPr>
    </w:p>
    <w:p>
      <w:pPr>
        <w:ind w:left="760" w:right="800"/>
        <w:spacing w:after="0" w:line="245" w:lineRule="auto"/>
        <w:rPr>
          <w:sz w:val="20"/>
          <w:szCs w:val="20"/>
          <w:color w:val="auto"/>
        </w:rPr>
      </w:pPr>
      <w:r>
        <w:rPr>
          <w:rFonts w:ascii="Times New Roman" w:cs="Times New Roman" w:eastAsia="Times New Roman" w:hAnsi="Times New Roman"/>
          <w:sz w:val="20"/>
          <w:szCs w:val="20"/>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84"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I acknowledge and agree that the Company may place a stop order pertaining to the certificates evidencing the Shares with any transfer agent of the Company, to the same effect as the above legend. The legend and stop transfer notice referred to above shall be removed only upon my furnishing to the Company an opinion of counsel to the effect that such legend may lawfully be removed and if such counsel and such opinion are satisfactory to the Company.</w:t>
      </w:r>
    </w:p>
    <w:p>
      <w:pPr>
        <w:spacing w:after="0" w:line="180" w:lineRule="exact"/>
        <w:rPr>
          <w:sz w:val="20"/>
          <w:szCs w:val="20"/>
          <w:color w:val="auto"/>
        </w:rPr>
      </w:pPr>
    </w:p>
    <w:p>
      <w:pPr>
        <w:ind w:firstLine="396"/>
        <w:spacing w:after="0" w:line="245" w:lineRule="auto"/>
        <w:rPr>
          <w:sz w:val="20"/>
          <w:szCs w:val="20"/>
          <w:color w:val="auto"/>
        </w:rPr>
      </w:pPr>
      <w:r>
        <w:rPr>
          <w:rFonts w:ascii="Times New Roman" w:cs="Times New Roman" w:eastAsia="Times New Roman" w:hAnsi="Times New Roman"/>
          <w:sz w:val="20"/>
          <w:szCs w:val="20"/>
          <w:color w:val="auto"/>
        </w:rPr>
        <w:t>I have consulted my attorney or my accountant with respect to my purchase of the Shares. My representatives and I have fully investigated the Company and its business and financial conditions and have knowledge of the Company’s current corporate activities and financial condition. I acknowledge that the Company has granted me and my attorney or accountant access to all information about the Company which I have requested and has offered each of us access to all further information which I deemed relevant to an investment decision with respect to the Shares. My attorney or accountant and I have had the opportunity to ask questions of, and receive answers from, representatives of the Company concerning such information and the Company’s financial condition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25146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5">
                      <a:extLst>
                        <a:ext uri="{28A0092B-C50C-407E-A947-70E740481C1C}"/>
                      </a:extLst>
                    </a:blip>
                    <a:srcRect/>
                    <a:stretch>
                      <a:fillRect/>
                    </a:stretch>
                  </pic:blipFill>
                  <pic:spPr bwMode="auto">
                    <a:xfrm>
                      <a:off x="0" y="0"/>
                      <a:ext cx="251460" cy="889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408305</wp:posOffset>
            </wp:positionV>
            <wp:extent cx="25146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6">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w:t>
            </w:r>
          </w:p>
        </w:tc>
        <w:tc>
          <w:tcPr>
            <w:tcW w:w="2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(Street Address)</w:t>
            </w:r>
          </w:p>
        </w:tc>
        <w:tc>
          <w:tcPr>
            <w:tcW w:w="0" w:type="dxa"/>
            <w:vAlign w:val="bottom"/>
          </w:tcPr>
          <w:p>
            <w:pPr>
              <w:spacing w:after="0"/>
              <w:rPr>
                <w:sz w:val="1"/>
                <w:szCs w:val="1"/>
                <w:color w:val="auto"/>
              </w:rPr>
            </w:pPr>
          </w:p>
        </w:tc>
      </w:tr>
      <w:tr>
        <w:trPr>
          <w:trHeight w:val="615"/>
        </w:trPr>
        <w:tc>
          <w:tcPr>
            <w:tcW w:w="4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w w:val="97"/>
              </w:rPr>
              <w:t>(City, State, Zip Code)</w:t>
            </w:r>
          </w:p>
        </w:tc>
        <w:tc>
          <w:tcPr>
            <w:tcW w:w="0" w:type="dxa"/>
            <w:vAlign w:val="bottom"/>
          </w:tcPr>
          <w:p>
            <w:pPr>
              <w:spacing w:after="0"/>
              <w:rPr>
                <w:sz w:val="1"/>
                <w:szCs w:val="1"/>
                <w:color w:val="auto"/>
              </w:rPr>
            </w:pPr>
          </w:p>
        </w:tc>
      </w:tr>
      <w:tr>
        <w:trPr>
          <w:trHeight w:val="256"/>
        </w:trPr>
        <w:tc>
          <w:tcPr>
            <w:tcW w:w="1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 Name)</w:t>
            </w:r>
          </w:p>
        </w:tc>
        <w:tc>
          <w:tcPr>
            <w:tcW w:w="2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4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(E-mail Address)</w:t>
            </w:r>
          </w:p>
        </w:tc>
        <w:tc>
          <w:tcPr>
            <w:tcW w:w="0" w:type="dxa"/>
            <w:vAlign w:val="bottom"/>
          </w:tcPr>
          <w:p>
            <w:pPr>
              <w:spacing w:after="0"/>
              <w:rPr>
                <w:sz w:val="1"/>
                <w:szCs w:val="1"/>
                <w:color w:val="auto"/>
              </w:rPr>
            </w:pPr>
          </w:p>
        </w:tc>
      </w:tr>
      <w:tr>
        <w:trPr>
          <w:trHeight w:val="256"/>
        </w:trPr>
        <w:tc>
          <w:tcPr>
            <w:tcW w:w="1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w:t>
            </w:r>
          </w:p>
        </w:tc>
        <w:tc>
          <w:tcPr>
            <w:tcW w:w="2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71" w:name="page172"/>
    <w:bookmarkEnd w:id="171"/>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INCENTIVE STOCK OPTION</w:t>
      </w:r>
    </w:p>
    <w:p>
      <w:pPr>
        <w:spacing w:after="0" w:line="1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Granted by</w:t>
      </w:r>
    </w:p>
    <w:p>
      <w:pPr>
        <w:spacing w:after="0" w:line="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Seer,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Under the 2017 Stock Incentive Plan</w:t>
      </w:r>
    </w:p>
    <w:p>
      <w:pPr>
        <w:spacing w:after="0" w:line="200" w:lineRule="exact"/>
        <w:rPr>
          <w:sz w:val="20"/>
          <w:szCs w:val="20"/>
          <w:color w:val="auto"/>
        </w:rPr>
      </w:pPr>
    </w:p>
    <w:p>
      <w:pPr>
        <w:spacing w:after="0" w:line="249"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This Option is and shall be subject in every respect to the provisions of the Company’s 2017 Stock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hereof. The holder of this Option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 Capitalized terms used but not otherwise defined in this Option shall have the respective meanings ascribed to such terms in the Plan.</w:t>
      </w:r>
    </w:p>
    <w:p>
      <w:pPr>
        <w:spacing w:after="0" w:line="179" w:lineRule="exact"/>
        <w:rPr>
          <w:sz w:val="20"/>
          <w:szCs w:val="20"/>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Name of Holder:</w:t>
      </w:r>
    </w:p>
    <w:p>
      <w:pPr>
        <w:spacing w:after="0" w:line="20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Date of Grant:</w:t>
      </w:r>
    </w:p>
    <w:p>
      <w:pPr>
        <w:spacing w:after="0" w:line="20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Start Date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right="7260" w:hanging="752"/>
        <w:spacing w:after="0" w:line="286" w:lineRule="auto"/>
        <w:tabs>
          <w:tab w:leader="none" w:pos="7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Maximum number of shares for which this Option is exercisable:</w:t>
      </w:r>
    </w:p>
    <w:p>
      <w:pPr>
        <w:spacing w:after="0" w:line="126"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Exercise (purchase) price per share: </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hanging="752"/>
        <w:spacing w:after="0" w:line="246"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Method of Exercise: </w:t>
      </w:r>
      <w:r>
        <w:rPr>
          <w:rFonts w:ascii="Times New Roman" w:cs="Times New Roman" w:eastAsia="Times New Roman" w:hAnsi="Times New Roman"/>
          <w:sz w:val="22"/>
          <w:szCs w:val="22"/>
          <w:color w:val="auto"/>
        </w:rPr>
        <w:t>This Option may be exercised by the delivery of written notice to the Company setting forth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with respect to which the Option is to be exercised, together with payment by one of the following methods:</w:t>
      </w:r>
    </w:p>
    <w:p>
      <w:pPr>
        <w:spacing w:after="0" w:line="171" w:lineRule="exact"/>
        <w:rPr>
          <w:sz w:val="20"/>
          <w:szCs w:val="20"/>
          <w:color w:val="auto"/>
        </w:rPr>
      </w:pPr>
    </w:p>
    <w:p>
      <w:pPr>
        <w:ind w:left="1500" w:right="680"/>
        <w:spacing w:after="0" w:line="258" w:lineRule="auto"/>
        <w:rPr>
          <w:sz w:val="20"/>
          <w:szCs w:val="20"/>
          <w:color w:val="auto"/>
        </w:rPr>
      </w:pPr>
      <w:r>
        <w:rPr>
          <w:rFonts w:ascii="Times New Roman" w:cs="Times New Roman" w:eastAsia="Times New Roman" w:hAnsi="Times New Roman"/>
          <w:sz w:val="22"/>
          <w:szCs w:val="22"/>
          <w:color w:val="auto"/>
        </w:rPr>
        <w:t>cash or a personal, certified or bank check or postal money order payable to the order of the Company for an amount equal to the exercise price of the shares being purchased; 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the consent of the Company, any of the other methods set forth in the Plan.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an additional condition to exercise of this Option:</w:t>
      </w:r>
    </w:p>
    <w:p>
      <w:pPr>
        <w:spacing w:after="0" w:line="233" w:lineRule="exact"/>
        <w:rPr>
          <w:sz w:val="20"/>
          <w:szCs w:val="20"/>
          <w:color w:val="auto"/>
        </w:rPr>
      </w:pPr>
    </w:p>
    <w:p>
      <w:pPr>
        <w:jc w:val="center"/>
        <w:ind w:left="1500" w:right="320" w:hanging="556"/>
        <w:spacing w:after="0" w:line="282" w:lineRule="auto"/>
        <w:tabs>
          <w:tab w:leader="none" w:pos="137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the Holder is purchasing any unvested shares, the terms and conditions of such purchase shall be as set forth in a restricted stock purchase agreement signed by the Holder and the Company; and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04" w:right="579" w:bottom="1440" w:gutter="0" w:footer="0" w:header="0"/>
        </w:sectPr>
      </w:pPr>
    </w:p>
    <w:bookmarkStart w:id="172" w:name="page173"/>
    <w:bookmarkEnd w:id="172"/>
    <w:p>
      <w:pPr>
        <w:ind w:left="1500" w:right="140" w:hanging="690"/>
        <w:spacing w:after="0" w:line="238" w:lineRule="auto"/>
        <w:tabs>
          <w:tab w:leader="none" w:pos="1237"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the Holder is purchasing any vested shares, the Holder shall deliver to the Company an investment letter in form and substance satisfactory to the Company and its counsel. No such investment letter shall be required as a condition to such exercise at any time when there shall be an effective registration statement under the Securities Act of 1933, as amended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covering the vested shares for which this Option may be exercised.</w:t>
      </w:r>
    </w:p>
    <w:p>
      <w:pPr>
        <w:spacing w:after="0" w:line="172"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Expiration Date of Option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760" w:right="116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 for ISO, cannot be longer than 10 years from date of grant, or 5 years in case of a Greater Than 10% Shareholder]</w:t>
      </w:r>
    </w:p>
    <w:p>
      <w:pPr>
        <w:spacing w:after="0" w:line="154"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Schedule:</w:t>
      </w:r>
    </w:p>
    <w:p>
      <w:pPr>
        <w:spacing w:after="0" w:line="210" w:lineRule="exact"/>
        <w:rPr>
          <w:sz w:val="20"/>
          <w:szCs w:val="20"/>
          <w:color w:val="auto"/>
        </w:rPr>
      </w:pPr>
    </w:p>
    <w:p>
      <w:pPr>
        <w:ind w:left="760" w:right="80" w:firstLine="749"/>
        <w:spacing w:after="0" w:line="245" w:lineRule="auto"/>
        <w:rPr>
          <w:sz w:val="20"/>
          <w:szCs w:val="20"/>
          <w:color w:val="auto"/>
        </w:rPr>
      </w:pPr>
      <w:r>
        <w:rPr>
          <w:rFonts w:ascii="Times New Roman" w:cs="Times New Roman" w:eastAsia="Times New Roman" w:hAnsi="Times New Roman"/>
          <w:sz w:val="21"/>
          <w:szCs w:val="21"/>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restricted stock purchase agreement containing a “reverse vesting” schedule effectively equivalent to the Vesting Schedule set forth herein, pursuant to which the Holder agrees to sell back any unvested shares at the exercise price paid for such shares should he or she cease to perform services for the Company prior to full vesting. The Holder understands that he or she may make an election under Section 83(b) of the Code (an “</w:t>
      </w:r>
      <w:r>
        <w:rPr>
          <w:rFonts w:ascii="Times New Roman" w:cs="Times New Roman" w:eastAsia="Times New Roman" w:hAnsi="Times New Roman"/>
          <w:sz w:val="21"/>
          <w:szCs w:val="21"/>
          <w:u w:val="single" w:color="auto"/>
          <w:color w:val="auto"/>
        </w:rPr>
        <w:t>83(b) Election</w:t>
      </w:r>
      <w:r>
        <w:rPr>
          <w:rFonts w:ascii="Times New Roman" w:cs="Times New Roman" w:eastAsia="Times New Roman" w:hAnsi="Times New Roman"/>
          <w:sz w:val="21"/>
          <w:szCs w:val="21"/>
          <w:color w:val="auto"/>
        </w:rPr>
        <w:t xml:space="preserve">”) with respect to the unvested shares to be issued, and that if he or she chooses to make such election, it must be made </w:t>
      </w:r>
      <w:r>
        <w:rPr>
          <w:rFonts w:ascii="Times New Roman" w:cs="Times New Roman" w:eastAsia="Times New Roman" w:hAnsi="Times New Roman"/>
          <w:sz w:val="21"/>
          <w:szCs w:val="21"/>
          <w:u w:val="single" w:color="auto"/>
          <w:color w:val="auto"/>
        </w:rPr>
        <w:t>within 30 days</w:t>
      </w:r>
      <w:r>
        <w:rPr>
          <w:rFonts w:ascii="Times New Roman" w:cs="Times New Roman" w:eastAsia="Times New Roman" w:hAnsi="Times New Roman"/>
          <w:sz w:val="21"/>
          <w:szCs w:val="21"/>
          <w:color w:val="auto"/>
        </w:rPr>
        <w:t xml:space="preserve"> of the date of execution of such restricted stock agreement, and such filing will be solely the Holder’s responsibility. </w:t>
      </w:r>
      <w:r>
        <w:rPr>
          <w:rFonts w:ascii="Times New Roman" w:cs="Times New Roman" w:eastAsia="Times New Roman" w:hAnsi="Times New Roman"/>
          <w:sz w:val="21"/>
          <w:szCs w:val="21"/>
          <w:b w:val="1"/>
          <w:bCs w:val="1"/>
          <w:i w:val="1"/>
          <w:iCs w:val="1"/>
          <w:color w:val="auto"/>
        </w:rPr>
        <w:t>If this option is an incentive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stock option at the time of exercise, however, an 83(b) Election will be effective only with respect to the “alternative minimum tax” and </w:t>
      </w:r>
      <w:r>
        <w:rPr>
          <w:rFonts w:ascii="Times New Roman" w:cs="Times New Roman" w:eastAsia="Times New Roman" w:hAnsi="Times New Roman"/>
          <w:sz w:val="21"/>
          <w:szCs w:val="21"/>
          <w:b w:val="1"/>
          <w:bCs w:val="1"/>
          <w:i w:val="1"/>
          <w:iCs w:val="1"/>
          <w:u w:val="single" w:color="auto"/>
          <w:color w:val="auto"/>
        </w:rPr>
        <w:t>not</w:t>
      </w:r>
      <w:r>
        <w:rPr>
          <w:rFonts w:ascii="Times New Roman" w:cs="Times New Roman" w:eastAsia="Times New Roman" w:hAnsi="Times New Roman"/>
          <w:sz w:val="21"/>
          <w:szCs w:val="21"/>
          <w:b w:val="1"/>
          <w:bCs w:val="1"/>
          <w:i w:val="1"/>
          <w:iCs w:val="1"/>
          <w:color w:val="auto"/>
        </w:rPr>
        <w:t xml:space="preserve"> with respect to income tax. </w:t>
      </w:r>
      <w:r>
        <w:rPr>
          <w:rFonts w:ascii="Times New Roman" w:cs="Times New Roman" w:eastAsia="Times New Roman" w:hAnsi="Times New Roman"/>
          <w:sz w:val="21"/>
          <w:szCs w:val="21"/>
          <w:color w:val="auto"/>
        </w:rPr>
        <w:t>The Holder is advised to consult a personal tax adviser with respect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to the tax consequences of early exercise of an ISO, including filing or not filing an 83(b) Election.</w:t>
      </w:r>
    </w:p>
    <w:p>
      <w:pPr>
        <w:spacing w:after="0" w:line="170" w:lineRule="exact"/>
        <w:rPr>
          <w:sz w:val="20"/>
          <w:szCs w:val="20"/>
          <w:color w:val="auto"/>
        </w:rPr>
      </w:pPr>
    </w:p>
    <w:p>
      <w:pPr>
        <w:ind w:left="760" w:hanging="752"/>
        <w:spacing w:after="0"/>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Employment</w:t>
      </w:r>
      <w:r>
        <w:rPr>
          <w:rFonts w:ascii="Times New Roman" w:cs="Times New Roman" w:eastAsia="Times New Roman" w:hAnsi="Times New Roman"/>
          <w:sz w:val="22"/>
          <w:szCs w:val="22"/>
          <w:color w:val="auto"/>
        </w:rPr>
        <w:t>. This Option shall terminate on the earliest to occur of:</w:t>
      </w:r>
    </w:p>
    <w:p>
      <w:pPr>
        <w:spacing w:after="0" w:line="210"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expiration hereof;</w:t>
      </w:r>
    </w:p>
    <w:p>
      <w:pPr>
        <w:spacing w:after="0" w:line="206" w:lineRule="exact"/>
        <w:rPr>
          <w:rFonts w:ascii="Times New Roman" w:cs="Times New Roman" w:eastAsia="Times New Roman" w:hAnsi="Times New Roman"/>
          <w:sz w:val="22"/>
          <w:szCs w:val="22"/>
          <w:color w:val="auto"/>
        </w:rPr>
      </w:pPr>
    </w:p>
    <w:p>
      <w:pPr>
        <w:ind w:left="3000" w:hanging="746"/>
        <w:spacing w:after="0" w:line="258" w:lineRule="auto"/>
        <w:tabs>
          <w:tab w:leader="none" w:pos="268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termination of the Holder’s employment with the Company by the Company for Cause (as defined in the Plan);</w:t>
      </w:r>
    </w:p>
    <w:p>
      <w:pPr>
        <w:spacing w:after="0" w:line="158" w:lineRule="exact"/>
        <w:rPr>
          <w:rFonts w:ascii="Times New Roman" w:cs="Times New Roman" w:eastAsia="Times New Roman" w:hAnsi="Times New Roman"/>
          <w:sz w:val="22"/>
          <w:szCs w:val="22"/>
          <w:color w:val="auto"/>
        </w:rPr>
      </w:pPr>
    </w:p>
    <w:p>
      <w:pPr>
        <w:ind w:left="3000" w:right="100" w:hanging="746"/>
        <w:spacing w:after="0" w:line="258" w:lineRule="auto"/>
        <w:tabs>
          <w:tab w:leader="none" w:pos="268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days after the date of voluntary termination of employment by the Holder (other than for death or permanent and total disability as defined in the Plan);</w:t>
      </w:r>
    </w:p>
    <w:p>
      <w:pPr>
        <w:spacing w:after="0" w:line="158" w:lineRule="exact"/>
        <w:rPr>
          <w:rFonts w:ascii="Times New Roman" w:cs="Times New Roman" w:eastAsia="Times New Roman" w:hAnsi="Times New Roman"/>
          <w:sz w:val="22"/>
          <w:szCs w:val="22"/>
          <w:color w:val="auto"/>
        </w:rPr>
      </w:pPr>
    </w:p>
    <w:p>
      <w:pPr>
        <w:ind w:left="3000" w:right="260" w:hanging="746"/>
        <w:spacing w:after="0" w:line="244" w:lineRule="auto"/>
        <w:tabs>
          <w:tab w:leader="none" w:pos="268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days after the date of termination of the Holder’s employment with the Company by the Company without Cause (other than for death or permanent and total disability as defined in the Plan); or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ind w:left="3000" w:hanging="746"/>
        <w:spacing w:after="0" w:line="258" w:lineRule="auto"/>
        <w:tabs>
          <w:tab w:leader="none" w:pos="2683"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180 days after the “permanent and total disability”(as defined at Section 10 of the Plan) or death of the Holder.</w:t>
      </w:r>
    </w:p>
    <w:p>
      <w:pPr>
        <w:spacing w:after="0" w:line="154" w:lineRule="exact"/>
        <w:rPr>
          <w:rFonts w:ascii="Times New Roman" w:cs="Times New Roman" w:eastAsia="Times New Roman" w:hAnsi="Times New Roman"/>
          <w:sz w:val="22"/>
          <w:szCs w:val="22"/>
          <w:color w:val="auto"/>
        </w:rPr>
      </w:pPr>
    </w:p>
    <w:p>
      <w:pPr>
        <w:ind w:left="760" w:right="240" w:hanging="752"/>
        <w:spacing w:after="0" w:line="246"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Right of First Refusal</w:t>
      </w:r>
      <w:r>
        <w:rPr>
          <w:rFonts w:ascii="Times New Roman" w:cs="Times New Roman" w:eastAsia="Times New Roman" w:hAnsi="Times New Roman"/>
          <w:sz w:val="22"/>
          <w:szCs w:val="22"/>
          <w:color w:val="auto"/>
        </w:rPr>
        <w:t>. Prior to the effective date of a registration statement under the Act,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issued pursuant to exercise of this Option shall be subject to the Company’s right of first refusal as set forth at Appendix A.</w:t>
      </w:r>
    </w:p>
    <w:p>
      <w:pPr>
        <w:spacing w:after="0" w:line="167" w:lineRule="exact"/>
        <w:rPr>
          <w:rFonts w:ascii="Times New Roman" w:cs="Times New Roman" w:eastAsia="Times New Roman" w:hAnsi="Times New Roman"/>
          <w:sz w:val="22"/>
          <w:szCs w:val="22"/>
          <w:color w:val="auto"/>
        </w:rPr>
      </w:pPr>
    </w:p>
    <w:p>
      <w:pPr>
        <w:ind w:left="760" w:right="140" w:hanging="752"/>
        <w:spacing w:after="0" w:line="237"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Lock-Up Agreement</w:t>
      </w:r>
      <w:r>
        <w:rPr>
          <w:rFonts w:ascii="Times New Roman" w:cs="Times New Roman" w:eastAsia="Times New Roman" w:hAnsi="Times New Roman"/>
          <w:sz w:val="22"/>
          <w:szCs w:val="22"/>
          <w:color w:val="auto"/>
        </w:rPr>
        <w:t>. The Holder agrees that upon the request of the Company or the managing underwriter(s)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offering of securities of the Company that is the subject of a registration statement filed under the Act, for a period of time (not to exceed 180 days) from the effective date of the registration statement under the Act for such offering, the Holder will not sell, make any short sale of, loan, grant any option for the purchase of, or otherwise dispose of any shares of Class A Common Stock issued pursuant to the exercise of this Option, without the prior written consent of the Company and such underwriters.</w:t>
      </w:r>
    </w:p>
    <w:p>
      <w:pPr>
        <w:spacing w:after="0" w:line="175" w:lineRule="exact"/>
        <w:rPr>
          <w:rFonts w:ascii="Times New Roman" w:cs="Times New Roman" w:eastAsia="Times New Roman" w:hAnsi="Times New Roman"/>
          <w:sz w:val="22"/>
          <w:szCs w:val="22"/>
          <w:color w:val="auto"/>
        </w:rPr>
      </w:pPr>
    </w:p>
    <w:p>
      <w:pPr>
        <w:ind w:left="760" w:right="40" w:hanging="752"/>
        <w:spacing w:after="0" w:line="245" w:lineRule="auto"/>
        <w:tabs>
          <w:tab w:leader="none" w:pos="7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Incentive Stock Option; Disqualifying Disposition</w:t>
      </w:r>
      <w:r>
        <w:rPr>
          <w:rFonts w:ascii="Times New Roman" w:cs="Times New Roman" w:eastAsia="Times New Roman" w:hAnsi="Times New Roman"/>
          <w:sz w:val="21"/>
          <w:szCs w:val="21"/>
          <w:color w:val="auto"/>
        </w:rPr>
        <w:t>. Although this Option is intended to qualify as an incentive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under the Internal Revenue Code of 1986 (the “Code”), the Company makes no representation as to the tax treatment upon exercise of this Option or sale or other disposition of the shares covered by this Option, and the Holder is advised to consult a personal tax advisor. Upon a Disqualifying Disposition of shares received upon exercise of this Option, the Holder will forfeit the favorable income tax treatment otherwise available with respect to the exercise of this Option. A “Disqualifying Disposition” shall have the meaning specified in Section 421(b) of the Code; as of the date of grant of this Option a Disqualifying Disposition is any disposition (including any sale) of such shares before the later of</w:t>
      </w:r>
    </w:p>
    <w:p>
      <w:pPr>
        <w:spacing w:after="0" w:line="3" w:lineRule="exact"/>
        <w:rPr>
          <w:rFonts w:ascii="Times New Roman" w:cs="Times New Roman" w:eastAsia="Times New Roman" w:hAnsi="Times New Roman"/>
          <w:sz w:val="21"/>
          <w:szCs w:val="21"/>
          <w:color w:val="auto"/>
        </w:rPr>
      </w:pPr>
    </w:p>
    <w:p>
      <w:pPr>
        <w:ind w:left="760" w:right="20" w:hanging="3"/>
        <w:spacing w:after="0" w:line="245" w:lineRule="auto"/>
        <w:tabs>
          <w:tab w:leader="none" w:pos="1054"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second anniversary of the date of grant of this Option and (b) the first anniversary of the date on which the Holder acquired such shares by exercising this Option, provided that such holding period requirements terminate upon the death of the Holder. The Holder shall notify the Company in writing immediately upon making a Disqualifying Disposition of any shares of Class A Common Stock received pursuant to the exercise of this Option, and shall provide the Company with any information that the Company shall request concerning any such Disqualifying Disposition.</w:t>
      </w:r>
    </w:p>
    <w:p>
      <w:pPr>
        <w:spacing w:after="0" w:line="170" w:lineRule="exact"/>
        <w:rPr>
          <w:rFonts w:ascii="Times New Roman" w:cs="Times New Roman" w:eastAsia="Times New Roman" w:hAnsi="Times New Roman"/>
          <w:sz w:val="21"/>
          <w:szCs w:val="21"/>
          <w:color w:val="auto"/>
        </w:rPr>
      </w:pPr>
    </w:p>
    <w:p>
      <w:pPr>
        <w:ind w:left="760" w:right="60" w:hanging="752"/>
        <w:spacing w:after="0" w:line="246"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Any notice to be given to the Company hereunder shall be deemed sufficient if addressed to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to the office of the Company, Seer, Inc., 3800 Bridge Parkway, Suite 102, Redwood City, CA 94065, attention of the President, or such other address as the Company may hereafter designate.</w:t>
      </w:r>
    </w:p>
    <w:p>
      <w:pPr>
        <w:spacing w:after="0" w:line="171" w:lineRule="exact"/>
        <w:rPr>
          <w:rFonts w:ascii="Times New Roman" w:cs="Times New Roman" w:eastAsia="Times New Roman" w:hAnsi="Times New Roman"/>
          <w:sz w:val="22"/>
          <w:szCs w:val="22"/>
          <w:color w:val="auto"/>
        </w:rPr>
      </w:pPr>
    </w:p>
    <w:p>
      <w:pPr>
        <w:jc w:val="both"/>
        <w:ind w:left="760" w:right="1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ind w:left="760"/>
        <w:spacing w:after="0"/>
        <w:rPr>
          <w:sz w:val="20"/>
          <w:szCs w:val="20"/>
          <w:color w:val="auto"/>
        </w:rPr>
      </w:pPr>
      <w:r>
        <w:rPr>
          <w:rFonts w:ascii="Times New Roman" w:cs="Times New Roman" w:eastAsia="Times New Roman" w:hAnsi="Times New Roman"/>
          <w:sz w:val="21"/>
          <w:szCs w:val="21"/>
          <w:color w:val="auto"/>
        </w:rPr>
        <w:t>IN WITNESS WHEREOF, the parties have executed this Option, or caused this Option to be executed, as of the Date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w:t>
      </w:r>
    </w:p>
    <w:p>
      <w:pPr>
        <w:spacing w:after="0" w:line="17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___________________________</w:t>
      </w:r>
    </w:p>
    <w:p>
      <w:pPr>
        <w:spacing w:after="0" w:line="200" w:lineRule="exact"/>
        <w:rPr>
          <w:sz w:val="20"/>
          <w:szCs w:val="20"/>
          <w:color w:val="auto"/>
        </w:rPr>
      </w:pPr>
    </w:p>
    <w:p>
      <w:pPr>
        <w:spacing w:after="0" w:line="2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undersigned Holder hereby acknowledges receipt of a copy of the Plan and this Option (including Appendix A hereto), and agrees to the terms of this Option and the Plan.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75" w:name="page176"/>
    <w:bookmarkEnd w:id="175"/>
    <w:p>
      <w:pPr>
        <w:ind w:left="6920"/>
        <w:spacing w:after="0"/>
        <w:rPr>
          <w:sz w:val="20"/>
          <w:szCs w:val="20"/>
          <w:color w:val="auto"/>
        </w:rPr>
      </w:pPr>
      <w:r>
        <w:rPr>
          <w:rFonts w:ascii="Times New Roman" w:cs="Times New Roman" w:eastAsia="Times New Roman" w:hAnsi="Times New Roman"/>
          <w:sz w:val="22"/>
          <w:szCs w:val="22"/>
          <w:color w:val="auto"/>
        </w:rPr>
        <w:t>APPENDIX 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Right of First Refusal</w:t>
      </w:r>
    </w:p>
    <w:p>
      <w:pPr>
        <w:spacing w:after="0" w:line="200" w:lineRule="exact"/>
        <w:rPr>
          <w:sz w:val="20"/>
          <w:szCs w:val="20"/>
          <w:color w:val="auto"/>
        </w:rPr>
      </w:pPr>
    </w:p>
    <w:p>
      <w:pPr>
        <w:spacing w:after="0" w:line="222" w:lineRule="exact"/>
        <w:rPr>
          <w:sz w:val="20"/>
          <w:szCs w:val="20"/>
          <w:color w:val="auto"/>
        </w:rPr>
      </w:pPr>
    </w:p>
    <w:p>
      <w:pPr>
        <w:ind w:right="20" w:firstLine="1189"/>
        <w:spacing w:after="0" w:line="236" w:lineRule="auto"/>
        <w:tabs>
          <w:tab w:leader="none" w:pos="1613"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Prior to the effective date of a registration statement under the Securities Act of 1933, as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covering any shares of the Company’s Class A Common Stock and until such time as the Company shall have effected a public offering of its Class A Common Stock registered under the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75" w:lineRule="exact"/>
        <w:rPr>
          <w:rFonts w:ascii="Times New Roman" w:cs="Times New Roman" w:eastAsia="Times New Roman" w:hAnsi="Times New Roman"/>
          <w:sz w:val="22"/>
          <w:szCs w:val="22"/>
          <w:b w:val="1"/>
          <w:bCs w:val="1"/>
          <w:color w:val="auto"/>
        </w:rPr>
      </w:pPr>
    </w:p>
    <w:p>
      <w:pPr>
        <w:jc w:val="both"/>
        <w:ind w:right="40" w:firstLine="1189"/>
        <w:spacing w:after="0" w:line="241" w:lineRule="auto"/>
        <w:tabs>
          <w:tab w:leader="none" w:pos="1613"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 of Intended Transfer. </w:t>
      </w:r>
      <w:r>
        <w:rPr>
          <w:rFonts w:ascii="Times New Roman" w:cs="Times New Roman" w:eastAsia="Times New Roman" w:hAnsi="Times New Roman"/>
          <w:sz w:val="22"/>
          <w:szCs w:val="22"/>
          <w:color w:val="auto"/>
        </w:rPr>
        <w:t>The notice shall state the number of shares offered, the name of the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persons to whom it is 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71" w:lineRule="exact"/>
        <w:rPr>
          <w:rFonts w:ascii="Times New Roman" w:cs="Times New Roman" w:eastAsia="Times New Roman" w:hAnsi="Times New Roman"/>
          <w:sz w:val="22"/>
          <w:szCs w:val="22"/>
          <w:b w:val="1"/>
          <w:bCs w:val="1"/>
          <w:color w:val="auto"/>
        </w:rPr>
      </w:pPr>
    </w:p>
    <w:p>
      <w:pPr>
        <w:ind w:firstLine="1189"/>
        <w:spacing w:after="0" w:line="235" w:lineRule="auto"/>
        <w:tabs>
          <w:tab w:leader="none" w:pos="1613"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 to Accept or Decline Within 30 Days. </w:t>
      </w:r>
      <w:r>
        <w:rPr>
          <w:rFonts w:ascii="Times New Roman" w:cs="Times New Roman" w:eastAsia="Times New Roman" w:hAnsi="Times New Roman"/>
          <w:sz w:val="22"/>
          <w:szCs w:val="22"/>
          <w:color w:val="auto"/>
        </w:rPr>
        <w:t>The Company may accept the offer as to all, but not 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all, such shares by notifying the Holder in writing within 30 days after receipt of such notice of its acceptance of the offer. If the offer is accepted, the Company shall have 60 days after such acceptance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73" w:lineRule="exact"/>
        <w:rPr>
          <w:rFonts w:ascii="Times New Roman" w:cs="Times New Roman" w:eastAsia="Times New Roman" w:hAnsi="Times New Roman"/>
          <w:sz w:val="22"/>
          <w:szCs w:val="22"/>
          <w:b w:val="1"/>
          <w:bCs w:val="1"/>
          <w:color w:val="auto"/>
        </w:rPr>
      </w:pPr>
    </w:p>
    <w:p>
      <w:pPr>
        <w:ind w:right="120" w:firstLine="1189"/>
        <w:spacing w:after="0" w:line="241" w:lineRule="auto"/>
        <w:tabs>
          <w:tab w:leader="none" w:pos="1613"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Transferred Shares to Remain Subject to Right of First Refusal. </w:t>
      </w:r>
      <w:r>
        <w:rPr>
          <w:rFonts w:ascii="Times New Roman" w:cs="Times New Roman" w:eastAsia="Times New Roman" w:hAnsi="Times New Roman"/>
          <w:sz w:val="22"/>
          <w:szCs w:val="22"/>
          <w:color w:val="auto"/>
        </w:rPr>
        <w:t>Shares that are so transferred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transferee shall remain 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176" w:name="page177"/>
    <w:bookmarkEnd w:id="176"/>
    <w:p>
      <w:pPr>
        <w:ind w:left="-1120" w:right="80" w:firstLine="1189"/>
        <w:spacing w:after="0" w:line="247" w:lineRule="auto"/>
        <w:tabs>
          <w:tab w:leader="none" w:pos="493"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Remedies of Company. </w:t>
      </w:r>
      <w:r>
        <w:rPr>
          <w:rFonts w:ascii="Times New Roman" w:cs="Times New Roman" w:eastAsia="Times New Roman" w:hAnsi="Times New Roman"/>
          <w:sz w:val="21"/>
          <w:szCs w:val="21"/>
          <w:color w:val="auto"/>
        </w:rPr>
        <w:t>No sale, assignment, pledge or other transfer of any of the shares covered by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shall be effective 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 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 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66" w:lineRule="exact"/>
        <w:rPr>
          <w:rFonts w:ascii="Times New Roman" w:cs="Times New Roman" w:eastAsia="Times New Roman" w:hAnsi="Times New Roman"/>
          <w:sz w:val="21"/>
          <w:szCs w:val="21"/>
          <w:b w:val="1"/>
          <w:bCs w:val="1"/>
          <w:color w:val="auto"/>
        </w:rPr>
      </w:pPr>
    </w:p>
    <w:p>
      <w:pPr>
        <w:ind w:left="-1120" w:right="200" w:firstLine="1189"/>
        <w:spacing w:after="0" w:line="252" w:lineRule="auto"/>
        <w:tabs>
          <w:tab w:leader="none" w:pos="493"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Shares Subject to Right of First Refusal. </w:t>
      </w:r>
      <w:r>
        <w:rPr>
          <w:rFonts w:ascii="Times New Roman" w:cs="Times New Roman" w:eastAsia="Times New Roman" w:hAnsi="Times New Roman"/>
          <w:sz w:val="21"/>
          <w:szCs w:val="21"/>
          <w:color w:val="auto"/>
        </w:rPr>
        <w:t>For purposes of the Right of First Refusal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Appendix A, the term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shall mean any and all new, substituted or additional securities or other property issued to the Holder, by reason of his or her ownership of Class A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63" w:lineRule="exact"/>
        <w:rPr>
          <w:rFonts w:ascii="Times New Roman" w:cs="Times New Roman" w:eastAsia="Times New Roman" w:hAnsi="Times New Roman"/>
          <w:sz w:val="21"/>
          <w:szCs w:val="21"/>
          <w:b w:val="1"/>
          <w:bCs w:val="1"/>
          <w:color w:val="auto"/>
        </w:rPr>
      </w:pPr>
    </w:p>
    <w:p>
      <w:pPr>
        <w:ind w:left="-1120" w:right="200" w:firstLine="1189"/>
        <w:spacing w:after="0" w:line="262" w:lineRule="auto"/>
        <w:tabs>
          <w:tab w:leader="none" w:pos="493"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Legends on Stock Certificates. </w:t>
      </w:r>
      <w:r>
        <w:rPr>
          <w:rFonts w:ascii="Times New Roman" w:cs="Times New Roman" w:eastAsia="Times New Roman" w:hAnsi="Times New Roman"/>
          <w:sz w:val="22"/>
          <w:szCs w:val="22"/>
          <w:color w:val="auto"/>
        </w:rPr>
        <w:t>Any certificate representing shares of stock subject to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Appendix A may have endorsed thereon one or more legends, substantially as follows:</w:t>
      </w:r>
    </w:p>
    <w:p>
      <w:pPr>
        <w:spacing w:after="0" w:line="153" w:lineRule="exact"/>
        <w:rPr>
          <w:rFonts w:ascii="Times New Roman" w:cs="Times New Roman" w:eastAsia="Times New Roman" w:hAnsi="Times New Roman"/>
          <w:sz w:val="22"/>
          <w:szCs w:val="22"/>
          <w:b w:val="1"/>
          <w:bCs w:val="1"/>
          <w:color w:val="auto"/>
        </w:rPr>
      </w:pPr>
    </w:p>
    <w:p>
      <w:pPr>
        <w:ind w:left="1140" w:hanging="754"/>
        <w:spacing w:after="0" w:line="239" w:lineRule="auto"/>
        <w:tabs>
          <w:tab w:leader="none" w:pos="82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80" w:lineRule="exact"/>
        <w:rPr>
          <w:rFonts w:ascii="Times New Roman" w:cs="Times New Roman" w:eastAsia="Times New Roman" w:hAnsi="Times New Roman"/>
          <w:sz w:val="22"/>
          <w:szCs w:val="22"/>
          <w:color w:val="auto"/>
        </w:rPr>
      </w:pPr>
    </w:p>
    <w:p>
      <w:pPr>
        <w:jc w:val="both"/>
        <w:ind w:left="1140" w:right="80" w:hanging="754"/>
        <w:spacing w:after="0" w:line="238" w:lineRule="auto"/>
        <w:tabs>
          <w:tab w:leader="none" w:pos="82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represented by this certificate have not been registered under the Securities Act of 1933 or under the securities laws of any state and may not be pledged, hypothecated, sold or otherwise transferred unless such shares have been registered under the Act or unless the Company has received an opinion of counsel satisfactory to the Company, in form and substance satisfactory to the Company, that such registration is not required.”</w:t>
      </w:r>
    </w:p>
    <w:p>
      <w:pPr>
        <w:spacing w:after="0" w:line="172" w:lineRule="exact"/>
        <w:rPr>
          <w:rFonts w:ascii="Times New Roman" w:cs="Times New Roman" w:eastAsia="Times New Roman" w:hAnsi="Times New Roman"/>
          <w:sz w:val="22"/>
          <w:szCs w:val="22"/>
          <w:color w:val="auto"/>
        </w:rPr>
      </w:pPr>
    </w:p>
    <w:p>
      <w:pPr>
        <w:ind w:left="-1120" w:right="100" w:firstLine="1189"/>
        <w:spacing w:after="0" w:line="246" w:lineRule="auto"/>
        <w:tabs>
          <w:tab w:leader="none" w:pos="493"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 of First Refusal to Lapse Upon Registration. </w:t>
      </w:r>
      <w:r>
        <w:rPr>
          <w:rFonts w:ascii="Times New Roman" w:cs="Times New Roman" w:eastAsia="Times New Roman" w:hAnsi="Times New Roman"/>
          <w:sz w:val="22"/>
          <w:szCs w:val="22"/>
          <w:color w:val="auto"/>
        </w:rPr>
        <w:t>The restrictions imposed by this Appendix 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in all respects upon the effective date of a registration statement under the Act covering any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1279525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177" w:name="page178"/>
    <w:bookmarkEnd w:id="177"/>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NON-STATUTORY STOCK OPTION</w:t>
      </w:r>
    </w:p>
    <w:p>
      <w:pPr>
        <w:spacing w:after="0" w:line="1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Granted by</w:t>
      </w:r>
    </w:p>
    <w:p>
      <w:pPr>
        <w:spacing w:after="0" w:line="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Seer,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Under the 2017 Stock Incentive Plan</w:t>
      </w:r>
    </w:p>
    <w:p>
      <w:pPr>
        <w:spacing w:after="0" w:line="200" w:lineRule="exact"/>
        <w:rPr>
          <w:sz w:val="20"/>
          <w:szCs w:val="20"/>
          <w:color w:val="auto"/>
        </w:rPr>
      </w:pPr>
    </w:p>
    <w:p>
      <w:pPr>
        <w:spacing w:after="0" w:line="249"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This Option is and shall be subject in every respect to the provisions of the Company’s 2017 Stock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hereof. The holder of this Option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 Capitalized terms used but not otherwise defined in this Option shall have the respective meanings ascribed to such terms in the Plan.</w:t>
      </w:r>
    </w:p>
    <w:p>
      <w:pPr>
        <w:spacing w:after="0" w:line="179"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Name of Holder:</w:t>
      </w:r>
    </w:p>
    <w:p>
      <w:pPr>
        <w:spacing w:after="0" w:line="20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Date of Grant:</w:t>
      </w:r>
    </w:p>
    <w:p>
      <w:pPr>
        <w:spacing w:after="0" w:line="20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Start Date:</w:t>
      </w:r>
    </w:p>
    <w:p>
      <w:pPr>
        <w:spacing w:after="0" w:line="206" w:lineRule="exact"/>
        <w:rPr>
          <w:rFonts w:ascii="Times New Roman" w:cs="Times New Roman" w:eastAsia="Times New Roman" w:hAnsi="Times New Roman"/>
          <w:sz w:val="22"/>
          <w:szCs w:val="22"/>
          <w:color w:val="auto"/>
        </w:rPr>
      </w:pPr>
    </w:p>
    <w:p>
      <w:pPr>
        <w:ind w:left="760" w:right="7260" w:hanging="752"/>
        <w:spacing w:after="0" w:line="286" w:lineRule="auto"/>
        <w:tabs>
          <w:tab w:leader="none" w:pos="5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Maximum number of shares for which this Option is exercisable:</w:t>
      </w:r>
    </w:p>
    <w:p>
      <w:pPr>
        <w:spacing w:after="0" w:line="126"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Exercise (purchase) price per share: </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hanging="752"/>
        <w:spacing w:after="0" w:line="246"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of Exercise</w:t>
      </w:r>
      <w:r>
        <w:rPr>
          <w:rFonts w:ascii="Times New Roman" w:cs="Times New Roman" w:eastAsia="Times New Roman" w:hAnsi="Times New Roman"/>
          <w:sz w:val="22"/>
          <w:szCs w:val="22"/>
          <w:color w:val="auto"/>
        </w:rPr>
        <w:t>: This Option may be exercised by the delivery of written notice to the Company setting forth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with respect to which the Option is to be exercised, together with payment by one of the following methods:</w:t>
      </w:r>
    </w:p>
    <w:p>
      <w:pPr>
        <w:spacing w:after="0" w:line="171" w:lineRule="exact"/>
        <w:rPr>
          <w:sz w:val="20"/>
          <w:szCs w:val="20"/>
          <w:color w:val="auto"/>
        </w:rPr>
      </w:pPr>
    </w:p>
    <w:p>
      <w:pPr>
        <w:ind w:left="1500" w:right="680"/>
        <w:spacing w:after="0" w:line="258" w:lineRule="auto"/>
        <w:rPr>
          <w:sz w:val="20"/>
          <w:szCs w:val="20"/>
          <w:color w:val="auto"/>
        </w:rPr>
      </w:pPr>
      <w:r>
        <w:rPr>
          <w:rFonts w:ascii="Times New Roman" w:cs="Times New Roman" w:eastAsia="Times New Roman" w:hAnsi="Times New Roman"/>
          <w:sz w:val="22"/>
          <w:szCs w:val="22"/>
          <w:color w:val="auto"/>
        </w:rPr>
        <w:t>cash or a personal, certified or bank check or postal money order payable to the order of the Company for an amount equal to the exercise price of the shares being purchased; 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the consent of the Company, any of the other methods set forth in the Plan.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an additional condition to exercise of this Option:</w:t>
      </w:r>
    </w:p>
    <w:p>
      <w:pPr>
        <w:spacing w:after="0" w:line="233" w:lineRule="exact"/>
        <w:rPr>
          <w:sz w:val="20"/>
          <w:szCs w:val="20"/>
          <w:color w:val="auto"/>
        </w:rPr>
      </w:pPr>
    </w:p>
    <w:p>
      <w:pPr>
        <w:jc w:val="center"/>
        <w:ind w:left="1500" w:right="320" w:hanging="556"/>
        <w:spacing w:after="0" w:line="282" w:lineRule="auto"/>
        <w:tabs>
          <w:tab w:leader="none" w:pos="137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the Holder is purchasing any unvested shares, the terms and conditions of such purchase shall be as set forth in a restricted stock purchase agreement signed by the Holder and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04" w:right="579" w:bottom="1440" w:gutter="0" w:footer="0" w:header="0"/>
        </w:sectPr>
      </w:pPr>
    </w:p>
    <w:bookmarkStart w:id="178" w:name="page179"/>
    <w:bookmarkEnd w:id="178"/>
    <w:p>
      <w:pPr>
        <w:ind w:left="752" w:right="80" w:hanging="752"/>
        <w:spacing w:after="0" w:line="239" w:lineRule="auto"/>
        <w:tabs>
          <w:tab w:leader="none" w:pos="435"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the Holder is purchasing any vested shares, the Holder shall deliver to the Company an investment letter in form and substance satisfactory to the Company and its counsel. No such investment letter shall be required as a condition to such exercise at any time when there shall be an effective registration statement under the Securities Act of 1933, as amended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covering the vested shares for which this Option may be exercised.</w:t>
      </w:r>
    </w:p>
    <w:p>
      <w:pPr>
        <w:spacing w:after="0" w:line="176" w:lineRule="exact"/>
        <w:rPr>
          <w:rFonts w:ascii="Times New Roman" w:cs="Times New Roman" w:eastAsia="Times New Roman" w:hAnsi="Times New Roman"/>
          <w:sz w:val="22"/>
          <w:szCs w:val="22"/>
          <w:color w:val="auto"/>
        </w:rPr>
      </w:pPr>
    </w:p>
    <w:p>
      <w:pPr>
        <w:ind w:left="512" w:hanging="512"/>
        <w:spacing w:after="0"/>
        <w:tabs>
          <w:tab w:leader="none" w:pos="51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Expiration Date of Option:</w:t>
      </w:r>
    </w:p>
    <w:p>
      <w:pPr>
        <w:spacing w:after="0" w:line="206" w:lineRule="exact"/>
        <w:rPr>
          <w:rFonts w:ascii="Times New Roman" w:cs="Times New Roman" w:eastAsia="Times New Roman" w:hAnsi="Times New Roman"/>
          <w:sz w:val="22"/>
          <w:szCs w:val="22"/>
          <w:color w:val="auto"/>
        </w:rPr>
      </w:pPr>
    </w:p>
    <w:p>
      <w:pPr>
        <w:ind w:left="512" w:hanging="512"/>
        <w:spacing w:after="0"/>
        <w:tabs>
          <w:tab w:leader="none" w:pos="51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Schedule:</w:t>
      </w:r>
    </w:p>
    <w:p>
      <w:pPr>
        <w:spacing w:after="0" w:line="210" w:lineRule="exact"/>
        <w:rPr>
          <w:sz w:val="20"/>
          <w:szCs w:val="20"/>
          <w:color w:val="auto"/>
        </w:rPr>
      </w:pPr>
    </w:p>
    <w:p>
      <w:pPr>
        <w:ind w:left="752" w:firstLine="749"/>
        <w:spacing w:after="0" w:line="246" w:lineRule="auto"/>
        <w:rPr>
          <w:sz w:val="20"/>
          <w:szCs w:val="20"/>
          <w:color w:val="auto"/>
        </w:rPr>
      </w:pPr>
      <w:r>
        <w:rPr>
          <w:rFonts w:ascii="Times New Roman" w:cs="Times New Roman" w:eastAsia="Times New Roman" w:hAnsi="Times New Roman"/>
          <w:sz w:val="21"/>
          <w:szCs w:val="21"/>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restricted stock purchase containing a “reverse vesting” schedule effectively equivalent to the Vesting Schedule set forth herein, pursuant to which the Holder agrees to sell back any unvested shares at the exercise price paid for such shares should he or she cease to perform services for the Company prior to full vesting. The Holder understands that he or she may make an election under Section 83(b) of the Code (an “</w:t>
      </w:r>
      <w:r>
        <w:rPr>
          <w:rFonts w:ascii="Times New Roman" w:cs="Times New Roman" w:eastAsia="Times New Roman" w:hAnsi="Times New Roman"/>
          <w:sz w:val="21"/>
          <w:szCs w:val="21"/>
          <w:u w:val="single" w:color="auto"/>
          <w:color w:val="auto"/>
        </w:rPr>
        <w:t>83(b) Election</w:t>
      </w:r>
      <w:r>
        <w:rPr>
          <w:rFonts w:ascii="Times New Roman" w:cs="Times New Roman" w:eastAsia="Times New Roman" w:hAnsi="Times New Roman"/>
          <w:sz w:val="21"/>
          <w:szCs w:val="21"/>
          <w:color w:val="auto"/>
        </w:rPr>
        <w:t xml:space="preserve">”) with respect to the unvested shares to be issued, and that if he or she chooses to make such election, it must be made </w:t>
      </w:r>
      <w:r>
        <w:rPr>
          <w:rFonts w:ascii="Times New Roman" w:cs="Times New Roman" w:eastAsia="Times New Roman" w:hAnsi="Times New Roman"/>
          <w:sz w:val="21"/>
          <w:szCs w:val="21"/>
          <w:u w:val="single" w:color="auto"/>
          <w:color w:val="auto"/>
        </w:rPr>
        <w:t>within 30 days</w:t>
      </w:r>
      <w:r>
        <w:rPr>
          <w:rFonts w:ascii="Times New Roman" w:cs="Times New Roman" w:eastAsia="Times New Roman" w:hAnsi="Times New Roman"/>
          <w:sz w:val="21"/>
          <w:szCs w:val="21"/>
          <w:color w:val="auto"/>
        </w:rPr>
        <w:t xml:space="preserve"> of the date of execution of such restricted stock agreement. The Holder is advised to consult a personal tax adviser with respect to the tax consequences of filing or not filing an 83(b) Election, and understands that such filing is solely the Holder’s responsibility.</w:t>
      </w:r>
    </w:p>
    <w:p>
      <w:pPr>
        <w:spacing w:after="0" w:line="167" w:lineRule="exact"/>
        <w:rPr>
          <w:sz w:val="20"/>
          <w:szCs w:val="20"/>
          <w:color w:val="auto"/>
        </w:rPr>
      </w:pPr>
    </w:p>
    <w:p>
      <w:pPr>
        <w:ind w:left="512" w:hanging="512"/>
        <w:spacing w:after="0"/>
        <w:tabs>
          <w:tab w:leader="none" w:pos="51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of Option. </w:t>
      </w:r>
      <w:r>
        <w:rPr>
          <w:rFonts w:ascii="Times New Roman" w:cs="Times New Roman" w:eastAsia="Times New Roman" w:hAnsi="Times New Roman"/>
          <w:sz w:val="22"/>
          <w:szCs w:val="22"/>
          <w:color w:val="auto"/>
        </w:rPr>
        <w:t>This Option shall terminate on the earliest to occur of:</w:t>
      </w:r>
    </w:p>
    <w:p>
      <w:pPr>
        <w:spacing w:after="0" w:line="210" w:lineRule="exact"/>
        <w:rPr>
          <w:rFonts w:ascii="Times New Roman" w:cs="Times New Roman" w:eastAsia="Times New Roman" w:hAnsi="Times New Roman"/>
          <w:sz w:val="22"/>
          <w:szCs w:val="22"/>
          <w:color w:val="auto"/>
        </w:rPr>
      </w:pPr>
    </w:p>
    <w:p>
      <w:pPr>
        <w:ind w:left="2672" w:hanging="426"/>
        <w:spacing w:after="0"/>
        <w:tabs>
          <w:tab w:leader="none" w:pos="267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expiration hereof;</w:t>
      </w:r>
    </w:p>
    <w:p>
      <w:pPr>
        <w:spacing w:after="0" w:line="206" w:lineRule="exact"/>
        <w:rPr>
          <w:rFonts w:ascii="Times New Roman" w:cs="Times New Roman" w:eastAsia="Times New Roman" w:hAnsi="Times New Roman"/>
          <w:sz w:val="22"/>
          <w:szCs w:val="22"/>
          <w:color w:val="auto"/>
        </w:rPr>
      </w:pPr>
    </w:p>
    <w:p>
      <w:pPr>
        <w:ind w:left="2992" w:right="300" w:hanging="746"/>
        <w:spacing w:after="0" w:line="258" w:lineRule="auto"/>
        <w:tabs>
          <w:tab w:leader="none" w:pos="267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termination of the Holder’s employment with or services to the Company by the Company for Cause (as defined in the Plan);</w:t>
      </w:r>
    </w:p>
    <w:p>
      <w:pPr>
        <w:spacing w:after="0" w:line="158" w:lineRule="exact"/>
        <w:rPr>
          <w:rFonts w:ascii="Times New Roman" w:cs="Times New Roman" w:eastAsia="Times New Roman" w:hAnsi="Times New Roman"/>
          <w:sz w:val="22"/>
          <w:szCs w:val="22"/>
          <w:color w:val="auto"/>
        </w:rPr>
      </w:pPr>
    </w:p>
    <w:p>
      <w:pPr>
        <w:ind w:left="2992" w:right="360" w:hanging="746"/>
        <w:spacing w:after="0" w:line="258" w:lineRule="auto"/>
        <w:tabs>
          <w:tab w:leader="none" w:pos="267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days after the date of voluntary termination of employment or services by the Holder (other than for death or permanent and total disability as defined in the Plan);</w:t>
      </w:r>
    </w:p>
    <w:p>
      <w:pPr>
        <w:spacing w:after="0" w:line="158" w:lineRule="exact"/>
        <w:rPr>
          <w:rFonts w:ascii="Times New Roman" w:cs="Times New Roman" w:eastAsia="Times New Roman" w:hAnsi="Times New Roman"/>
          <w:sz w:val="22"/>
          <w:szCs w:val="22"/>
          <w:color w:val="auto"/>
        </w:rPr>
      </w:pPr>
    </w:p>
    <w:p>
      <w:pPr>
        <w:ind w:left="2992" w:right="60" w:hanging="746"/>
        <w:spacing w:after="0" w:line="244" w:lineRule="auto"/>
        <w:tabs>
          <w:tab w:leader="none" w:pos="267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days after the date of termination of the Holder’s employment with or services to the Company by the Company without Cause (other than for death or permanent and total disability as defined in the Plan); or</w:t>
      </w:r>
    </w:p>
    <w:p>
      <w:pPr>
        <w:spacing w:after="0" w:line="173" w:lineRule="exact"/>
        <w:rPr>
          <w:rFonts w:ascii="Times New Roman" w:cs="Times New Roman" w:eastAsia="Times New Roman" w:hAnsi="Times New Roman"/>
          <w:sz w:val="22"/>
          <w:szCs w:val="22"/>
          <w:color w:val="auto"/>
        </w:rPr>
      </w:pPr>
    </w:p>
    <w:p>
      <w:pPr>
        <w:ind w:left="2992" w:right="160" w:hanging="746"/>
        <w:spacing w:after="0" w:line="258" w:lineRule="auto"/>
        <w:tabs>
          <w:tab w:leader="none" w:pos="267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180 days after the “permanent and total disability” (as defined at Section 10 of the Plan) or death of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996950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08" w:right="359" w:bottom="1440" w:gutter="0" w:footer="0" w:header="0"/>
        </w:sectPr>
      </w:pPr>
    </w:p>
    <w:bookmarkStart w:id="179" w:name="page180"/>
    <w:bookmarkEnd w:id="179"/>
    <w:p>
      <w:pPr>
        <w:ind w:left="752" w:right="180" w:hanging="752"/>
        <w:spacing w:after="0" w:line="246" w:lineRule="auto"/>
        <w:tabs>
          <w:tab w:leader="none" w:pos="75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Company’s Right of First Refusal. </w:t>
      </w:r>
      <w:r>
        <w:rPr>
          <w:rFonts w:ascii="Times New Roman" w:cs="Times New Roman" w:eastAsia="Times New Roman" w:hAnsi="Times New Roman"/>
          <w:sz w:val="22"/>
          <w:szCs w:val="22"/>
          <w:color w:val="auto"/>
        </w:rPr>
        <w:t>Prior to the effective date of a registration statement under the Act,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issued pursuant to exercise of this Option shall be subject to the Company’s right of first refusal as set forth at Appendix A.</w:t>
      </w:r>
    </w:p>
    <w:p>
      <w:pPr>
        <w:spacing w:after="0" w:line="167" w:lineRule="exact"/>
        <w:rPr>
          <w:rFonts w:ascii="Times New Roman" w:cs="Times New Roman" w:eastAsia="Times New Roman" w:hAnsi="Times New Roman"/>
          <w:sz w:val="22"/>
          <w:szCs w:val="22"/>
          <w:color w:val="auto"/>
        </w:rPr>
      </w:pPr>
    </w:p>
    <w:p>
      <w:pPr>
        <w:ind w:left="752" w:right="80" w:hanging="752"/>
        <w:spacing w:after="0" w:line="237" w:lineRule="auto"/>
        <w:tabs>
          <w:tab w:leader="none" w:pos="75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Lock-Up Agreement</w:t>
      </w:r>
      <w:r>
        <w:rPr>
          <w:rFonts w:ascii="Times New Roman" w:cs="Times New Roman" w:eastAsia="Times New Roman" w:hAnsi="Times New Roman"/>
          <w:sz w:val="22"/>
          <w:szCs w:val="22"/>
          <w:color w:val="auto"/>
        </w:rPr>
        <w:t>. The Holder agrees that upon the request of the Company or the managing underwriter(s)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offering of securities of the Company that is the subject of a registration statement filed under the Act, for a period of time (not to exceed 180 days) from the effective date of the registration statement under the Act for such offering, the Holder will not sell, make any short sale of, loan, grant any option for the purchase of, or otherwise dispose of any shares of Class A Common Stock issued pursuant to the exercise of this Option, without the prior written consent of the Company and such underwriters.</w:t>
      </w:r>
    </w:p>
    <w:p>
      <w:pPr>
        <w:spacing w:after="0" w:line="175" w:lineRule="exact"/>
        <w:rPr>
          <w:rFonts w:ascii="Times New Roman" w:cs="Times New Roman" w:eastAsia="Times New Roman" w:hAnsi="Times New Roman"/>
          <w:sz w:val="22"/>
          <w:szCs w:val="22"/>
          <w:color w:val="auto"/>
        </w:rPr>
      </w:pPr>
    </w:p>
    <w:p>
      <w:pPr>
        <w:ind w:left="752" w:right="520" w:hanging="752"/>
        <w:spacing w:after="0" w:line="262" w:lineRule="auto"/>
        <w:tabs>
          <w:tab w:leader="none" w:pos="75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The Company’s obligation to deliver shares shall be subject to the Holder’s satisfaction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state and local income and employment tax withholding requirements.</w:t>
      </w:r>
    </w:p>
    <w:p>
      <w:pPr>
        <w:spacing w:after="0" w:line="149" w:lineRule="exact"/>
        <w:rPr>
          <w:rFonts w:ascii="Times New Roman" w:cs="Times New Roman" w:eastAsia="Times New Roman" w:hAnsi="Times New Roman"/>
          <w:sz w:val="22"/>
          <w:szCs w:val="22"/>
          <w:color w:val="auto"/>
        </w:rPr>
      </w:pPr>
    </w:p>
    <w:p>
      <w:pPr>
        <w:ind w:left="752" w:hanging="752"/>
        <w:spacing w:after="0" w:line="246" w:lineRule="auto"/>
        <w:tabs>
          <w:tab w:leader="none" w:pos="75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Any notice to be given to the Company hereunder shall be deemed sufficient if addressed to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to the office of the Company, Seer, Inc., 3800 Bridge Parkway, Suite 102, Redwood City, CA 94065, attention of the President, or such other address as the Company may hereafter designate.</w:t>
      </w:r>
    </w:p>
    <w:p>
      <w:pPr>
        <w:spacing w:after="0" w:line="171" w:lineRule="exact"/>
        <w:rPr>
          <w:rFonts w:ascii="Times New Roman" w:cs="Times New Roman" w:eastAsia="Times New Roman" w:hAnsi="Times New Roman"/>
          <w:sz w:val="22"/>
          <w:szCs w:val="22"/>
          <w:color w:val="auto"/>
        </w:rPr>
      </w:pPr>
    </w:p>
    <w:p>
      <w:pPr>
        <w:jc w:val="both"/>
        <w:ind w:left="752" w:right="10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1863725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04" w:right="399" w:bottom="1440" w:gutter="0" w:footer="0" w:header="0"/>
        </w:sectPr>
      </w:pPr>
    </w:p>
    <w:bookmarkStart w:id="180" w:name="page181"/>
    <w:bookmarkEnd w:id="180"/>
    <w:p>
      <w:pPr>
        <w:spacing w:after="0" w:line="200" w:lineRule="exact"/>
        <w:rPr>
          <w:sz w:val="20"/>
          <w:szCs w:val="20"/>
          <w:color w:val="auto"/>
        </w:rPr>
      </w:pP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the parties have executed this Option, or caused this Option to be executed, as of the Date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w:t>
      </w:r>
    </w:p>
    <w:p>
      <w:pPr>
        <w:spacing w:after="0" w:line="17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undersigned Holder hereby acknowledges receipt of a copy of the Plan and this Option (including Appendix A hereto), and agrees to the terms of this Option and the Plan.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81" w:name="page182"/>
    <w:bookmarkEnd w:id="181"/>
    <w:p>
      <w:pPr>
        <w:ind w:left="6920"/>
        <w:spacing w:after="0"/>
        <w:rPr>
          <w:sz w:val="20"/>
          <w:szCs w:val="20"/>
          <w:color w:val="auto"/>
        </w:rPr>
      </w:pPr>
      <w:r>
        <w:rPr>
          <w:rFonts w:ascii="Times New Roman" w:cs="Times New Roman" w:eastAsia="Times New Roman" w:hAnsi="Times New Roman"/>
          <w:sz w:val="22"/>
          <w:szCs w:val="22"/>
          <w:color w:val="auto"/>
        </w:rPr>
        <w:t>APPENDIX 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Right of First Refusal</w:t>
      </w:r>
    </w:p>
    <w:p>
      <w:pPr>
        <w:spacing w:after="0" w:line="200" w:lineRule="exact"/>
        <w:rPr>
          <w:sz w:val="20"/>
          <w:szCs w:val="20"/>
          <w:color w:val="auto"/>
        </w:rPr>
      </w:pPr>
    </w:p>
    <w:p>
      <w:pPr>
        <w:spacing w:after="0" w:line="222" w:lineRule="exact"/>
        <w:rPr>
          <w:sz w:val="20"/>
          <w:szCs w:val="20"/>
          <w:color w:val="auto"/>
        </w:rPr>
      </w:pPr>
    </w:p>
    <w:p>
      <w:pPr>
        <w:ind w:right="20" w:firstLine="1189"/>
        <w:spacing w:after="0" w:line="236" w:lineRule="auto"/>
        <w:tabs>
          <w:tab w:leader="none" w:pos="1613"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Prior to the effective date of a registration statement under the Securities Act of 1933, as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covering any shares of the Company’s Class A Common Stock and until such time as the Company shall have effected a public offering of its Class A Common Stock registered under the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75" w:lineRule="exact"/>
        <w:rPr>
          <w:rFonts w:ascii="Times New Roman" w:cs="Times New Roman" w:eastAsia="Times New Roman" w:hAnsi="Times New Roman"/>
          <w:sz w:val="22"/>
          <w:szCs w:val="22"/>
          <w:b w:val="1"/>
          <w:bCs w:val="1"/>
          <w:color w:val="auto"/>
        </w:rPr>
      </w:pPr>
    </w:p>
    <w:p>
      <w:pPr>
        <w:jc w:val="both"/>
        <w:ind w:right="40" w:firstLine="1189"/>
        <w:spacing w:after="0" w:line="241" w:lineRule="auto"/>
        <w:tabs>
          <w:tab w:leader="none" w:pos="1613"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 of Intended Transfer. </w:t>
      </w:r>
      <w:r>
        <w:rPr>
          <w:rFonts w:ascii="Times New Roman" w:cs="Times New Roman" w:eastAsia="Times New Roman" w:hAnsi="Times New Roman"/>
          <w:sz w:val="22"/>
          <w:szCs w:val="22"/>
          <w:color w:val="auto"/>
        </w:rPr>
        <w:t>The notice shall state the number of shares offered, the name of the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persons to whom it is 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71" w:lineRule="exact"/>
        <w:rPr>
          <w:rFonts w:ascii="Times New Roman" w:cs="Times New Roman" w:eastAsia="Times New Roman" w:hAnsi="Times New Roman"/>
          <w:sz w:val="22"/>
          <w:szCs w:val="22"/>
          <w:b w:val="1"/>
          <w:bCs w:val="1"/>
          <w:color w:val="auto"/>
        </w:rPr>
      </w:pPr>
    </w:p>
    <w:p>
      <w:pPr>
        <w:ind w:firstLine="1189"/>
        <w:spacing w:after="0" w:line="235" w:lineRule="auto"/>
        <w:tabs>
          <w:tab w:leader="none" w:pos="1613"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 to Accept or Decline Within 30 Days. </w:t>
      </w:r>
      <w:r>
        <w:rPr>
          <w:rFonts w:ascii="Times New Roman" w:cs="Times New Roman" w:eastAsia="Times New Roman" w:hAnsi="Times New Roman"/>
          <w:sz w:val="22"/>
          <w:szCs w:val="22"/>
          <w:color w:val="auto"/>
        </w:rPr>
        <w:t>The Company may accept the offer as to all, but not 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all, such shares by notifying the Holder in writing within 30 days after receipt of such notice of its acceptance of the offer. If the offer is accepted, the Company shall have 60 days after such acceptance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73" w:lineRule="exact"/>
        <w:rPr>
          <w:rFonts w:ascii="Times New Roman" w:cs="Times New Roman" w:eastAsia="Times New Roman" w:hAnsi="Times New Roman"/>
          <w:sz w:val="22"/>
          <w:szCs w:val="22"/>
          <w:b w:val="1"/>
          <w:bCs w:val="1"/>
          <w:color w:val="auto"/>
        </w:rPr>
      </w:pPr>
    </w:p>
    <w:p>
      <w:pPr>
        <w:ind w:right="120" w:firstLine="1189"/>
        <w:spacing w:after="0" w:line="241" w:lineRule="auto"/>
        <w:tabs>
          <w:tab w:leader="none" w:pos="1613"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Transferred Shares to Remain Subject to Right of First Refusal. </w:t>
      </w:r>
      <w:r>
        <w:rPr>
          <w:rFonts w:ascii="Times New Roman" w:cs="Times New Roman" w:eastAsia="Times New Roman" w:hAnsi="Times New Roman"/>
          <w:sz w:val="22"/>
          <w:szCs w:val="22"/>
          <w:color w:val="auto"/>
        </w:rPr>
        <w:t>Shares that are so transferred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transferee shall remain 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182" w:name="page183"/>
    <w:bookmarkEnd w:id="182"/>
    <w:p>
      <w:pPr>
        <w:ind w:left="-1120" w:right="80" w:firstLine="1189"/>
        <w:spacing w:after="0" w:line="247" w:lineRule="auto"/>
        <w:tabs>
          <w:tab w:leader="none" w:pos="493"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Remedies of Company. </w:t>
      </w:r>
      <w:r>
        <w:rPr>
          <w:rFonts w:ascii="Times New Roman" w:cs="Times New Roman" w:eastAsia="Times New Roman" w:hAnsi="Times New Roman"/>
          <w:sz w:val="21"/>
          <w:szCs w:val="21"/>
          <w:color w:val="auto"/>
        </w:rPr>
        <w:t>No sale, assignment, pledge or other transfer of any of the shares covered by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shall be effective 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 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 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66" w:lineRule="exact"/>
        <w:rPr>
          <w:rFonts w:ascii="Times New Roman" w:cs="Times New Roman" w:eastAsia="Times New Roman" w:hAnsi="Times New Roman"/>
          <w:sz w:val="21"/>
          <w:szCs w:val="21"/>
          <w:b w:val="1"/>
          <w:bCs w:val="1"/>
          <w:color w:val="auto"/>
        </w:rPr>
      </w:pPr>
    </w:p>
    <w:p>
      <w:pPr>
        <w:ind w:left="-1120" w:right="200" w:firstLine="1189"/>
        <w:spacing w:after="0" w:line="252" w:lineRule="auto"/>
        <w:tabs>
          <w:tab w:leader="none" w:pos="493"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Shares Subject to Right of First Refusal. </w:t>
      </w:r>
      <w:r>
        <w:rPr>
          <w:rFonts w:ascii="Times New Roman" w:cs="Times New Roman" w:eastAsia="Times New Roman" w:hAnsi="Times New Roman"/>
          <w:sz w:val="21"/>
          <w:szCs w:val="21"/>
          <w:color w:val="auto"/>
        </w:rPr>
        <w:t>For purposes of the Right of First Refusal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Appendix A, the term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shall mean any and all new, substituted or additional securities or other property issued to the Holder, by reason of his or her ownership of Class A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63" w:lineRule="exact"/>
        <w:rPr>
          <w:rFonts w:ascii="Times New Roman" w:cs="Times New Roman" w:eastAsia="Times New Roman" w:hAnsi="Times New Roman"/>
          <w:sz w:val="21"/>
          <w:szCs w:val="21"/>
          <w:b w:val="1"/>
          <w:bCs w:val="1"/>
          <w:color w:val="auto"/>
        </w:rPr>
      </w:pPr>
    </w:p>
    <w:p>
      <w:pPr>
        <w:ind w:left="-1120" w:right="200" w:firstLine="1189"/>
        <w:spacing w:after="0" w:line="262" w:lineRule="auto"/>
        <w:tabs>
          <w:tab w:leader="none" w:pos="493"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Legends on Stock Certificates. </w:t>
      </w:r>
      <w:r>
        <w:rPr>
          <w:rFonts w:ascii="Times New Roman" w:cs="Times New Roman" w:eastAsia="Times New Roman" w:hAnsi="Times New Roman"/>
          <w:sz w:val="22"/>
          <w:szCs w:val="22"/>
          <w:color w:val="auto"/>
        </w:rPr>
        <w:t>Any certificate representing shares of stock subject to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Appendix A may have endorsed thereon one or more legends, substantially as follows:</w:t>
      </w:r>
    </w:p>
    <w:p>
      <w:pPr>
        <w:spacing w:after="0" w:line="153" w:lineRule="exact"/>
        <w:rPr>
          <w:rFonts w:ascii="Times New Roman" w:cs="Times New Roman" w:eastAsia="Times New Roman" w:hAnsi="Times New Roman"/>
          <w:sz w:val="22"/>
          <w:szCs w:val="22"/>
          <w:b w:val="1"/>
          <w:bCs w:val="1"/>
          <w:color w:val="auto"/>
        </w:rPr>
      </w:pPr>
    </w:p>
    <w:p>
      <w:pPr>
        <w:ind w:left="1140" w:hanging="754"/>
        <w:spacing w:after="0" w:line="239" w:lineRule="auto"/>
        <w:tabs>
          <w:tab w:leader="none" w:pos="82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80" w:lineRule="exact"/>
        <w:rPr>
          <w:rFonts w:ascii="Times New Roman" w:cs="Times New Roman" w:eastAsia="Times New Roman" w:hAnsi="Times New Roman"/>
          <w:sz w:val="22"/>
          <w:szCs w:val="22"/>
          <w:color w:val="auto"/>
        </w:rPr>
      </w:pPr>
    </w:p>
    <w:p>
      <w:pPr>
        <w:jc w:val="both"/>
        <w:ind w:left="1140" w:right="80" w:hanging="754"/>
        <w:spacing w:after="0" w:line="238" w:lineRule="auto"/>
        <w:tabs>
          <w:tab w:leader="none" w:pos="82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represented by this certificate have not been registered under the Securities Act of 1933 or under the securities laws of any state and may not be pledged, hypothecated, sold or otherwise transferred unless such shares have been registered under the Act or unless the Company has received an opinion of counsel satisfactory to the Company, in form and substance satisfactory to the Company, that such registration is not required.”</w:t>
      </w:r>
    </w:p>
    <w:p>
      <w:pPr>
        <w:spacing w:after="0" w:line="172" w:lineRule="exact"/>
        <w:rPr>
          <w:rFonts w:ascii="Times New Roman" w:cs="Times New Roman" w:eastAsia="Times New Roman" w:hAnsi="Times New Roman"/>
          <w:sz w:val="22"/>
          <w:szCs w:val="22"/>
          <w:color w:val="auto"/>
        </w:rPr>
      </w:pPr>
    </w:p>
    <w:p>
      <w:pPr>
        <w:ind w:left="-1120" w:right="100" w:firstLine="1189"/>
        <w:spacing w:after="0" w:line="246" w:lineRule="auto"/>
        <w:tabs>
          <w:tab w:leader="none" w:pos="493"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 of First Refusal to Lapse Upon Registration. </w:t>
      </w:r>
      <w:r>
        <w:rPr>
          <w:rFonts w:ascii="Times New Roman" w:cs="Times New Roman" w:eastAsia="Times New Roman" w:hAnsi="Times New Roman"/>
          <w:sz w:val="22"/>
          <w:szCs w:val="22"/>
          <w:color w:val="auto"/>
        </w:rPr>
        <w:t>The restrictions imposed by this Appendix 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in all respects upon the effective date of a registration statement under the Act covering any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1296670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PURCHASE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Seer, Inc. 2017 Stock Incentive Plan)</w:t>
      </w:r>
    </w:p>
    <w:p>
      <w:pPr>
        <w:spacing w:after="0" w:line="20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Restricted Stock Purchase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by and between Seer,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and the undersigned Purchaser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In consideration of the mutual promises and covenants contained in this Agreement, and for other good and valuable consideration, the receipt and sufficiency of which are hereby acknowledged, the parties hereto agree as follows in connection with the issuance of shares of Class A Common Stock, par value $0.00001 per share, of the Company specified below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subject to the terms and conditions stated below and those attached hereto, all of which terms and conditions are incorporated herein and made a part hereof. The Shares are being purchased pursuant to the Purchaser’s exercise of an option granted under the Company’s 2017 Stock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pursuant to __________ Stock Option Agreement dated __________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-153035</wp:posOffset>
            </wp:positionV>
            <wp:extent cx="7057390" cy="308800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0">
                      <a:extLst>
                        <a:ext uri="{28A0092B-C50C-407E-A947-70E740481C1C}"/>
                      </a:extLst>
                    </a:blip>
                    <a:srcRect/>
                    <a:stretch>
                      <a:fillRect/>
                    </a:stretch>
                  </pic:blipFill>
                  <pic:spPr bwMode="auto">
                    <a:xfrm>
                      <a:off x="0" y="0"/>
                      <a:ext cx="7057390" cy="3088005"/>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Address of Purchaser:</w:t>
      </w:r>
    </w:p>
    <w:p>
      <w:pPr>
        <w:spacing w:after="0" w:line="2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Date of this Agreement:</w:t>
      </w:r>
    </w:p>
    <w:p>
      <w:pPr>
        <w:spacing w:after="0" w:line="2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Number of Shares:</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Purchase Price per Share:</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Aggregate Purchase Price:</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Repurchase Price per Share:</w:t>
      </w:r>
    </w:p>
    <w:p>
      <w:pPr>
        <w:spacing w:after="0" w:line="2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Number of Shares that are Vested Shares on the Vesting Start</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Date:</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Number of Shares that are Unvested Shares on the Vesting</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Start Date:</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Vesting Start Date:</w:t>
      </w:r>
    </w:p>
    <w:p>
      <w:pPr>
        <w:spacing w:after="0" w:line="2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The Unvested Shares shall vest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4" w:name="page185"/>
    <w:bookmarkEnd w:id="184"/>
    <w:p>
      <w:pPr>
        <w:jc w:val="both"/>
        <w:spacing w:after="0" w:line="244" w:lineRule="auto"/>
        <w:rPr>
          <w:sz w:val="20"/>
          <w:szCs w:val="20"/>
          <w:color w:val="auto"/>
        </w:rPr>
      </w:pPr>
      <w:r>
        <w:rPr>
          <w:rFonts w:ascii="Times New Roman" w:cs="Times New Roman" w:eastAsia="Times New Roman" w:hAnsi="Times New Roman"/>
          <w:sz w:val="22"/>
          <w:szCs w:val="22"/>
          <w:color w:val="auto"/>
        </w:rPr>
        <w:t>All vesting is dependent on the Purchaser serving the Company in one or more Qualified Positions (as hereafter defined) continuously from the date hereof through such vesting date, as provided herein. Unvested Shares and Vested Shares are subject to certain transfer restrictions set forth herein.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Acknowledgement</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Purchaser acknowledges having read the terms and conditions set forth above and in the Incorporated Terms and Conditions attached hereto, including the subsection entitled “Section 83(b) Election,” and having had an opportunity to discuss them with counsel of the Purchaser’s choosing. </w:t>
      </w:r>
      <w:r>
        <w:rPr>
          <w:rFonts w:ascii="Times New Roman" w:cs="Times New Roman" w:eastAsia="Times New Roman" w:hAnsi="Times New Roman"/>
          <w:sz w:val="22"/>
          <w:szCs w:val="22"/>
          <w:b w:val="1"/>
          <w:bCs w:val="1"/>
          <w:i w:val="1"/>
          <w:iCs w:val="1"/>
          <w:color w:val="auto"/>
        </w:rPr>
        <w:t>The Purchaser further acknowledges that if the Option Agreement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an incentive stock option as of the date hereof, an 83(b) Election will be effective only with respect to the “alternative minimum tax” and </w:t>
      </w:r>
      <w:r>
        <w:rPr>
          <w:rFonts w:ascii="Times New Roman" w:cs="Times New Roman" w:eastAsia="Times New Roman" w:hAnsi="Times New Roman"/>
          <w:sz w:val="22"/>
          <w:szCs w:val="22"/>
          <w:b w:val="1"/>
          <w:bCs w:val="1"/>
          <w:i w:val="1"/>
          <w:iCs w:val="1"/>
          <w:u w:val="single" w:color="auto"/>
          <w:color w:val="auto"/>
        </w:rPr>
        <w:t>not</w:t>
      </w:r>
      <w:r>
        <w:rPr>
          <w:rFonts w:ascii="Times New Roman" w:cs="Times New Roman" w:eastAsia="Times New Roman" w:hAnsi="Times New Roman"/>
          <w:sz w:val="22"/>
          <w:szCs w:val="22"/>
          <w:b w:val="1"/>
          <w:bCs w:val="1"/>
          <w:i w:val="1"/>
          <w:iCs w:val="1"/>
          <w:color w:val="auto"/>
        </w:rPr>
        <w:t xml:space="preserve"> with respect to income tax. </w:t>
      </w:r>
      <w:r>
        <w:rPr>
          <w:rFonts w:ascii="Times New Roman" w:cs="Times New Roman" w:eastAsia="Times New Roman" w:hAnsi="Times New Roman"/>
          <w:sz w:val="22"/>
          <w:szCs w:val="22"/>
          <w:color w:val="auto"/>
        </w:rPr>
        <w:t>The Purchaser has consulted has or her tax adviser with respect to the tax</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consequences of early exercise of an ISO, including filing or not filing an 83(b) Election.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By signing below, the Purchaser agrees to purchase the Number of Shares set forth above for the Aggregate Purchase Price set forth above, and further agrees to and accepts the terms and conditions set forth above and attached 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 as an agreement under seal as of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2"/>
          <w:szCs w:val="22"/>
          <w:b w:val="1"/>
          <w:bCs w:val="1"/>
          <w:color w:val="auto"/>
        </w:rPr>
        <w:t>Purchaser:</w:t>
      </w:r>
      <w:r>
        <w:rPr>
          <w:sz w:val="20"/>
          <w:szCs w:val="20"/>
          <w:color w:val="auto"/>
        </w:rPr>
        <w:tab/>
      </w:r>
      <w:r>
        <w:rPr>
          <w:rFonts w:ascii="Times New Roman" w:cs="Times New Roman" w:eastAsia="Times New Roman" w:hAnsi="Times New Roman"/>
          <w:sz w:val="22"/>
          <w:szCs w:val="22"/>
          <w:b w:val="1"/>
          <w:bCs w:val="1"/>
          <w:color w:val="auto"/>
        </w:rPr>
        <w:t>Seer, Inc.</w:t>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w:t>
      </w:r>
    </w:p>
    <w:p>
      <w:pPr>
        <w:ind w:left="562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1184275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08" w:right="439" w:bottom="1440" w:gutter="0" w:footer="0" w:header="0"/>
        </w:sectPr>
      </w:pPr>
    </w:p>
    <w:bookmarkStart w:id="185" w:name="page186"/>
    <w:bookmarkEnd w:id="185"/>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Purchase Agreement – Incorporated Terms and Conditions</w:t>
      </w:r>
    </w:p>
    <w:p>
      <w:pPr>
        <w:spacing w:after="0" w:line="210" w:lineRule="exact"/>
        <w:rPr>
          <w:sz w:val="20"/>
          <w:szCs w:val="20"/>
          <w:color w:val="auto"/>
        </w:rPr>
      </w:pPr>
    </w:p>
    <w:p>
      <w:pPr>
        <w:ind w:left="440" w:hanging="432"/>
        <w:spacing w:after="0"/>
        <w:tabs>
          <w:tab w:leader="none" w:pos="4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Subject to Stock Incentive Plan</w:t>
      </w: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21"/>
          <w:szCs w:val="21"/>
          <w:color w:val="auto"/>
        </w:rPr>
        <w:t>This Agreement is and shall be subject in every respect to the provisions of the Plan, which is incorporated herein by reference and made a part hereof. The Purchaser acknowledges that this Agreement shall be subject to all the terms and provisions of the Plan and agrees that (a) in the event of any conflict between the terms hereof and those of the Plan, the latter shall prevail, and (b) decisions under and interpretations of the Plan by the Board of Directors of the Company (or any committee thereof) shall be final, binding and conclusive upon the Purchaser and the Purchaser’s heirs and legal representatives.</w:t>
      </w:r>
    </w:p>
    <w:p>
      <w:pPr>
        <w:spacing w:after="0" w:line="168" w:lineRule="exact"/>
        <w:rPr>
          <w:sz w:val="20"/>
          <w:szCs w:val="20"/>
          <w:color w:val="auto"/>
        </w:rPr>
      </w:pPr>
    </w:p>
    <w:p>
      <w:pPr>
        <w:ind w:left="440" w:hanging="432"/>
        <w:spacing w:after="0"/>
        <w:tabs>
          <w:tab w:leader="none" w:pos="4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and Sale of Shares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20" w:firstLine="757"/>
        <w:spacing w:after="0" w:line="236" w:lineRule="auto"/>
        <w:tabs>
          <w:tab w:leader="none" w:pos="1181"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Simultaneously with the execution and delivery of this Agreement, the Purchaser is purchasing from the Company the Number of Shares listed on the signature page hereto for the Aggregate Purchase Price listed on the signature page hereto, subject to the Purchaser’s delivery obligations set forth in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The Purchaser shall deliver to the Company: (a) the Aggregate Purchase Price by check payable to the order of the Company; and (b) a stock power, duly executed by the Purchaser in blank as described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below. The Company will hold the executed stock certificate representing the Stock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right="120" w:firstLine="757"/>
        <w:spacing w:after="0" w:line="239" w:lineRule="auto"/>
        <w:tabs>
          <w:tab w:leader="none" w:pos="1181"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defined on the signature page hereto) shall also include any shares of capital stock of the Company issued to the Purchaser by virtue of his or her ownership of the Shares, by stock dividend, stock split, recapitalization, merger, combination, reorganization or otherwise. Shares that are subject to the Company’s repurchase right as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Agreement are referred to as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Unvested Shares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Shares that are not subject to such repurchase right, or as to which such repurchase right has lapsed, are referred to as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Vested Shares</w:t>
      </w:r>
      <w:r>
        <w:rPr>
          <w:rFonts w:ascii="Times New Roman" w:cs="Times New Roman" w:eastAsia="Times New Roman" w:hAnsi="Times New Roman"/>
          <w:sz w:val="22"/>
          <w:szCs w:val="22"/>
          <w:b w:val="1"/>
          <w:bCs w:val="1"/>
          <w:color w:val="auto"/>
        </w:rPr>
        <w:t>.”</w:t>
      </w:r>
    </w:p>
    <w:p>
      <w:pPr>
        <w:spacing w:after="0" w:line="177"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Purchaser</w:t>
      </w:r>
      <w:r>
        <w:rPr>
          <w:rFonts w:ascii="Times New Roman" w:cs="Times New Roman" w:eastAsia="Times New Roman" w:hAnsi="Times New Roman"/>
          <w:sz w:val="22"/>
          <w:szCs w:val="22"/>
          <w:color w:val="auto"/>
        </w:rPr>
        <w:t>. The Purchaser represents and warrants to the Company as follows:</w:t>
      </w:r>
    </w:p>
    <w:p>
      <w:pPr>
        <w:spacing w:after="0" w:line="206" w:lineRule="exact"/>
        <w:rPr>
          <w:rFonts w:ascii="Times New Roman" w:cs="Times New Roman" w:eastAsia="Times New Roman" w:hAnsi="Times New Roman"/>
          <w:sz w:val="22"/>
          <w:szCs w:val="22"/>
          <w:color w:val="auto"/>
        </w:rPr>
      </w:pPr>
    </w:p>
    <w:p>
      <w:pPr>
        <w:ind w:right="160" w:firstLine="727"/>
        <w:spacing w:after="0" w:line="236" w:lineRule="auto"/>
        <w:tabs>
          <w:tab w:leader="none" w:pos="115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Purchaser understands that the Shares have not been registered under the Securities Act of 1933, as amended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or registered or qualified under the securities or “Blue Sky” laws of any jurisdiction, and are being sold pursuant to exemptions contained in the Act and exemptions contained in other applicable securities or “Blue Sky” laws. The Purchaser understands further that the Company’s reliance on these exemptions is based in part on the representations made by the Purchaser in this Agreement. The offer and sale of the Shares is being made to the Purchaser solely in the state shown in the address set forth below the Purchaser’s name on the signature page hereto.</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186" w:name="page187"/>
    <w:bookmarkEnd w:id="186"/>
    <w:p>
      <w:pPr>
        <w:spacing w:after="0" w:line="185" w:lineRule="exact"/>
        <w:rPr>
          <w:sz w:val="20"/>
          <w:szCs w:val="20"/>
          <w:color w:val="auto"/>
        </w:rPr>
      </w:pPr>
    </w:p>
    <w:p>
      <w:pPr>
        <w:ind w:left="-20" w:right="140" w:firstLine="727"/>
        <w:spacing w:after="0" w:line="235" w:lineRule="auto"/>
        <w:tabs>
          <w:tab w:leader="none" w:pos="113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Purchaser is acquiring the Shares for the Purchaser’s own account for investment, and not for, with a view to, or in connection with the resale or distribution thereof. The Purchaser has no present intention to sell, hypothecate, distribute or otherwise transfer (hereafter,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Transfer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any of the Shares or any interest therein. The nature and amount of the Purchaser’s investment in the Shares are consistent with the Purchaser’s investment objectives, abilities and resources. The Purchaser understands that the Shares are an illiquid investment, which will not become freely transferable by reason of any change of circumstances whatsoever. The Purchaser has adequate means of providing for the Purchaser’s current needs and possible contingencies and has no need for liquidity in the Purchaser’s investment.</w:t>
      </w:r>
    </w:p>
    <w:p>
      <w:pPr>
        <w:spacing w:after="0" w:line="183" w:lineRule="exact"/>
        <w:rPr>
          <w:rFonts w:ascii="Times New Roman" w:cs="Times New Roman" w:eastAsia="Times New Roman" w:hAnsi="Times New Roman"/>
          <w:sz w:val="22"/>
          <w:szCs w:val="22"/>
          <w:color w:val="auto"/>
        </w:rPr>
      </w:pPr>
    </w:p>
    <w:p>
      <w:pPr>
        <w:ind w:left="-20" w:firstLine="719"/>
        <w:spacing w:after="0" w:line="247" w:lineRule="auto"/>
        <w:tabs>
          <w:tab w:leader="none" w:pos="112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understands that the Shares will constitute “restricted securities” within the meaning of Rule 144 promulgated under the Act and that, as such, the Shares must be held indefinitely unless they are subsequently registered under the Act or unless an exemption from the registration requirements thereof is available. The Purchaser has been advised that Rule 144, which permits the resale, subject to various terms and conditions, of such “restricted securities” after they have been held for specified periods of time does not now apply to the Company, because the Company is not now required to file, and does not file, periodic reports under the Securities Exchange Act of 1934, as amended, and because information concerning the Company substantially equivalent to that which would be available if the Company were required to file such reports is not now publicly available. The Company may become a reporting entity at some future date, but no assurance can be given that it will do so.</w:t>
      </w:r>
    </w:p>
    <w:p>
      <w:pPr>
        <w:spacing w:after="0" w:line="171" w:lineRule="exact"/>
        <w:rPr>
          <w:rFonts w:ascii="Times New Roman" w:cs="Times New Roman" w:eastAsia="Times New Roman" w:hAnsi="Times New Roman"/>
          <w:sz w:val="21"/>
          <w:szCs w:val="21"/>
          <w:color w:val="auto"/>
        </w:rPr>
      </w:pPr>
    </w:p>
    <w:p>
      <w:pPr>
        <w:ind w:left="-20" w:right="160" w:firstLine="719"/>
        <w:spacing w:after="0" w:line="244" w:lineRule="auto"/>
        <w:tabs>
          <w:tab w:leader="none" w:pos="112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Purchaser accepts the condition that the Company will maintain stop transfer orders with respect to the Shares and that each certificate or other document evidencing the Shares will bear a conspicuous legend in substantially the form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Agreement.</w:t>
      </w:r>
    </w:p>
    <w:p>
      <w:pPr>
        <w:spacing w:after="0" w:line="173" w:lineRule="exact"/>
        <w:rPr>
          <w:rFonts w:ascii="Times New Roman" w:cs="Times New Roman" w:eastAsia="Times New Roman" w:hAnsi="Times New Roman"/>
          <w:sz w:val="22"/>
          <w:szCs w:val="22"/>
          <w:color w:val="auto"/>
        </w:rPr>
      </w:pPr>
    </w:p>
    <w:p>
      <w:pPr>
        <w:ind w:left="-20" w:right="40" w:firstLine="727"/>
        <w:spacing w:after="0" w:line="248" w:lineRule="auto"/>
        <w:tabs>
          <w:tab w:leader="none" w:pos="113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has consulted the Purchaser’s attorney or the Purchaser’s accountant with respect to the Purchaser’s purchase of the Shares. The Purchaser and such attorney or accountant have fully investigated the Company and its business and financial condition and have knowledge of the Company’s current activities. The Company has granted the Purchaser and the Purchaser’s attorney or accountant access to all information about the Company which they have requested and has offered each of them access to all further information which they deemed relevant to an investment decision with respect to the Shares. The Purchaser and the Purchaser’s attorney or accountant have had the opportunity to ask questions of, and receive answers from, representatives of the Company concerning such information and the Company’s financial condition and prospects.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87" w:name="page188"/>
    <w:bookmarkEnd w:id="187"/>
    <w:p>
      <w:pPr>
        <w:spacing w:after="0" w:line="185" w:lineRule="exact"/>
        <w:rPr>
          <w:sz w:val="20"/>
          <w:szCs w:val="20"/>
          <w:color w:val="auto"/>
        </w:rPr>
      </w:pPr>
    </w:p>
    <w:p>
      <w:pPr>
        <w:ind w:left="-8" w:right="60" w:firstLine="8"/>
        <w:spacing w:after="0" w:line="282" w:lineRule="auto"/>
        <w:tabs>
          <w:tab w:leader="none" w:pos="424"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Transfer</w:t>
      </w:r>
      <w:r>
        <w:rPr>
          <w:rFonts w:ascii="Times New Roman" w:cs="Times New Roman" w:eastAsia="Times New Roman" w:hAnsi="Times New Roman"/>
          <w:sz w:val="21"/>
          <w:szCs w:val="21"/>
          <w:color w:val="auto"/>
        </w:rPr>
        <w:t>. The terms and conditions of this Section 4 shall apply to any Transfer or proposed transfer of the Shares and such terms and conditions shall govern to the extent of any conflict with any provision of the Option Agreement.</w:t>
      </w:r>
    </w:p>
    <w:p>
      <w:pPr>
        <w:spacing w:after="0" w:line="134" w:lineRule="exact"/>
        <w:rPr>
          <w:rFonts w:ascii="Times New Roman" w:cs="Times New Roman" w:eastAsia="Times New Roman" w:hAnsi="Times New Roman"/>
          <w:sz w:val="21"/>
          <w:szCs w:val="21"/>
          <w:color w:val="auto"/>
        </w:rPr>
      </w:pPr>
    </w:p>
    <w:p>
      <w:pPr>
        <w:ind w:left="-8" w:right="40" w:firstLine="727"/>
        <w:spacing w:after="0" w:line="236" w:lineRule="auto"/>
        <w:tabs>
          <w:tab w:leader="none" w:pos="1143"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Shares, or any interest therein, may be Transferred at any time or under any circumstances unless (i) the Shares proposed to be Transferred have been registered under the Act and registered or qualified under applicable state securities laws, or (ii) the Company has received an opinion of counsel acceptable to the Company to the effect that such Transfer may be effected without registration under the Act and registration or qualification under the securities laws of relevant states and the proposed transferee has made such representations and agreements as the Company shall require to assure compliance with the Act and such laws.</w:t>
      </w:r>
    </w:p>
    <w:p>
      <w:pPr>
        <w:spacing w:after="0" w:line="19" w:lineRule="exact"/>
        <w:rPr>
          <w:sz w:val="20"/>
          <w:szCs w:val="20"/>
          <w:color w:val="auto"/>
        </w:rPr>
      </w:pPr>
    </w:p>
    <w:p>
      <w:pPr>
        <w:ind w:left="-8" w:firstLine="8"/>
        <w:spacing w:after="0" w:line="258" w:lineRule="auto"/>
        <w:tabs>
          <w:tab w:leader="none" w:pos="42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Unvested Share, and no interest in an Unvested Share, may be Transferred except to the Company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Agreement.</w:t>
      </w:r>
    </w:p>
    <w:p>
      <w:pPr>
        <w:spacing w:after="0" w:line="185" w:lineRule="exact"/>
        <w:rPr>
          <w:rFonts w:ascii="Times New Roman" w:cs="Times New Roman" w:eastAsia="Times New Roman" w:hAnsi="Times New Roman"/>
          <w:sz w:val="22"/>
          <w:szCs w:val="22"/>
          <w:color w:val="auto"/>
        </w:rPr>
      </w:pPr>
    </w:p>
    <w:p>
      <w:pPr>
        <w:ind w:left="432" w:hanging="432"/>
        <w:spacing w:after="0"/>
        <w:tabs>
          <w:tab w:leader="none" w:pos="43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First Refusal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 w:right="20" w:firstLine="1490"/>
        <w:spacing w:after="0" w:line="235" w:lineRule="auto"/>
        <w:tabs>
          <w:tab w:leader="none" w:pos="190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 of Sale; Notice of Proposed Sale or Transfer</w:t>
      </w:r>
      <w:r>
        <w:rPr>
          <w:rFonts w:ascii="Times New Roman" w:cs="Times New Roman" w:eastAsia="Times New Roman" w:hAnsi="Times New Roman"/>
          <w:sz w:val="22"/>
          <w:szCs w:val="22"/>
          <w:color w:val="auto"/>
        </w:rPr>
        <w:t>. In the event that at any time the Purchaser desires to Transfer any Vested Shares or any interest therein, the Purchaser shall first deliver written notice of the Purchaser’s desire to do so (the “</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to the Company. The Notice must specify the number of Vested Shares proposed to be Transferred, the name of the person or persons to whom the Purchaser proposes to Transfer such Shares, the price at which such Shares are intended to be Transferred and all other terms of the transaction, which must be bona fide. The Notice shall constitute an offer by the Purchaser to the Company for the Company to purchase such Shares on such terms and at a price per share equal to the price stated in the Notice.</w:t>
      </w:r>
    </w:p>
    <w:p>
      <w:pPr>
        <w:spacing w:after="0" w:line="183" w:lineRule="exact"/>
        <w:rPr>
          <w:rFonts w:ascii="Times New Roman" w:cs="Times New Roman" w:eastAsia="Times New Roman" w:hAnsi="Times New Roman"/>
          <w:sz w:val="22"/>
          <w:szCs w:val="22"/>
          <w:color w:val="auto"/>
        </w:rPr>
      </w:pPr>
    </w:p>
    <w:p>
      <w:pPr>
        <w:ind w:left="-8" w:firstLine="1490"/>
        <w:spacing w:after="0" w:line="244" w:lineRule="auto"/>
        <w:tabs>
          <w:tab w:leader="none" w:pos="190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Option to Purchase</w:t>
      </w:r>
      <w:r>
        <w:rPr>
          <w:rFonts w:ascii="Times New Roman" w:cs="Times New Roman" w:eastAsia="Times New Roman" w:hAnsi="Times New Roman"/>
          <w:sz w:val="22"/>
          <w:szCs w:val="22"/>
          <w:color w:val="auto"/>
        </w:rPr>
        <w:t>. The Company shall have the option to purchase all or any part of the Shares offered in the Notice for the price and on the terms specified in such Notice. The Company must exercise such option by giving written notice to the Purchaser no later than fifteen (15) business days after receipt of such Notice.</w:t>
      </w:r>
    </w:p>
    <w:p>
      <w:pPr>
        <w:spacing w:after="0" w:line="173" w:lineRule="exact"/>
        <w:rPr>
          <w:rFonts w:ascii="Times New Roman" w:cs="Times New Roman" w:eastAsia="Times New Roman" w:hAnsi="Times New Roman"/>
          <w:sz w:val="22"/>
          <w:szCs w:val="22"/>
          <w:color w:val="auto"/>
        </w:rPr>
      </w:pPr>
    </w:p>
    <w:p>
      <w:pPr>
        <w:ind w:left="-8" w:right="60" w:firstLine="1490"/>
        <w:spacing w:after="0" w:line="236" w:lineRule="auto"/>
        <w:tabs>
          <w:tab w:leader="none" w:pos="190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of Purchase by Company</w:t>
      </w:r>
      <w:r>
        <w:rPr>
          <w:rFonts w:ascii="Times New Roman" w:cs="Times New Roman" w:eastAsia="Times New Roman" w:hAnsi="Times New Roman"/>
          <w:sz w:val="22"/>
          <w:szCs w:val="22"/>
          <w:color w:val="auto"/>
        </w:rPr>
        <w:t>. In the event the Company duly exercises its option to purchase all or a portion of the Shares, the closing of such purchase shall take place at the offices of the Company on the fifth business day after the expiration of the fifteen-day period. Upon the occurrence of the closing, the Purchaser shall transfer to the Company the number of Shares specified in the Company’s notice, free of all liens, encumbrances and rights of others, and shall deliver the certificate(s) representing the number of Shares that the Company has elected to repurchase, as well as the duly executed stock powers accompanying such certificate(s).</w:t>
      </w:r>
    </w:p>
    <w:p>
      <w:pPr>
        <w:spacing w:after="0" w:line="19"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821055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440" w:right="459" w:bottom="1440" w:gutter="0" w:footer="0" w:header="0"/>
        </w:sectPr>
      </w:pPr>
    </w:p>
    <w:bookmarkStart w:id="188" w:name="page189"/>
    <w:bookmarkEnd w:id="188"/>
    <w:p>
      <w:pPr>
        <w:spacing w:after="0" w:line="185" w:lineRule="exact"/>
        <w:rPr>
          <w:sz w:val="20"/>
          <w:szCs w:val="20"/>
          <w:color w:val="auto"/>
        </w:rPr>
      </w:pPr>
    </w:p>
    <w:p>
      <w:pPr>
        <w:ind w:left="-20" w:right="180" w:firstLine="1490"/>
        <w:spacing w:after="0" w:line="249" w:lineRule="auto"/>
        <w:tabs>
          <w:tab w:leader="none" w:pos="1894"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Fully Exercise Option to Purchase</w:t>
      </w:r>
      <w:r>
        <w:rPr>
          <w:rFonts w:ascii="Times New Roman" w:cs="Times New Roman" w:eastAsia="Times New Roman" w:hAnsi="Times New Roman"/>
          <w:sz w:val="21"/>
          <w:szCs w:val="21"/>
          <w:color w:val="auto"/>
        </w:rPr>
        <w:t>. If within the applicable time period, the Purchaser does not receive notice of the Company’s intention to purchase the offered Shares, the offer shall be deemed to have been rejected. In such event, the Purchaser may Transfer title to the offered Shares within ninety (90) days from the date of the Notice, but such Transfer shall be made only to the proposed transferee or transferees and at the proposed price and on such other terms as stated in such Notice. Shares that are so Transferred shall remain subject to this Agreement and, as a condition to any Transfer, the Purchaser shall obtain a written agreement from the transferee by which the transferee agrees to be bound by this Agreement.</w:t>
      </w:r>
    </w:p>
    <w:p>
      <w:pPr>
        <w:spacing w:after="0" w:line="170" w:lineRule="exact"/>
        <w:rPr>
          <w:rFonts w:ascii="Times New Roman" w:cs="Times New Roman" w:eastAsia="Times New Roman" w:hAnsi="Times New Roman"/>
          <w:sz w:val="21"/>
          <w:szCs w:val="21"/>
          <w:color w:val="auto"/>
        </w:rPr>
      </w:pPr>
    </w:p>
    <w:p>
      <w:pPr>
        <w:ind w:left="-20" w:right="160" w:firstLine="719"/>
        <w:spacing w:after="0" w:line="235" w:lineRule="auto"/>
        <w:tabs>
          <w:tab w:leader="none" w:pos="112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restrictions set forth in the Plan, if the Purchaser is a natural person, all, or any portion of, the Shares may, without compliance with the provisions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be Transferred by the Purchaser for bona fide estate planning purposes to a member of the Purchaser’s immediate family, to a family partnership or to a family trust or, on the Purchaser’s death, may be Transferred to the Purchaser’s estate or to those entitled to a distribution of the Shares under the laws of descent and distribution; provided, that Shares that are so Transferred shall remain subject to this Agreement and, as a condition to any Transfer, the Purchaser or the Purchaser’s legal representative shall obtain a written agreement from the proposed transferee or transferees by which such transferee agrees or transferees agree to be bound by this Agreement.</w:t>
      </w:r>
    </w:p>
    <w:p>
      <w:pPr>
        <w:spacing w:after="0" w:line="183" w:lineRule="exact"/>
        <w:rPr>
          <w:rFonts w:ascii="Times New Roman" w:cs="Times New Roman" w:eastAsia="Times New Roman" w:hAnsi="Times New Roman"/>
          <w:sz w:val="22"/>
          <w:szCs w:val="22"/>
          <w:color w:val="auto"/>
        </w:rPr>
      </w:pPr>
    </w:p>
    <w:p>
      <w:pPr>
        <w:ind w:left="-20" w:right="20" w:firstLine="719"/>
        <w:spacing w:after="0" w:line="235" w:lineRule="auto"/>
        <w:tabs>
          <w:tab w:leader="none" w:pos="112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Transfer of Shares shall be effective or given effect on the books of the Company unless all of the applicable provisions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have been duly complied with. The Company shall not be required to recognize as one of its stockholders any purported transferee of Shares which have been attempted to have been Transferred in violation of this Agreement, including, without limitation, for purposes of dividend and voting rights. The restrictions on transfer imposed by this Agreement shall apply not only to voluntary transfers but also to involuntary transfers, by operation of law or otherwise. The Purchaser shall pay all legal fees and expenses of the Company arising out of or relating to any purported sale, assignment or transfer of any Shares in violation of this Agreement.</w:t>
      </w:r>
    </w:p>
    <w:p>
      <w:pPr>
        <w:spacing w:after="0" w:line="183" w:lineRule="exact"/>
        <w:rPr>
          <w:rFonts w:ascii="Times New Roman" w:cs="Times New Roman" w:eastAsia="Times New Roman" w:hAnsi="Times New Roman"/>
          <w:sz w:val="22"/>
          <w:szCs w:val="22"/>
          <w:color w:val="auto"/>
        </w:rPr>
      </w:pPr>
    </w:p>
    <w:p>
      <w:pPr>
        <w:ind w:left="-20" w:firstLine="719"/>
        <w:spacing w:after="0" w:line="238" w:lineRule="auto"/>
        <w:tabs>
          <w:tab w:leader="none" w:pos="112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Lock-Up</w:t>
      </w:r>
      <w:r>
        <w:rPr>
          <w:rFonts w:ascii="Times New Roman" w:cs="Times New Roman" w:eastAsia="Times New Roman" w:hAnsi="Times New Roman"/>
          <w:sz w:val="22"/>
          <w:szCs w:val="22"/>
          <w:color w:val="auto"/>
        </w:rPr>
        <w:t xml:space="preserve">. The Purchaser agrees that, for a period of up to 180 days from the effective date of any registration of securities of the Company, the Purchaser will not Transfer any Shares held by the Purchaser without the prior written consent of the Company or such underwriters, as the case may be, all as fully provided in Section 5.3 of the Plan. The Purchaser further agrees to execute such agreements as may be reasonably requested by the underwriters that are consistent with this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 xml:space="preserve"> or that are necessary to give further effect thereto.</w:t>
      </w:r>
    </w:p>
    <w:p>
      <w:pPr>
        <w:spacing w:after="0" w:line="176" w:lineRule="exact"/>
        <w:rPr>
          <w:rFonts w:ascii="Times New Roman" w:cs="Times New Roman" w:eastAsia="Times New Roman" w:hAnsi="Times New Roman"/>
          <w:sz w:val="22"/>
          <w:szCs w:val="22"/>
          <w:color w:val="auto"/>
        </w:rPr>
      </w:pPr>
    </w:p>
    <w:p>
      <w:pPr>
        <w:ind w:left="-20" w:right="120" w:firstLine="727"/>
        <w:spacing w:after="0" w:line="236" w:lineRule="auto"/>
        <w:tabs>
          <w:tab w:leader="none" w:pos="113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of the Company and the obligations of the Purchaser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are in addition to all rights and obligations which the Purchaser may have under other Sections of this Agreement or under other agreements between the Company and the Purchaser regarding the Shares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Other Agreements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not give the Purchaser any right to make any Transfer of any Shares which is otherwise prohibited by any other Section of this Agreement or the Other Agreements. In addition, any failure by the Company to exercise its repurchase right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in no way affect any rights, including repurchase rights, the Company may have under any of the Other Agreements.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89" w:name="page190"/>
    <w:bookmarkEnd w:id="189"/>
    <w:p>
      <w:pPr>
        <w:spacing w:after="0" w:line="185" w:lineRule="exact"/>
        <w:rPr>
          <w:sz w:val="20"/>
          <w:szCs w:val="20"/>
          <w:color w:val="auto"/>
        </w:rPr>
      </w:pPr>
    </w:p>
    <w:p>
      <w:pPr>
        <w:ind w:firstLine="719"/>
        <w:spacing w:after="0" w:line="258" w:lineRule="auto"/>
        <w:tabs>
          <w:tab w:leader="none" w:pos="1143"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at no time shall the Purchaser Transfer any Shares or any interest therein to a competitor of the Company without the approval of the Board of Directors.</w:t>
      </w:r>
    </w:p>
    <w:p>
      <w:pPr>
        <w:spacing w:after="0" w:line="15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Shares; Repurchase of Unvested Shares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80" w:firstLine="719"/>
        <w:spacing w:after="0" w:line="236" w:lineRule="auto"/>
        <w:tabs>
          <w:tab w:leader="none" w:pos="1143"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Purchaser has served the Company in one or more Qualified Positions (as hereafter defined) continuously from the date hereof through the vesting dates specified on the signature page hereto, Unvested Shares shall become Vested Shares (or shall “vest”) on such dates and in such amounts as are specified on the signature page hereto. The term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Qualified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Position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shall mean a Company-approved position as an employee, consultant, advisor, officer or member of the Board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of the Company or one of its subsidiaries, if any. For the avoidance of doubt, the Board of Directors of the Company, in its discretion, may accelerate any vesting dates or waive any of the requirements for vesting.</w:t>
      </w:r>
    </w:p>
    <w:p>
      <w:pPr>
        <w:spacing w:after="0" w:line="181" w:lineRule="exact"/>
        <w:rPr>
          <w:rFonts w:ascii="Times New Roman" w:cs="Times New Roman" w:eastAsia="Times New Roman" w:hAnsi="Times New Roman"/>
          <w:sz w:val="22"/>
          <w:szCs w:val="22"/>
          <w:color w:val="auto"/>
        </w:rPr>
      </w:pPr>
    </w:p>
    <w:p>
      <w:pPr>
        <w:ind w:right="20" w:firstLine="727"/>
        <w:spacing w:after="0" w:line="235" w:lineRule="auto"/>
        <w:tabs>
          <w:tab w:leader="none" w:pos="1151"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Purchaser ceases for any reason to provide services to the Company in one or more Qualified Positions before all of the Shares have become Vested Shares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Termination Event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then the Company shall have the right to purchase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Repurchase Option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for a period of ninety (90) days from the date of such Termination Event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any or all of the Shares that are Unvested Shares at the Termination Date (after giving effect to the look-forward vesting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provisions of this Agreement). The purchase of each Unvested Share pursuant to this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shall be effected at the Repurchase Price Per Share set forth on the signature page hereto, appropriately adjusted in the event of a stock dividend, stock split, recapitalization, merger, combination, reorganization or exchange of shares or other similar event occurring subsequent to the date of this Agreement.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85" w:lineRule="exact"/>
        <w:rPr>
          <w:sz w:val="20"/>
          <w:szCs w:val="20"/>
          <w:color w:val="auto"/>
        </w:rPr>
      </w:pPr>
    </w:p>
    <w:p>
      <w:pPr>
        <w:ind w:left="-20" w:right="20" w:firstLine="772"/>
        <w:spacing w:after="0" w:line="227" w:lineRule="auto"/>
        <w:tabs>
          <w:tab w:leader="none" w:pos="117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Company notifies the Purchaser within ninety (90) days from the Termination Date that it does not intend to exercise its Repurchase Option with respect to some or all of the Unvested Shares, the Repurchase Option shall be </w:t>
      </w:r>
      <w:r>
        <w:rPr>
          <w:rFonts w:ascii="Times New Roman" w:cs="Times New Roman" w:eastAsia="Times New Roman" w:hAnsi="Times New Roman"/>
          <w:sz w:val="22"/>
          <w:szCs w:val="22"/>
          <w:u w:val="single" w:color="auto"/>
          <w:color w:val="auto"/>
        </w:rPr>
        <w:t>deemed automatically exercised</w:t>
      </w:r>
      <w:r>
        <w:rPr>
          <w:rFonts w:ascii="Times New Roman" w:cs="Times New Roman" w:eastAsia="Times New Roman" w:hAnsi="Times New Roman"/>
          <w:sz w:val="22"/>
          <w:szCs w:val="22"/>
          <w:color w:val="auto"/>
        </w:rPr>
        <w:t xml:space="preserve"> by the Company as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Termination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may notify the Purchaser that it is exercising its Repurchase Option as of a date prior to such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Unless the Purchaser is otherwise notified by the Company pursuant to the preceding sentence that the Company does not intend to exercise its Repurchase Option as to some or all of the Unvested Shares to which it applies as of the Termination Date, execution of this Agreement by the Purchaser constitutes written notice to the Purchaser of the Company’s intention to exercise its Repurchase Option with respect to all Unvested Shares to which such Repurchase Option applies. The Company, at its choice, may satisfy its payment obligation to the Purchaser with respect to exercise of the Repurchase Option by any of (1) delivering a check to the Purchaser in the amount of the purchase price for the Unvested Shares being repurchased, (2) in the event the Purchaser is indebted to the Company, canceling an amount of such indebtedness equal to the purchase price for the Unvested Shares being repurchased, and (3) by a combination of (1) and (2) so that the combined payment and cancellation of indebtedness equals such purchase price. The Company shall use good faith efforts to satisfy its payment obligation to the Purchaser within fifteen (15) days after Company’s notice of exercise of the Repurchase Option (or deemed exercise). In the event of any deemed automatic exercise of the Repurchase Option pursuant to this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xml:space="preserve">, at such time as the Purchaser is indebted to the Company, the portion of such indebtedness equal to the purchase price of the Unvested Shares being repurchased shall be deemed automatically canceled as of the date of Company’s notice of exercise of the Repurchase Option (or deemed exercise). As a result of any repurchase of Unvested Shares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the Purchaser.</w:t>
      </w:r>
    </w:p>
    <w:p>
      <w:pPr>
        <w:spacing w:after="0" w:line="190" w:lineRule="exact"/>
        <w:rPr>
          <w:rFonts w:ascii="Times New Roman" w:cs="Times New Roman" w:eastAsia="Times New Roman" w:hAnsi="Times New Roman"/>
          <w:sz w:val="22"/>
          <w:szCs w:val="22"/>
          <w:color w:val="auto"/>
        </w:rPr>
      </w:pPr>
    </w:p>
    <w:p>
      <w:pPr>
        <w:ind w:left="-20" w:right="160" w:firstLine="779"/>
        <w:spacing w:after="0" w:line="244" w:lineRule="auto"/>
        <w:tabs>
          <w:tab w:leader="none" w:pos="118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after termination or exercise of all repurchase rights hereunder, deliver to the Purchaser a certificate or certificates representing the Shares, if any, as to which the Purchaser is entitled to ownership free and clear of such repurchase rights.</w:t>
      </w:r>
    </w:p>
    <w:p>
      <w:pPr>
        <w:spacing w:after="0" w:line="173" w:lineRule="exact"/>
        <w:rPr>
          <w:rFonts w:ascii="Times New Roman" w:cs="Times New Roman" w:eastAsia="Times New Roman" w:hAnsi="Times New Roman"/>
          <w:sz w:val="22"/>
          <w:szCs w:val="22"/>
          <w:color w:val="auto"/>
        </w:rPr>
      </w:pPr>
    </w:p>
    <w:p>
      <w:pPr>
        <w:ind w:left="-20" w:firstLine="772"/>
        <w:spacing w:after="0" w:line="239" w:lineRule="auto"/>
        <w:tabs>
          <w:tab w:leader="none" w:pos="117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xml:space="preserve">. No fractional shares shall vest under this Agreement. Any calculation of Shares scheduled to vest on any date except for the last date on which vesting is contemplated under this Agreement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Final Vesting Date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that results in a fractional share shall be rounded down to the nearest whole Share. On the Final Vesting Date, all remaining Unvested Shares shall vest and become Vested Shares.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91" w:name="page192"/>
    <w:bookmarkEnd w:id="191"/>
    <w:p>
      <w:pPr>
        <w:spacing w:after="0" w:line="185" w:lineRule="exact"/>
        <w:rPr>
          <w:sz w:val="20"/>
          <w:szCs w:val="20"/>
          <w:color w:val="auto"/>
        </w:rPr>
      </w:pPr>
    </w:p>
    <w:p>
      <w:pPr>
        <w:ind w:left="432" w:hanging="432"/>
        <w:spacing w:after="0"/>
        <w:tabs>
          <w:tab w:leader="none" w:pos="43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Custody of Certificates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 w:firstLine="779"/>
        <w:spacing w:after="0" w:line="249" w:lineRule="auto"/>
        <w:tabs>
          <w:tab w:leader="none" w:pos="1195"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facilitate the exercise of the Company’s repurchase rights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of this Agreement, simultaneously with the execution of this Agreement, the Purchaser shall deposit with the Company’s counsel the certificate or certificates representing in whole or in part Unvested Shares and shall promptly upon acquisition of any additional Unvested Shares, deposit with the Company’s counsel the certificate or certificates for such additional shares. To all certificates deposited by the Purchaser with the Company’s counsel, there shall be attached a stock power or stock powers, duly executed by the Purchaser in blank, constituting and appointing the Company or its designee the Purchaser’s attorney to transfer such stock on the books of the Company. The Purchaser shall continue to be the owner of the Shares, despite such deposit and stock powers, and shall be entitled to exercise all rights of ownership in such Shares, subject, however, to the provisions of this Agreement</w:t>
      </w:r>
      <w:r>
        <w:rPr>
          <w:rFonts w:ascii="Times New Roman" w:cs="Times New Roman" w:eastAsia="Times New Roman" w:hAnsi="Times New Roman"/>
          <w:sz w:val="24"/>
          <w:szCs w:val="24"/>
          <w:color w:val="auto"/>
        </w:rPr>
        <w:t>.</w:t>
      </w:r>
    </w:p>
    <w:p>
      <w:pPr>
        <w:spacing w:after="0" w:line="173" w:lineRule="exact"/>
        <w:rPr>
          <w:rFonts w:ascii="Times New Roman" w:cs="Times New Roman" w:eastAsia="Times New Roman" w:hAnsi="Times New Roman"/>
          <w:sz w:val="21"/>
          <w:szCs w:val="21"/>
          <w:color w:val="auto"/>
        </w:rPr>
      </w:pPr>
    </w:p>
    <w:p>
      <w:pPr>
        <w:ind w:left="-8" w:right="20" w:firstLine="779"/>
        <w:spacing w:after="0" w:line="236" w:lineRule="auto"/>
        <w:tabs>
          <w:tab w:leader="none" w:pos="119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dispute should arise with respect to the delivery, right to possession, and/or ownership of the certificates representing the Shares, the Company’s counsel is authorized to retain such certificates and evidences in its possession, or any portion thereof, without liability to anyone, until such dispute shall have been settled either by mutual written agreement of the parties concerned or by final order, decree or judgment of a court of competent jurisdiction after the time for appeal has expired and no appeal has been perfected, but neither the Company nor its counsel shall be under any duty whatsoever hereunder to institute or defend any such proceedings.</w:t>
      </w:r>
    </w:p>
    <w:p>
      <w:pPr>
        <w:spacing w:after="0" w:line="181" w:lineRule="exact"/>
        <w:rPr>
          <w:rFonts w:ascii="Times New Roman" w:cs="Times New Roman" w:eastAsia="Times New Roman" w:hAnsi="Times New Roman"/>
          <w:sz w:val="22"/>
          <w:szCs w:val="22"/>
          <w:color w:val="auto"/>
        </w:rPr>
      </w:pPr>
    </w:p>
    <w:p>
      <w:pPr>
        <w:ind w:left="-8" w:right="160" w:firstLine="779"/>
        <w:spacing w:after="0" w:line="251" w:lineRule="auto"/>
        <w:tabs>
          <w:tab w:leader="none" w:pos="1195"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have the right to cause Transfers of Unvested Shares to be effected pursuant to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notwithstanding any failure of the Purchaser to take the action required of the Purchaser pursuant to this Agreement; provided, however, that no Transfer of Unvested Shares shall be effected hereunder unless payment therefor has been made or tendered to the Purchaser or the Purchaser’s executor or other legal representative. The Purchaser hereby appoints each of the President, Treasurer and Secretary of the Company as the Purchaser’s attorney-in-fact for purposes of effecting any such Transfer.</w:t>
      </w:r>
    </w:p>
    <w:p>
      <w:pPr>
        <w:spacing w:after="0" w:line="168" w:lineRule="exact"/>
        <w:rPr>
          <w:rFonts w:ascii="Times New Roman" w:cs="Times New Roman" w:eastAsia="Times New Roman" w:hAnsi="Times New Roman"/>
          <w:sz w:val="21"/>
          <w:szCs w:val="21"/>
          <w:color w:val="auto"/>
        </w:rPr>
      </w:pPr>
    </w:p>
    <w:p>
      <w:pPr>
        <w:ind w:left="432" w:hanging="432"/>
        <w:spacing w:after="0"/>
        <w:tabs>
          <w:tab w:leader="none" w:pos="43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Each certificate representing Shares shall prominently bear legends to the following effect:</w:t>
      </w:r>
    </w:p>
    <w:p>
      <w:pPr>
        <w:spacing w:after="0" w:line="44" w:lineRule="exact"/>
        <w:rPr>
          <w:sz w:val="20"/>
          <w:szCs w:val="20"/>
          <w:color w:val="auto"/>
        </w:rPr>
      </w:pPr>
    </w:p>
    <w:p>
      <w:pPr>
        <w:jc w:val="both"/>
        <w:ind w:left="752" w:right="740"/>
        <w:spacing w:after="0" w:line="239" w:lineRule="auto"/>
        <w:rPr>
          <w:sz w:val="20"/>
          <w:szCs w:val="20"/>
          <w:color w:val="auto"/>
        </w:rPr>
      </w:pPr>
      <w:r>
        <w:rPr>
          <w:rFonts w:ascii="Times New Roman" w:cs="Times New Roman" w:eastAsia="Times New Roman" w:hAnsi="Times New Roman"/>
          <w:sz w:val="22"/>
          <w:szCs w:val="22"/>
          <w:color w:val="auto"/>
        </w:rPr>
        <w:t>“The shares represented by this certificate have been acquired for investment and have not been registered under the Securities Act of 1933, as amended. Such shares may not be sold, transferred, pledged or hypothecated unless the registration provisions of said Act have been complied with or unless the Company has received an opinion of its counsel that such registration is not required.</w:t>
      </w:r>
    </w:p>
    <w:p>
      <w:pPr>
        <w:spacing w:after="0" w:line="207" w:lineRule="exact"/>
        <w:rPr>
          <w:sz w:val="20"/>
          <w:szCs w:val="20"/>
          <w:color w:val="auto"/>
        </w:rPr>
      </w:pPr>
    </w:p>
    <w:p>
      <w:pPr>
        <w:jc w:val="both"/>
        <w:ind w:left="752" w:right="740"/>
        <w:spacing w:after="0" w:line="244" w:lineRule="auto"/>
        <w:rPr>
          <w:sz w:val="20"/>
          <w:szCs w:val="20"/>
          <w:color w:val="auto"/>
        </w:rPr>
      </w:pPr>
      <w:r>
        <w:rPr>
          <w:rFonts w:ascii="Times New Roman" w:cs="Times New Roman" w:eastAsia="Times New Roman" w:hAnsi="Times New Roman"/>
          <w:sz w:val="22"/>
          <w:szCs w:val="22"/>
          <w:color w:val="auto"/>
        </w:rPr>
        <w:t>“The shares represented by this certificate are subject to restrictions on transfer and repurchase rights pursuant to the terms of the Company’s 2017 Stock Incentive Plan and a Restricted Stock Purchase Agreement, a copy of which will be furnished to the holder hereof without charge upon written request.”</w:t>
      </w:r>
    </w:p>
    <w:p>
      <w:pPr>
        <w:spacing w:after="0" w:line="1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821055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92" w:name="page193"/>
    <w:bookmarkEnd w:id="192"/>
    <w:p>
      <w:pPr>
        <w:spacing w:after="0" w:line="185" w:lineRule="exact"/>
        <w:rPr>
          <w:sz w:val="20"/>
          <w:szCs w:val="20"/>
          <w:color w:val="auto"/>
        </w:rPr>
      </w:pPr>
    </w:p>
    <w:p>
      <w:pPr>
        <w:ind w:right="660" w:firstLine="8"/>
        <w:spacing w:after="0" w:line="258" w:lineRule="auto"/>
        <w:tabs>
          <w:tab w:leader="none" w:pos="43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Stock Splits, Stock Dividends, etc.</w:t>
      </w:r>
      <w:r>
        <w:rPr>
          <w:rFonts w:ascii="Times New Roman" w:cs="Times New Roman" w:eastAsia="Times New Roman" w:hAnsi="Times New Roman"/>
          <w:sz w:val="22"/>
          <w:szCs w:val="22"/>
          <w:color w:val="auto"/>
        </w:rPr>
        <w:t xml:space="preserve"> The Shares issued pursuant to this Agreement shall be subject to adjustment upon changes in capitalization pursuant to the provisions of Section 14 of the Plan.</w:t>
      </w:r>
    </w:p>
    <w:p>
      <w:pPr>
        <w:spacing w:after="0" w:line="15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719"/>
        <w:spacing w:after="0" w:line="244" w:lineRule="auto"/>
        <w:tabs>
          <w:tab w:leader="none" w:pos="114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signature page hereto and these Incorporated Terms and Conditions, constitutes the entire agreement between the parties with respect to the subject matter hereof, and supersedes all prior agreements, negotiations, representations and proposals, written or oral, relating to such subject matter.</w:t>
      </w:r>
    </w:p>
    <w:p>
      <w:pPr>
        <w:spacing w:after="0" w:line="173" w:lineRule="exact"/>
        <w:rPr>
          <w:rFonts w:ascii="Times New Roman" w:cs="Times New Roman" w:eastAsia="Times New Roman" w:hAnsi="Times New Roman"/>
          <w:sz w:val="22"/>
          <w:szCs w:val="22"/>
          <w:color w:val="auto"/>
        </w:rPr>
      </w:pPr>
    </w:p>
    <w:p>
      <w:pPr>
        <w:ind w:right="880" w:firstLine="719"/>
        <w:spacing w:after="0" w:line="258" w:lineRule="auto"/>
        <w:tabs>
          <w:tab w:leader="none" w:pos="114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Neither this Agreement nor any provision hereof may be changed or modified except by an agreement in writing executed by the Purchaser and on behalf of the Company.</w:t>
      </w:r>
    </w:p>
    <w:p>
      <w:pPr>
        <w:spacing w:after="0" w:line="158" w:lineRule="exact"/>
        <w:rPr>
          <w:rFonts w:ascii="Times New Roman" w:cs="Times New Roman" w:eastAsia="Times New Roman" w:hAnsi="Times New Roman"/>
          <w:sz w:val="22"/>
          <w:szCs w:val="22"/>
          <w:color w:val="auto"/>
        </w:rPr>
      </w:pPr>
    </w:p>
    <w:p>
      <w:pPr>
        <w:ind w:right="80" w:firstLine="719"/>
        <w:spacing w:after="0" w:line="282" w:lineRule="auto"/>
        <w:tabs>
          <w:tab w:leader="none" w:pos="1143"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 of the Agreement</w:t>
      </w:r>
      <w:r>
        <w:rPr>
          <w:rFonts w:ascii="Times New Roman" w:cs="Times New Roman" w:eastAsia="Times New Roman" w:hAnsi="Times New Roman"/>
          <w:sz w:val="21"/>
          <w:szCs w:val="21"/>
          <w:color w:val="auto"/>
        </w:rPr>
        <w:t>. This Agreement shall inure to the benefit of, and be binding upon, the Company, the Purchaser and their respective estates, heirs, executors, transferees, successors, assigns and legal representatives.</w:t>
      </w:r>
    </w:p>
    <w:p>
      <w:pPr>
        <w:spacing w:after="0" w:line="134" w:lineRule="exact"/>
        <w:rPr>
          <w:rFonts w:ascii="Times New Roman" w:cs="Times New Roman" w:eastAsia="Times New Roman" w:hAnsi="Times New Roman"/>
          <w:sz w:val="21"/>
          <w:szCs w:val="21"/>
          <w:color w:val="auto"/>
        </w:rPr>
      </w:pPr>
    </w:p>
    <w:p>
      <w:pPr>
        <w:ind w:right="80" w:firstLine="719"/>
        <w:spacing w:after="0" w:line="236" w:lineRule="auto"/>
        <w:tabs>
          <w:tab w:leader="none" w:pos="114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to any party under this Agreement shall be contained in a written instrument addressed to such party at the address set forth below or such other address as may hereafter be designated in writing by the addressee to the addressor and shall be deemed given (i) when delivered in person or duly sent by e-mail or fax, with confirmation of receipt, (ii) three days after being duly sent by first class mail postage prepaid (other than in the case of notices to or from any non-U.S. resident, which notices must be sent in the manner specified in clause (i) or (iii)), or (iii) two days after being duly sent by UPS, Federal Express or other recognized express international courier service:</w:t>
      </w:r>
    </w:p>
    <w:p>
      <w:pPr>
        <w:spacing w:after="0" w:line="181" w:lineRule="exact"/>
        <w:rPr>
          <w:rFonts w:ascii="Times New Roman" w:cs="Times New Roman" w:eastAsia="Times New Roman" w:hAnsi="Times New Roman"/>
          <w:sz w:val="22"/>
          <w:szCs w:val="22"/>
          <w:color w:val="auto"/>
        </w:rPr>
      </w:pPr>
    </w:p>
    <w:p>
      <w:pPr>
        <w:ind w:left="1920" w:hanging="430"/>
        <w:spacing w:after="0"/>
        <w:tabs>
          <w:tab w:leader="none" w:pos="1920"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Purchaser, to the Address or E-Mail Address of Purchaser set forth on the signature page hereto;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(ii)  if to the Company, to:</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Seer, Inc.</w:t>
      </w:r>
    </w:p>
    <w:p>
      <w:pPr>
        <w:spacing w:after="0" w:line="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c/o Wilson Sonsini Goodrich &amp; Rosati</w:t>
      </w:r>
    </w:p>
    <w:p>
      <w:pPr>
        <w:ind w:left="2980"/>
        <w:spacing w:after="0" w:line="230" w:lineRule="auto"/>
        <w:rPr>
          <w:sz w:val="20"/>
          <w:szCs w:val="20"/>
          <w:color w:val="auto"/>
        </w:rPr>
      </w:pPr>
      <w:r>
        <w:rPr>
          <w:rFonts w:ascii="Times New Roman" w:cs="Times New Roman" w:eastAsia="Times New Roman" w:hAnsi="Times New Roman"/>
          <w:sz w:val="22"/>
          <w:szCs w:val="22"/>
          <w:color w:val="auto"/>
        </w:rPr>
        <w:t>650 Page Mill Road</w:t>
      </w:r>
    </w:p>
    <w:p>
      <w:pPr>
        <w:ind w:left="2980"/>
        <w:spacing w:after="0" w:line="231" w:lineRule="auto"/>
        <w:rPr>
          <w:sz w:val="20"/>
          <w:szCs w:val="20"/>
          <w:color w:val="auto"/>
        </w:rPr>
      </w:pPr>
      <w:r>
        <w:rPr>
          <w:rFonts w:ascii="Times New Roman" w:cs="Times New Roman" w:eastAsia="Times New Roman" w:hAnsi="Times New Roman"/>
          <w:sz w:val="22"/>
          <w:szCs w:val="22"/>
          <w:color w:val="auto"/>
        </w:rPr>
        <w:t>Palo Alto, CA 94304</w:t>
      </w:r>
    </w:p>
    <w:p>
      <w:pPr>
        <w:ind w:left="2980"/>
        <w:spacing w:after="0"/>
        <w:rPr>
          <w:sz w:val="20"/>
          <w:szCs w:val="20"/>
          <w:color w:val="auto"/>
        </w:rPr>
      </w:pPr>
      <w:r>
        <w:rPr>
          <w:rFonts w:ascii="Times New Roman" w:cs="Times New Roman" w:eastAsia="Times New Roman" w:hAnsi="Times New Roman"/>
          <w:sz w:val="22"/>
          <w:szCs w:val="22"/>
          <w:color w:val="auto"/>
        </w:rPr>
        <w:t>Attention: Tony Jeffries</w:t>
      </w:r>
    </w:p>
    <w:p>
      <w:pPr>
        <w:spacing w:after="0" w:line="182" w:lineRule="exact"/>
        <w:rPr>
          <w:sz w:val="20"/>
          <w:szCs w:val="20"/>
          <w:color w:val="auto"/>
        </w:rPr>
      </w:pPr>
    </w:p>
    <w:p>
      <w:pPr>
        <w:ind w:firstLine="838"/>
        <w:spacing w:after="0" w:line="239" w:lineRule="auto"/>
        <w:tabs>
          <w:tab w:leader="none" w:pos="126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Electronic Notices</w:t>
      </w:r>
      <w:r>
        <w:rPr>
          <w:rFonts w:ascii="Times New Roman" w:cs="Times New Roman" w:eastAsia="Times New Roman" w:hAnsi="Times New Roman"/>
          <w:sz w:val="22"/>
          <w:szCs w:val="22"/>
          <w:color w:val="auto"/>
        </w:rPr>
        <w:t>. The Purchaser hereby agrees and consents that the Company may provide the Purchaser, at the Company’s option, all notices which are required to be delivered, whether under this Agreement, pursuant to the General Corporation Law of the State of Delaware or other applicable law or regulation, or otherwise, in electronic form to the E-Mail Address set forth on the signature page of this Agreement.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85" w:lineRule="exact"/>
        <w:rPr>
          <w:sz w:val="20"/>
          <w:szCs w:val="20"/>
          <w:color w:val="auto"/>
        </w:rPr>
      </w:pPr>
    </w:p>
    <w:p>
      <w:pPr>
        <w:ind w:right="200" w:firstLine="779"/>
        <w:spacing w:after="0" w:line="244" w:lineRule="auto"/>
        <w:tabs>
          <w:tab w:leader="none" w:pos="120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 with Company</w:t>
      </w:r>
      <w:r>
        <w:rPr>
          <w:rFonts w:ascii="Times New Roman" w:cs="Times New Roman" w:eastAsia="Times New Roman" w:hAnsi="Times New Roman"/>
          <w:sz w:val="22"/>
          <w:szCs w:val="22"/>
          <w:color w:val="auto"/>
        </w:rPr>
        <w:t>. The Company is not by reason of this Agreement or the issuance of any Shares obligated to continue the Purchaser’s relationship with the Company as an employee, consultant, advisor, officer, director, or in any other capacity (other than as a stockholder).</w:t>
      </w:r>
    </w:p>
    <w:p>
      <w:pPr>
        <w:spacing w:after="0" w:line="167" w:lineRule="exact"/>
        <w:rPr>
          <w:rFonts w:ascii="Times New Roman" w:cs="Times New Roman" w:eastAsia="Times New Roman" w:hAnsi="Times New Roman"/>
          <w:sz w:val="22"/>
          <w:szCs w:val="22"/>
          <w:color w:val="auto"/>
        </w:rPr>
      </w:pPr>
    </w:p>
    <w:p>
      <w:pPr>
        <w:ind w:right="300" w:firstLine="779"/>
        <w:spacing w:after="0" w:line="237" w:lineRule="auto"/>
        <w:tabs>
          <w:tab w:leader="none" w:pos="1203"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Section 83(b) Election</w:t>
      </w:r>
      <w:r>
        <w:rPr>
          <w:rFonts w:ascii="Times New Roman" w:cs="Times New Roman" w:eastAsia="Times New Roman" w:hAnsi="Times New Roman"/>
          <w:sz w:val="22"/>
          <w:szCs w:val="22"/>
          <w:b w:val="1"/>
          <w:bCs w:val="1"/>
          <w:i w:val="1"/>
          <w:iCs w:val="1"/>
          <w:color w:val="auto"/>
        </w:rPr>
        <w:t xml:space="preserve">. The Purchaser understands that it shall be his or her decision whether to make an election under Section 83(b) of the Internal Revenue Code of 1986, as amended (an “83(b) Election”) with respect to the Shares, and that if he or she chooses to make such election, it must be made </w:t>
      </w:r>
      <w:r>
        <w:rPr>
          <w:rFonts w:ascii="Times New Roman" w:cs="Times New Roman" w:eastAsia="Times New Roman" w:hAnsi="Times New Roman"/>
          <w:sz w:val="22"/>
          <w:szCs w:val="22"/>
          <w:b w:val="1"/>
          <w:bCs w:val="1"/>
          <w:i w:val="1"/>
          <w:iCs w:val="1"/>
          <w:u w:val="single" w:color="auto"/>
          <w:color w:val="auto"/>
        </w:rPr>
        <w:t>within 30 days</w:t>
      </w:r>
      <w:r>
        <w:rPr>
          <w:rFonts w:ascii="Times New Roman" w:cs="Times New Roman" w:eastAsia="Times New Roman" w:hAnsi="Times New Roman"/>
          <w:sz w:val="22"/>
          <w:szCs w:val="22"/>
          <w:b w:val="1"/>
          <w:bCs w:val="1"/>
          <w:i w:val="1"/>
          <w:iCs w:val="1"/>
          <w:color w:val="auto"/>
        </w:rPr>
        <w:t xml:space="preserve"> of the date of execution of this Agreement, and a copy of such election provided to the Company. The Purchaser represents that he or she understands the tax consequences of filing or not filing an 83(b) Election, and understands that such filing is solely the Purchaser’s responsibility.</w:t>
      </w:r>
    </w:p>
    <w:p>
      <w:pPr>
        <w:spacing w:after="0" w:line="181" w:lineRule="exact"/>
        <w:rPr>
          <w:sz w:val="20"/>
          <w:szCs w:val="20"/>
          <w:color w:val="auto"/>
        </w:rPr>
      </w:pPr>
    </w:p>
    <w:p>
      <w:pPr>
        <w:ind w:firstLine="771"/>
        <w:spacing w:after="0" w:line="236" w:lineRule="auto"/>
        <w:rPr>
          <w:sz w:val="20"/>
          <w:szCs w:val="20"/>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Purchaser acknowledges that money damages alone will not adequately compensate the Company for breach of any of the Purchaser's covenants and agreements herein and, therefore, agrees that in the event of the breach or threatened breach of any such covenant or agreement, in addition to all other remedies available to the Company, at law, in equity or otherwise, the Company shall be entitled to injunctive relief compelling specific performance of, or other compliance with, the terms hereof. The rights and remedies of the Company hereunder shall be cumulative and in addition to all other rights and remedies the Company may have, at law, in equity, by contract or otherwise.</w:t>
      </w:r>
    </w:p>
    <w:p>
      <w:pPr>
        <w:spacing w:after="0" w:line="181" w:lineRule="exact"/>
        <w:rPr>
          <w:sz w:val="20"/>
          <w:szCs w:val="20"/>
          <w:color w:val="auto"/>
        </w:rPr>
      </w:pPr>
    </w:p>
    <w:p>
      <w:pPr>
        <w:ind w:right="200" w:firstLine="779"/>
        <w:spacing w:after="0" w:line="236" w:lineRule="auto"/>
        <w:tabs>
          <w:tab w:leader="none" w:pos="120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Liability</w:t>
      </w:r>
      <w:r>
        <w:rPr>
          <w:rFonts w:ascii="Times New Roman" w:cs="Times New Roman" w:eastAsia="Times New Roman" w:hAnsi="Times New Roman"/>
          <w:sz w:val="22"/>
          <w:szCs w:val="22"/>
          <w:color w:val="auto"/>
        </w:rPr>
        <w:t>. In performing its duties under this Agreement, the Company shall be entitled to rely upon any statement, notice, or other writing which it shall in good faith believe to be genuine and to be signed or presented by a proper party or parties or on other evidence or information deemed by the Purchaser to be reliable. In no event shall the Company be liable for any action taken or omitted in good faith. The Company may consult with its counsel or counsel of any of the other parties hereto and, without limiting the generality of the preceding sentence, shall not be held liable for any action taken or omitted in good faith on advice of such counsel.</w:t>
      </w:r>
    </w:p>
    <w:p>
      <w:pPr>
        <w:spacing w:after="0" w:line="181" w:lineRule="exact"/>
        <w:rPr>
          <w:rFonts w:ascii="Times New Roman" w:cs="Times New Roman" w:eastAsia="Times New Roman" w:hAnsi="Times New Roman"/>
          <w:sz w:val="22"/>
          <w:szCs w:val="22"/>
          <w:color w:val="auto"/>
        </w:rPr>
      </w:pPr>
    </w:p>
    <w:p>
      <w:pPr>
        <w:ind w:right="80" w:firstLine="779"/>
        <w:spacing w:after="0" w:line="238" w:lineRule="auto"/>
        <w:tabs>
          <w:tab w:leader="none" w:pos="120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Awaiting Final Settlement</w:t>
      </w:r>
      <w:r>
        <w:rPr>
          <w:rFonts w:ascii="Times New Roman" w:cs="Times New Roman" w:eastAsia="Times New Roman" w:hAnsi="Times New Roman"/>
          <w:sz w:val="22"/>
          <w:szCs w:val="22"/>
          <w:color w:val="auto"/>
        </w:rPr>
        <w:t>. If any controversy arises between the parties hereto or with any third person with respect to the Shares, this Agreement or its subject matter, the Company shall not be required to take any actions in the premises, but may await the settlement of any such controversy by final appropriate legal proceedings or otherwise as it may require, notwithstanding anything in this Agreement to the contrary, and, in such event, the Company shall not be liable for interest or damages.</w:t>
      </w:r>
    </w:p>
    <w:p>
      <w:pPr>
        <w:spacing w:after="0" w:line="176" w:lineRule="exact"/>
        <w:rPr>
          <w:rFonts w:ascii="Times New Roman" w:cs="Times New Roman" w:eastAsia="Times New Roman" w:hAnsi="Times New Roman"/>
          <w:sz w:val="22"/>
          <w:szCs w:val="22"/>
          <w:color w:val="auto"/>
        </w:rPr>
      </w:pPr>
    </w:p>
    <w:p>
      <w:pPr>
        <w:jc w:val="both"/>
        <w:ind w:right="80" w:firstLine="779"/>
        <w:spacing w:after="0" w:line="239" w:lineRule="auto"/>
        <w:tabs>
          <w:tab w:leader="none" w:pos="120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headings and subheadings of this Agreement have been inserted for convenience only, and shall not affect the construction of the provisions hereof. All references to sections of this Agreement shall be deemed to refer as well to all subsections which form a part of such section. The words “include,” “includes” and “including” when used herein shall be deemed in each case to be followed by the words “without limitation.”</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ind w:left="740" w:hanging="3"/>
        <w:spacing w:after="0" w:line="238" w:lineRule="auto"/>
        <w:tabs>
          <w:tab w:leader="none" w:pos="117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contained herein shall, for any reason, be held to be invalid, illegal, or unenforceable in any respect, such invalidity, illegality, or unenforceability shall not affect any other provisions of this Agreement and all other provisions shall remain in full force and effect. If any provision of this Agreement is held to be excessively broad, it shall be reformed and construed by limiting and reducing it so as to be enforceable to the maximum extent permitted by law.</w:t>
      </w:r>
    </w:p>
    <w:p>
      <w:pPr>
        <w:spacing w:after="0" w:line="176" w:lineRule="exact"/>
        <w:rPr>
          <w:rFonts w:ascii="Times New Roman" w:cs="Times New Roman" w:eastAsia="Times New Roman" w:hAnsi="Times New Roman"/>
          <w:sz w:val="22"/>
          <w:szCs w:val="22"/>
          <w:color w:val="auto"/>
        </w:rPr>
      </w:pPr>
    </w:p>
    <w:p>
      <w:pPr>
        <w:ind w:left="-20" w:right="100" w:firstLine="779"/>
        <w:spacing w:after="0" w:line="244" w:lineRule="auto"/>
        <w:tabs>
          <w:tab w:leader="none" w:pos="118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modification, renewal, extension, waiver or termination of this Agreement or any of the provisions herein contained shall be binding upon the Company unless made in writing and signed by a duly authorized officer of the Company.</w:t>
      </w:r>
    </w:p>
    <w:p>
      <w:pPr>
        <w:spacing w:after="0" w:line="173" w:lineRule="exact"/>
        <w:rPr>
          <w:rFonts w:ascii="Times New Roman" w:cs="Times New Roman" w:eastAsia="Times New Roman" w:hAnsi="Times New Roman"/>
          <w:sz w:val="22"/>
          <w:szCs w:val="22"/>
          <w:color w:val="auto"/>
        </w:rPr>
      </w:pPr>
    </w:p>
    <w:p>
      <w:pPr>
        <w:ind w:left="-20" w:right="240" w:firstLine="779"/>
        <w:spacing w:after="0" w:line="258" w:lineRule="auto"/>
        <w:tabs>
          <w:tab w:leader="none" w:pos="118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parties agree to execute such further instruments and to take such further actions as may reasonably be necessary to carry out the intent of this Agreement.</w:t>
      </w:r>
    </w:p>
    <w:p>
      <w:pPr>
        <w:spacing w:after="0" w:line="158" w:lineRule="exact"/>
        <w:rPr>
          <w:rFonts w:ascii="Times New Roman" w:cs="Times New Roman" w:eastAsia="Times New Roman" w:hAnsi="Times New Roman"/>
          <w:sz w:val="22"/>
          <w:szCs w:val="22"/>
          <w:color w:val="auto"/>
        </w:rPr>
      </w:pPr>
    </w:p>
    <w:p>
      <w:pPr>
        <w:ind w:left="-20" w:right="80" w:firstLine="779"/>
        <w:spacing w:after="0" w:line="238" w:lineRule="auto"/>
        <w:tabs>
          <w:tab w:leader="none" w:pos="118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such counterpart shall be deemed to be an original instrument, and all of which together shall for all purposes constitute one Agreement, binding on each of the parties hereto notwithstanding that each such party shall not have signed the same counterpart. A signature of any party to this Agreement transmitted by facsimile, electronic mail (including pdf) or other electronic means shall be deemed to have been duly and validly delivered and be valid and effective for all purposes.</w:t>
      </w:r>
    </w:p>
    <w:p>
      <w:pPr>
        <w:spacing w:after="0" w:line="176" w:lineRule="exact"/>
        <w:rPr>
          <w:rFonts w:ascii="Times New Roman" w:cs="Times New Roman" w:eastAsia="Times New Roman" w:hAnsi="Times New Roman"/>
          <w:sz w:val="22"/>
          <w:szCs w:val="22"/>
          <w:color w:val="auto"/>
        </w:rPr>
      </w:pPr>
    </w:p>
    <w:p>
      <w:pPr>
        <w:ind w:left="-20" w:right="100" w:firstLine="779"/>
        <w:spacing w:after="0" w:line="249" w:lineRule="auto"/>
        <w:tabs>
          <w:tab w:leader="none" w:pos="1183"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This Agreement shall be construed and enforced in accordance with the laws of The State of Delaware, without regard to its principles of conflicts of laws. All litigation arising from or relating to this Agreement shall be filed and prosecuted before any court of competent subject matter jurisdiction located in The State of Delaware. The Purchaser consents to service of process in any such action by certified or registered mail, return receipt requested. The Purchaser consents to the jurisdiction of such courts over the Purchaser, stipulates to the convenience, efficiency and fairness of proceeding in such courts, and covenants not to allege or assert the inconvenience, inefficiency or unfairness of proceeding in such courts.</w:t>
      </w:r>
    </w:p>
    <w:p>
      <w:pPr>
        <w:spacing w:after="0" w:line="252" w:lineRule="exact"/>
        <w:rPr>
          <w:sz w:val="20"/>
          <w:szCs w:val="20"/>
          <w:color w:val="auto"/>
        </w:rPr>
      </w:pPr>
    </w:p>
    <w:p>
      <w:pPr>
        <w:ind w:left="-20" w:right="320" w:firstLine="757"/>
        <w:spacing w:after="0" w:line="261" w:lineRule="auto"/>
        <w:tabs>
          <w:tab w:leader="none" w:pos="116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Disposition of Shares; Purchase by Nominee or Designee</w:t>
      </w:r>
      <w:r>
        <w:rPr>
          <w:rFonts w:ascii="Times New Roman" w:cs="Times New Roman" w:eastAsia="Times New Roman" w:hAnsi="Times New Roman"/>
          <w:sz w:val="21"/>
          <w:szCs w:val="21"/>
          <w:color w:val="auto"/>
        </w:rPr>
        <w:t>. Any Shares that the Company elects to purchase hereunder may be disposed of by it in such manner as it deems appropriate with or without restrictions on the transfer thereof, and the Company may require their transfer to a nominee or designee as part of any purchase of Shares from the Purchaser.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195" w:name="page196"/>
    <w:bookmarkEnd w:id="195"/>
    <w:p>
      <w:pPr>
        <w:ind w:left="-20" w:firstLine="757"/>
        <w:spacing w:after="0" w:line="234" w:lineRule="auto"/>
        <w:tabs>
          <w:tab w:leader="none" w:pos="116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xml:space="preserve">. The Purchaser agrees that the Purchaser shall be fully liable for any income and employment taxes owed by the Purchaser with regard to issuance of the Shares, whether owed at the time of transfer pursuant to the Purchaser having made an 83(b) Election, or at the time that the Shares vest pursuant to the vesting schedule set forth above. The Purchaser acknowledges and agrees that the Company has the right to deduct from payments of any kind otherwise due to the Purchaser any federal, state or local taxes of any kind required by law to be withheld with respect to the purchase of the Shares by the Purchaser. The Purchaser further agrees that, if the Company does not withhold an amount sufficient to satisfy the withholding obligation of the Company with respect to the issuance of the Shares, the Purchaser will make reimbursement on demand, in cash, for the amount underwithheld,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has provided the Purchaser with written detail concerning the basis for and amount of the withholding obligation of the Company.</w:t>
      </w:r>
    </w:p>
    <w:p>
      <w:pPr>
        <w:spacing w:after="0" w:line="179" w:lineRule="exact"/>
        <w:rPr>
          <w:rFonts w:ascii="Times New Roman" w:cs="Times New Roman" w:eastAsia="Times New Roman" w:hAnsi="Times New Roman"/>
          <w:sz w:val="22"/>
          <w:szCs w:val="22"/>
          <w:color w:val="auto"/>
        </w:rPr>
      </w:pPr>
    </w:p>
    <w:p>
      <w:pPr>
        <w:ind w:left="5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STOCK POWER</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VALUE RECEIVED, ____________, hereby sells, assigns and transfers to Seer, Inc., a Delaware corporation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 total of ___________ shares of Class A Common Stock of the Company standing in the name of the stockholder</w:t>
      </w:r>
    </w:p>
    <w:p>
      <w:pPr>
        <w:spacing w:after="0" w:line="2"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named above on the books of the Company represented by stock certificate number ___ to be delivered herewith, and does hereby irrevocably constitute and appoint Wilson Sonsini Goodrich &amp; Rosati as attorney to transfer said shares on the books of the Company with full power of substitution in the premises.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0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(as most recently amended and restated effective as of</w:t>
      </w:r>
    </w:p>
    <w:p>
      <w:pPr>
        <w:spacing w:after="0" w:line="1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February 26, 2025 (the “Restatement Date”))</w:t>
      </w:r>
    </w:p>
    <w:p>
      <w:pPr>
        <w:spacing w:after="0" w:line="39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Seer,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believes that the granting of equity and cash compensation to members of the Company’s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members of the Board, “</w:t>
      </w:r>
      <w:r>
        <w:rPr>
          <w:rFonts w:ascii="Times New Roman" w:cs="Times New Roman" w:eastAsia="Times New Roman" w:hAnsi="Times New Roman"/>
          <w:sz w:val="21"/>
          <w:szCs w:val="21"/>
          <w:b w:val="1"/>
          <w:bCs w:val="1"/>
          <w:color w:val="auto"/>
        </w:rPr>
        <w:t>Directors</w:t>
      </w:r>
      <w:r>
        <w:rPr>
          <w:rFonts w:ascii="Times New Roman" w:cs="Times New Roman" w:eastAsia="Times New Roman" w:hAnsi="Times New Roman"/>
          <w:sz w:val="21"/>
          <w:szCs w:val="21"/>
          <w:color w:val="auto"/>
        </w:rPr>
        <w:t>”) represents an effective tool to attract, retain and reward Directors who are not employees of the Company (“</w:t>
      </w:r>
      <w:r>
        <w:rPr>
          <w:rFonts w:ascii="Times New Roman" w:cs="Times New Roman" w:eastAsia="Times New Roman" w:hAnsi="Times New Roman"/>
          <w:sz w:val="21"/>
          <w:szCs w:val="21"/>
          <w:b w:val="1"/>
          <w:bCs w:val="1"/>
          <w:color w:val="auto"/>
        </w:rPr>
        <w:t>Outside Directors</w:t>
      </w:r>
      <w:r>
        <w:rPr>
          <w:rFonts w:ascii="Times New Roman" w:cs="Times New Roman" w:eastAsia="Times New Roman" w:hAnsi="Times New Roman"/>
          <w:sz w:val="21"/>
          <w:szCs w:val="21"/>
          <w:color w:val="auto"/>
        </w:rPr>
        <w:t>”). This Outside Director Compensation Policy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66" w:lineRule="exact"/>
        <w:rPr>
          <w:sz w:val="20"/>
          <w:szCs w:val="20"/>
          <w:color w:val="auto"/>
        </w:rPr>
      </w:pPr>
    </w:p>
    <w:p>
      <w:pPr>
        <w:jc w:val="both"/>
        <w:ind w:firstLine="757"/>
        <w:spacing w:after="0" w:line="252" w:lineRule="auto"/>
        <w:tabs>
          <w:tab w:leader="none" w:pos="1181"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This Policy, as initially adopted and prior to any subsequent amendments and restatements, became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 w:cs="Times New Roman" w:eastAsia="Times New Roman" w:hAnsi="Times New Roman"/>
          <w:sz w:val="21"/>
          <w:szCs w:val="21"/>
          <w:b w:val="1"/>
          <w:bCs w:val="1"/>
          <w:color w:val="auto"/>
        </w:rPr>
        <w:t>Registration Date</w:t>
      </w:r>
      <w:r>
        <w:rPr>
          <w:rFonts w:ascii="Times New Roman" w:cs="Times New Roman" w:eastAsia="Times New Roman" w:hAnsi="Times New Roman"/>
          <w:sz w:val="21"/>
          <w:szCs w:val="21"/>
          <w:color w:val="auto"/>
        </w:rPr>
        <w:t>,” and the effective date of this Policy,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This Policy, as most recently amended and restated, is effective as of the Restatement Date.</w:t>
      </w:r>
    </w:p>
    <w:p>
      <w:pPr>
        <w:spacing w:after="0" w:line="163"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Board Member Annual Cash Retainer</w:t>
      </w:r>
      <w:r>
        <w:rPr>
          <w:rFonts w:ascii="Times New Roman" w:cs="Times New Roman" w:eastAsia="Times New Roman" w:hAnsi="Times New Roman"/>
          <w:sz w:val="22"/>
          <w:szCs w:val="22"/>
          <w:color w:val="auto"/>
        </w:rPr>
        <w:t>. Each Outside Director will be paid an annual cash retainer of $42,500. There are no per meeting attendance fees for attending Board meetings or meetings of any committee of the Board.</w:t>
      </w:r>
    </w:p>
    <w:p>
      <w:pPr>
        <w:spacing w:after="0" w:line="150"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Additional Annual Cash Retainers</w:t>
      </w:r>
      <w:r>
        <w:rPr>
          <w:rFonts w:ascii="Times New Roman" w:cs="Times New Roman" w:eastAsia="Times New Roman" w:hAnsi="Times New Roman"/>
          <w:sz w:val="22"/>
          <w:szCs w:val="22"/>
          <w:color w:val="auto"/>
        </w:rPr>
        <w:t>. Each Outside Director who serves as the Lead Independent Director, or the chair or a member of a committee of the Board, will be eligible to earn additional annual fees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 w:type="dxa"/>
            <w:vAlign w:val="bottom"/>
          </w:tcPr>
          <w:p>
            <w:pPr>
              <w:spacing w:after="0"/>
              <w:rPr>
                <w:sz w:val="24"/>
                <w:szCs w:val="24"/>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Lead Independent Director:</w:t>
            </w:r>
          </w:p>
        </w:tc>
        <w:tc>
          <w:tcPr>
            <w:tcW w:w="46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$25,000</w:t>
            </w:r>
          </w:p>
        </w:tc>
        <w:tc>
          <w:tcPr>
            <w:tcW w:w="100" w:type="dxa"/>
            <w:vAlign w:val="bottom"/>
          </w:tcPr>
          <w:p>
            <w:pPr>
              <w:spacing w:after="0"/>
              <w:rPr>
                <w:sz w:val="24"/>
                <w:szCs w:val="24"/>
                <w:color w:val="auto"/>
              </w:rPr>
            </w:pPr>
          </w:p>
        </w:tc>
      </w:tr>
      <w:tr>
        <w:trPr>
          <w:trHeight w:val="123"/>
        </w:trPr>
        <w:tc>
          <w:tcPr>
            <w:tcW w:w="4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82"/>
        </w:trPr>
        <w:tc>
          <w:tcPr>
            <w:tcW w:w="40" w:type="dxa"/>
            <w:vAlign w:val="bottom"/>
          </w:tcPr>
          <w:p>
            <w:pPr>
              <w:spacing w:after="0"/>
              <w:rPr>
                <w:sz w:val="24"/>
                <w:szCs w:val="24"/>
                <w:color w:val="auto"/>
              </w:rPr>
            </w:pPr>
          </w:p>
        </w:tc>
        <w:tc>
          <w:tcPr>
            <w:tcW w:w="64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2"/>
                <w:szCs w:val="22"/>
                <w:color w:val="auto"/>
              </w:rPr>
              <w:t>Audit Committee Chair:</w:t>
            </w:r>
          </w:p>
        </w:tc>
        <w:tc>
          <w:tcPr>
            <w:tcW w:w="4640" w:type="dxa"/>
            <w:vAlign w:val="bottom"/>
            <w:shd w:val="clear" w:color="auto" w:fill="D9D9D9"/>
          </w:tcPr>
          <w:p>
            <w:pPr>
              <w:jc w:val="right"/>
              <w:ind w:right="1212"/>
              <w:spacing w:after="0"/>
              <w:rPr>
                <w:sz w:val="20"/>
                <w:szCs w:val="20"/>
                <w:color w:val="auto"/>
              </w:rPr>
            </w:pPr>
            <w:r>
              <w:rPr>
                <w:rFonts w:ascii="Times New Roman" w:cs="Times New Roman" w:eastAsia="Times New Roman" w:hAnsi="Times New Roman"/>
                <w:sz w:val="22"/>
                <w:szCs w:val="22"/>
                <w:color w:val="auto"/>
              </w:rPr>
              <w:t>$20,000</w:t>
            </w:r>
          </w:p>
        </w:tc>
        <w:tc>
          <w:tcPr>
            <w:tcW w:w="100" w:type="dxa"/>
            <w:vAlign w:val="bottom"/>
          </w:tcPr>
          <w:p>
            <w:pPr>
              <w:spacing w:after="0"/>
              <w:rPr>
                <w:sz w:val="24"/>
                <w:szCs w:val="24"/>
                <w:color w:val="auto"/>
              </w:rPr>
            </w:pPr>
          </w:p>
        </w:tc>
      </w:tr>
      <w:tr>
        <w:trPr>
          <w:trHeight w:val="123"/>
        </w:trPr>
        <w:tc>
          <w:tcPr>
            <w:tcW w:w="40" w:type="dxa"/>
            <w:vAlign w:val="bottom"/>
          </w:tcPr>
          <w:p>
            <w:pPr>
              <w:spacing w:after="0"/>
              <w:rPr>
                <w:sz w:val="10"/>
                <w:szCs w:val="10"/>
                <w:color w:val="auto"/>
              </w:rPr>
            </w:pPr>
          </w:p>
        </w:tc>
        <w:tc>
          <w:tcPr>
            <w:tcW w:w="6460" w:type="dxa"/>
            <w:vAlign w:val="bottom"/>
            <w:shd w:val="clear" w:color="auto" w:fill="D9D9D9"/>
          </w:tcPr>
          <w:p>
            <w:pPr>
              <w:spacing w:after="0"/>
              <w:rPr>
                <w:sz w:val="10"/>
                <w:szCs w:val="10"/>
                <w:color w:val="auto"/>
              </w:rPr>
            </w:pPr>
          </w:p>
        </w:tc>
        <w:tc>
          <w:tcPr>
            <w:tcW w:w="4640" w:type="dxa"/>
            <w:vAlign w:val="bottom"/>
            <w:shd w:val="clear" w:color="auto" w:fill="D9D9D9"/>
          </w:tcPr>
          <w:p>
            <w:pPr>
              <w:spacing w:after="0"/>
              <w:rPr>
                <w:sz w:val="10"/>
                <w:szCs w:val="10"/>
                <w:color w:val="auto"/>
              </w:rPr>
            </w:pPr>
          </w:p>
        </w:tc>
        <w:tc>
          <w:tcPr>
            <w:tcW w:w="100" w:type="dxa"/>
            <w:vAlign w:val="bottom"/>
          </w:tcPr>
          <w:p>
            <w:pPr>
              <w:spacing w:after="0"/>
              <w:rPr>
                <w:sz w:val="10"/>
                <w:szCs w:val="10"/>
                <w:color w:val="auto"/>
              </w:rPr>
            </w:pPr>
          </w:p>
        </w:tc>
      </w:tr>
      <w:tr>
        <w:trPr>
          <w:trHeight w:val="282"/>
        </w:trPr>
        <w:tc>
          <w:tcPr>
            <w:tcW w:w="40" w:type="dxa"/>
            <w:vAlign w:val="bottom"/>
          </w:tcPr>
          <w:p>
            <w:pPr>
              <w:spacing w:after="0"/>
              <w:rPr>
                <w:sz w:val="24"/>
                <w:szCs w:val="24"/>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Audit Committee Member:</w:t>
            </w:r>
          </w:p>
        </w:tc>
        <w:tc>
          <w:tcPr>
            <w:tcW w:w="46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$10,000</w:t>
            </w:r>
          </w:p>
        </w:tc>
        <w:tc>
          <w:tcPr>
            <w:tcW w:w="100" w:type="dxa"/>
            <w:vAlign w:val="bottom"/>
          </w:tcPr>
          <w:p>
            <w:pPr>
              <w:spacing w:after="0"/>
              <w:rPr>
                <w:sz w:val="24"/>
                <w:szCs w:val="24"/>
                <w:color w:val="auto"/>
              </w:rPr>
            </w:pPr>
          </w:p>
        </w:tc>
      </w:tr>
      <w:tr>
        <w:trPr>
          <w:trHeight w:val="123"/>
        </w:trPr>
        <w:tc>
          <w:tcPr>
            <w:tcW w:w="4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82"/>
        </w:trPr>
        <w:tc>
          <w:tcPr>
            <w:tcW w:w="40" w:type="dxa"/>
            <w:vAlign w:val="bottom"/>
          </w:tcPr>
          <w:p>
            <w:pPr>
              <w:spacing w:after="0"/>
              <w:rPr>
                <w:sz w:val="24"/>
                <w:szCs w:val="24"/>
                <w:color w:val="auto"/>
              </w:rPr>
            </w:pPr>
          </w:p>
        </w:tc>
        <w:tc>
          <w:tcPr>
            <w:tcW w:w="64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2"/>
                <w:szCs w:val="22"/>
                <w:color w:val="auto"/>
              </w:rPr>
              <w:t>Talent and Compensation Committee Chair:</w:t>
            </w:r>
          </w:p>
        </w:tc>
        <w:tc>
          <w:tcPr>
            <w:tcW w:w="4640" w:type="dxa"/>
            <w:vAlign w:val="bottom"/>
            <w:shd w:val="clear" w:color="auto" w:fill="D9D9D9"/>
          </w:tcPr>
          <w:p>
            <w:pPr>
              <w:jc w:val="right"/>
              <w:ind w:right="1212"/>
              <w:spacing w:after="0"/>
              <w:rPr>
                <w:sz w:val="20"/>
                <w:szCs w:val="20"/>
                <w:color w:val="auto"/>
              </w:rPr>
            </w:pPr>
            <w:r>
              <w:rPr>
                <w:rFonts w:ascii="Times New Roman" w:cs="Times New Roman" w:eastAsia="Times New Roman" w:hAnsi="Times New Roman"/>
                <w:sz w:val="22"/>
                <w:szCs w:val="22"/>
                <w:color w:val="auto"/>
              </w:rPr>
              <w:t>$15,000</w:t>
            </w:r>
          </w:p>
        </w:tc>
        <w:tc>
          <w:tcPr>
            <w:tcW w:w="100" w:type="dxa"/>
            <w:vAlign w:val="bottom"/>
          </w:tcPr>
          <w:p>
            <w:pPr>
              <w:spacing w:after="0"/>
              <w:rPr>
                <w:sz w:val="24"/>
                <w:szCs w:val="24"/>
                <w:color w:val="auto"/>
              </w:rPr>
            </w:pPr>
          </w:p>
        </w:tc>
      </w:tr>
      <w:tr>
        <w:trPr>
          <w:trHeight w:val="123"/>
        </w:trPr>
        <w:tc>
          <w:tcPr>
            <w:tcW w:w="40" w:type="dxa"/>
            <w:vAlign w:val="bottom"/>
          </w:tcPr>
          <w:p>
            <w:pPr>
              <w:spacing w:after="0"/>
              <w:rPr>
                <w:sz w:val="10"/>
                <w:szCs w:val="10"/>
                <w:color w:val="auto"/>
              </w:rPr>
            </w:pPr>
          </w:p>
        </w:tc>
        <w:tc>
          <w:tcPr>
            <w:tcW w:w="6460" w:type="dxa"/>
            <w:vAlign w:val="bottom"/>
            <w:shd w:val="clear" w:color="auto" w:fill="D9D9D9"/>
          </w:tcPr>
          <w:p>
            <w:pPr>
              <w:spacing w:after="0"/>
              <w:rPr>
                <w:sz w:val="10"/>
                <w:szCs w:val="10"/>
                <w:color w:val="auto"/>
              </w:rPr>
            </w:pPr>
          </w:p>
        </w:tc>
        <w:tc>
          <w:tcPr>
            <w:tcW w:w="4640" w:type="dxa"/>
            <w:vAlign w:val="bottom"/>
            <w:shd w:val="clear" w:color="auto" w:fill="D9D9D9"/>
          </w:tcPr>
          <w:p>
            <w:pPr>
              <w:spacing w:after="0"/>
              <w:rPr>
                <w:sz w:val="10"/>
                <w:szCs w:val="10"/>
                <w:color w:val="auto"/>
              </w:rPr>
            </w:pPr>
          </w:p>
        </w:tc>
        <w:tc>
          <w:tcPr>
            <w:tcW w:w="100" w:type="dxa"/>
            <w:vAlign w:val="bottom"/>
          </w:tcPr>
          <w:p>
            <w:pPr>
              <w:spacing w:after="0"/>
              <w:rPr>
                <w:sz w:val="10"/>
                <w:szCs w:val="10"/>
                <w:color w:val="auto"/>
              </w:rPr>
            </w:pPr>
          </w:p>
        </w:tc>
      </w:tr>
      <w:tr>
        <w:trPr>
          <w:trHeight w:val="1411"/>
        </w:trPr>
        <w:tc>
          <w:tcPr>
            <w:tcW w:w="4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tbl>
      <w:tblPr>
        <w:tblLayout w:type="fixed"/>
        <w:tblInd w:w="40" w:type="dxa"/>
        <w:tblCellMar>
          <w:top w:w="0" w:type="dxa"/>
          <w:left w:w="0" w:type="dxa"/>
          <w:bottom w:w="0" w:type="dxa"/>
          <w:right w:w="0" w:type="dxa"/>
        </w:tblCellMar>
      </w:tblPr>
      <w:tr>
        <w:trPr>
          <w:trHeight w:val="282"/>
        </w:trPr>
        <w:tc>
          <w:tcPr>
            <w:tcW w:w="7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Talent and Compensation Committee Member:</w:t>
            </w:r>
          </w:p>
        </w:tc>
        <w:tc>
          <w:tcPr>
            <w:tcW w:w="39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$7,500</w:t>
            </w:r>
          </w:p>
        </w:tc>
      </w:tr>
      <w:tr>
        <w:trPr>
          <w:trHeight w:val="123"/>
        </w:trPr>
        <w:tc>
          <w:tcPr>
            <w:tcW w:w="7180" w:type="dxa"/>
            <w:vAlign w:val="bottom"/>
          </w:tcPr>
          <w:p>
            <w:pPr>
              <w:spacing w:after="0"/>
              <w:rPr>
                <w:sz w:val="10"/>
                <w:szCs w:val="10"/>
                <w:color w:val="auto"/>
              </w:rPr>
            </w:pPr>
          </w:p>
        </w:tc>
        <w:tc>
          <w:tcPr>
            <w:tcW w:w="3920" w:type="dxa"/>
            <w:vAlign w:val="bottom"/>
          </w:tcPr>
          <w:p>
            <w:pPr>
              <w:spacing w:after="0"/>
              <w:rPr>
                <w:sz w:val="10"/>
                <w:szCs w:val="10"/>
                <w:color w:val="auto"/>
              </w:rPr>
            </w:pPr>
          </w:p>
        </w:tc>
      </w:tr>
      <w:tr>
        <w:trPr>
          <w:trHeight w:val="282"/>
        </w:trPr>
        <w:tc>
          <w:tcPr>
            <w:tcW w:w="71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2"/>
                <w:szCs w:val="22"/>
                <w:color w:val="auto"/>
              </w:rPr>
              <w:t>Corporate Governance and Nominating Committee Chair:</w:t>
            </w:r>
          </w:p>
        </w:tc>
        <w:tc>
          <w:tcPr>
            <w:tcW w:w="3920" w:type="dxa"/>
            <w:vAlign w:val="bottom"/>
            <w:shd w:val="clear" w:color="auto" w:fill="D9D9D9"/>
          </w:tcPr>
          <w:p>
            <w:pPr>
              <w:ind w:left="1900"/>
              <w:spacing w:after="0"/>
              <w:rPr>
                <w:sz w:val="20"/>
                <w:szCs w:val="20"/>
                <w:color w:val="auto"/>
              </w:rPr>
            </w:pPr>
            <w:r>
              <w:rPr>
                <w:rFonts w:ascii="Times New Roman" w:cs="Times New Roman" w:eastAsia="Times New Roman" w:hAnsi="Times New Roman"/>
                <w:sz w:val="22"/>
                <w:szCs w:val="22"/>
                <w:color w:val="auto"/>
              </w:rPr>
              <w:t>$10,000</w:t>
            </w:r>
          </w:p>
        </w:tc>
      </w:tr>
      <w:tr>
        <w:trPr>
          <w:trHeight w:val="123"/>
        </w:trPr>
        <w:tc>
          <w:tcPr>
            <w:tcW w:w="7180" w:type="dxa"/>
            <w:vAlign w:val="bottom"/>
            <w:shd w:val="clear" w:color="auto" w:fill="D9D9D9"/>
          </w:tcPr>
          <w:p>
            <w:pPr>
              <w:spacing w:after="0"/>
              <w:rPr>
                <w:sz w:val="10"/>
                <w:szCs w:val="10"/>
                <w:color w:val="auto"/>
              </w:rPr>
            </w:pPr>
          </w:p>
        </w:tc>
        <w:tc>
          <w:tcPr>
            <w:tcW w:w="3920" w:type="dxa"/>
            <w:vAlign w:val="bottom"/>
            <w:shd w:val="clear" w:color="auto" w:fill="D9D9D9"/>
          </w:tcPr>
          <w:p>
            <w:pPr>
              <w:spacing w:after="0"/>
              <w:rPr>
                <w:sz w:val="10"/>
                <w:szCs w:val="10"/>
                <w:color w:val="auto"/>
              </w:rPr>
            </w:pPr>
          </w:p>
        </w:tc>
      </w:tr>
      <w:tr>
        <w:trPr>
          <w:trHeight w:val="282"/>
        </w:trPr>
        <w:tc>
          <w:tcPr>
            <w:tcW w:w="7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Corporate Governance and Nominating Committee Member:</w:t>
            </w:r>
          </w:p>
        </w:tc>
        <w:tc>
          <w:tcPr>
            <w:tcW w:w="39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$5,000</w:t>
            </w:r>
          </w:p>
        </w:tc>
      </w:tr>
      <w:tr>
        <w:trPr>
          <w:trHeight w:val="123"/>
        </w:trPr>
        <w:tc>
          <w:tcPr>
            <w:tcW w:w="7180" w:type="dxa"/>
            <w:vAlign w:val="bottom"/>
          </w:tcPr>
          <w:p>
            <w:pPr>
              <w:spacing w:after="0"/>
              <w:rPr>
                <w:sz w:val="10"/>
                <w:szCs w:val="10"/>
                <w:color w:val="auto"/>
              </w:rPr>
            </w:pPr>
          </w:p>
        </w:tc>
        <w:tc>
          <w:tcPr>
            <w:tcW w:w="3920" w:type="dxa"/>
            <w:vAlign w:val="bottom"/>
          </w:tcPr>
          <w:p>
            <w:pPr>
              <w:spacing w:after="0"/>
              <w:rPr>
                <w:sz w:val="10"/>
                <w:szCs w:val="10"/>
                <w:color w:val="auto"/>
              </w:rPr>
            </w:pPr>
          </w:p>
        </w:tc>
      </w:tr>
      <w:tr>
        <w:trPr>
          <w:trHeight w:val="282"/>
        </w:trPr>
        <w:tc>
          <w:tcPr>
            <w:tcW w:w="71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2"/>
                <w:szCs w:val="22"/>
                <w:color w:val="auto"/>
              </w:rPr>
              <w:t>Science and Technology Committee Chair:</w:t>
            </w:r>
          </w:p>
        </w:tc>
        <w:tc>
          <w:tcPr>
            <w:tcW w:w="3920" w:type="dxa"/>
            <w:vAlign w:val="bottom"/>
            <w:shd w:val="clear" w:color="auto" w:fill="D9D9D9"/>
          </w:tcPr>
          <w:p>
            <w:pPr>
              <w:ind w:left="1880"/>
              <w:spacing w:after="0"/>
              <w:rPr>
                <w:sz w:val="20"/>
                <w:szCs w:val="20"/>
                <w:color w:val="auto"/>
              </w:rPr>
            </w:pPr>
            <w:r>
              <w:rPr>
                <w:rFonts w:ascii="Times New Roman" w:cs="Times New Roman" w:eastAsia="Times New Roman" w:hAnsi="Times New Roman"/>
                <w:sz w:val="22"/>
                <w:szCs w:val="22"/>
                <w:color w:val="auto"/>
              </w:rPr>
              <w:t>$10,000</w:t>
            </w:r>
          </w:p>
        </w:tc>
      </w:tr>
      <w:tr>
        <w:trPr>
          <w:trHeight w:val="123"/>
        </w:trPr>
        <w:tc>
          <w:tcPr>
            <w:tcW w:w="7180" w:type="dxa"/>
            <w:vAlign w:val="bottom"/>
            <w:shd w:val="clear" w:color="auto" w:fill="D9D9D9"/>
          </w:tcPr>
          <w:p>
            <w:pPr>
              <w:spacing w:after="0"/>
              <w:rPr>
                <w:sz w:val="10"/>
                <w:szCs w:val="10"/>
                <w:color w:val="auto"/>
              </w:rPr>
            </w:pPr>
          </w:p>
        </w:tc>
        <w:tc>
          <w:tcPr>
            <w:tcW w:w="3920" w:type="dxa"/>
            <w:vAlign w:val="bottom"/>
            <w:shd w:val="clear" w:color="auto" w:fill="D9D9D9"/>
          </w:tcPr>
          <w:p>
            <w:pPr>
              <w:spacing w:after="0"/>
              <w:rPr>
                <w:sz w:val="10"/>
                <w:szCs w:val="10"/>
                <w:color w:val="auto"/>
              </w:rPr>
            </w:pPr>
          </w:p>
        </w:tc>
      </w:tr>
      <w:tr>
        <w:trPr>
          <w:trHeight w:val="282"/>
        </w:trPr>
        <w:tc>
          <w:tcPr>
            <w:tcW w:w="7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Science and Technology Committee Member:</w:t>
            </w:r>
          </w:p>
        </w:tc>
        <w:tc>
          <w:tcPr>
            <w:tcW w:w="39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31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Lead Independent Director will receive the annual fee for services provided in such role as well as the annual fee as an Outside Director.</w:t>
      </w:r>
    </w:p>
    <w:p>
      <w:pPr>
        <w:spacing w:after="0" w:line="17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b w:val="1"/>
          <w:bCs w:val="1"/>
          <w:color w:val="auto"/>
        </w:rPr>
        <w:t>Payment Timing and Proration</w:t>
      </w:r>
      <w:r>
        <w:rPr>
          <w:rFonts w:ascii="Times New Roman" w:cs="Times New Roman" w:eastAsia="Times New Roman" w:hAnsi="Times New Roman"/>
          <w:sz w:val="21"/>
          <w:szCs w:val="21"/>
          <w:color w:val="auto"/>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cs="Times New Roman" w:eastAsia="Times New Roman" w:hAnsi="Times New Roman"/>
          <w:sz w:val="21"/>
          <w:szCs w:val="21"/>
          <w:b w:val="1"/>
          <w:bCs w:val="1"/>
          <w:color w:val="auto"/>
        </w:rPr>
        <w:t>Fiscal Quarter</w:t>
      </w:r>
      <w:r>
        <w:rPr>
          <w:rFonts w:ascii="Times New Roman" w:cs="Times New Roman" w:eastAsia="Times New Roman" w:hAnsi="Times New Roman"/>
          <w:sz w:val="21"/>
          <w:szCs w:val="21"/>
          <w:color w:val="auto"/>
        </w:rPr>
        <w:t>”), and such payment will be made no later than thirty (30) days following the end of such immediately preceding Fiscal Quarter. For clarity, an Outside Director who has served as an Outside Director, as a member of an applicable committee (or chair thereof), or as Lead Independent Director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w:t>
      </w:r>
    </w:p>
    <w:p>
      <w:pPr>
        <w:spacing w:after="0" w:line="170" w:lineRule="exact"/>
        <w:rPr>
          <w:sz w:val="20"/>
          <w:szCs w:val="20"/>
          <w:color w:val="auto"/>
        </w:rPr>
      </w:pPr>
    </w:p>
    <w:p>
      <w:pPr>
        <w:jc w:val="both"/>
        <w:ind w:right="20" w:firstLine="757"/>
        <w:spacing w:after="0" w:line="241" w:lineRule="auto"/>
        <w:tabs>
          <w:tab w:leader="none" w:pos="119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Compensation</w:t>
      </w:r>
      <w:r>
        <w:rPr>
          <w:rFonts w:ascii="Times New Roman" w:cs="Times New Roman" w:eastAsia="Times New Roman" w:hAnsi="Times New Roman"/>
          <w:sz w:val="22"/>
          <w:szCs w:val="22"/>
          <w:color w:val="auto"/>
        </w:rPr>
        <w:t>. Outside Directors will be eligible to receive all types of Awards (except Incentive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under the Plan, including discretionary Awards not covered under this Policy. All grants of Awards to Outside Directors pursuant to Sections 3.2 and 3.3 of this Policy will be automatic and nondiscretionary, except as otherwise provided herein, and will be made in accordance with the following provisions:</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Awards under this Policy or to determine the number of Shares to be covered by such Awards (except as provided in Sections 3.5.4 and 10 below).</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99" w:name="page200"/>
    <w:bookmarkEnd w:id="199"/>
    <w:p>
      <w:pPr>
        <w:spacing w:after="0" w:line="18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Initial Awards</w:t>
      </w:r>
      <w:r>
        <w:rPr>
          <w:rFonts w:ascii="Times New Roman" w:cs="Times New Roman" w:eastAsia="Times New Roman" w:hAnsi="Times New Roman"/>
          <w:sz w:val="22"/>
          <w:szCs w:val="22"/>
          <w:color w:val="auto"/>
        </w:rPr>
        <w:t>. Each individual who first becomes an Outside Director on or following the Restatement Date automatically will be granted an award of Options (an “</w:t>
      </w:r>
      <w:r>
        <w:rPr>
          <w:rFonts w:ascii="Times New Roman" w:cs="Times New Roman" w:eastAsia="Times New Roman" w:hAnsi="Times New Roman"/>
          <w:sz w:val="22"/>
          <w:szCs w:val="22"/>
          <w:b w:val="1"/>
          <w:bCs w:val="1"/>
          <w:color w:val="auto"/>
        </w:rPr>
        <w:t>Initial Option Award</w:t>
      </w:r>
      <w:r>
        <w:rPr>
          <w:rFonts w:ascii="Times New Roman" w:cs="Times New Roman" w:eastAsia="Times New Roman" w:hAnsi="Times New Roman"/>
          <w:sz w:val="22"/>
          <w:szCs w:val="22"/>
          <w:color w:val="auto"/>
        </w:rPr>
        <w:t>”) to purchase 61,000 Shares and an award of Restricted Stock Units covering 41,000 Shares (an “</w:t>
      </w:r>
      <w:r>
        <w:rPr>
          <w:rFonts w:ascii="Times New Roman" w:cs="Times New Roman" w:eastAsia="Times New Roman" w:hAnsi="Times New Roman"/>
          <w:sz w:val="22"/>
          <w:szCs w:val="22"/>
          <w:b w:val="1"/>
          <w:bCs w:val="1"/>
          <w:color w:val="auto"/>
        </w:rPr>
        <w:t>Initial RSU Award</w:t>
      </w:r>
      <w:r>
        <w:rPr>
          <w:rFonts w:ascii="Times New Roman" w:cs="Times New Roman" w:eastAsia="Times New Roman" w:hAnsi="Times New Roman"/>
          <w:sz w:val="22"/>
          <w:szCs w:val="22"/>
          <w:color w:val="auto"/>
        </w:rPr>
        <w:t>” and together with the Initial Option Award, the “</w:t>
      </w:r>
      <w:r>
        <w:rPr>
          <w:rFonts w:ascii="Times New Roman" w:cs="Times New Roman" w:eastAsia="Times New Roman" w:hAnsi="Times New Roman"/>
          <w:sz w:val="22"/>
          <w:szCs w:val="22"/>
          <w:b w:val="1"/>
          <w:b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Awards</w:t>
      </w:r>
      <w:r>
        <w:rPr>
          <w:rFonts w:ascii="Times New Roman" w:cs="Times New Roman" w:eastAsia="Times New Roman" w:hAnsi="Times New Roman"/>
          <w:sz w:val="22"/>
          <w:szCs w:val="22"/>
          <w:color w:val="auto"/>
        </w:rPr>
        <w:t>”). The grant date of the Initial Awards will be the first Trading Day on or after the date on which such individual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becomes an Outside Director (such first date as an Outside Director, the “</w:t>
      </w:r>
      <w:r>
        <w:rPr>
          <w:rFonts w:ascii="Times New Roman" w:cs="Times New Roman" w:eastAsia="Times New Roman" w:hAnsi="Times New Roman"/>
          <w:sz w:val="22"/>
          <w:szCs w:val="22"/>
          <w:b w:val="1"/>
          <w:bCs w:val="1"/>
          <w:color w:val="auto"/>
        </w:rPr>
        <w:t>Initial Start Date</w:t>
      </w:r>
      <w:r>
        <w:rPr>
          <w:rFonts w:ascii="Times New Roman" w:cs="Times New Roman" w:eastAsia="Times New Roman" w:hAnsi="Times New Roman"/>
          <w:sz w:val="22"/>
          <w:szCs w:val="22"/>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any Initial Awards. Each Initial Award will be scheduled to vest as to one-third (1/3rd) of the Shares subject to the Initial Award on each of the one (1), two (2) and three (3) year anniversaries of the Initial Start Date, subject to the Outside Director remaining a Service Provider through the applicable vesting date.</w:t>
      </w:r>
    </w:p>
    <w:p>
      <w:pPr>
        <w:spacing w:after="0" w:line="179"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Annual Awards</w:t>
      </w:r>
      <w:r>
        <w:rPr>
          <w:rFonts w:ascii="Times New Roman" w:cs="Times New Roman" w:eastAsia="Times New Roman" w:hAnsi="Times New Roman"/>
          <w:sz w:val="22"/>
          <w:szCs w:val="22"/>
          <w:color w:val="auto"/>
        </w:rPr>
        <w:t>. On the date of each Annual Meeting of the Company’s stockholders (an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Meeting</w:t>
      </w:r>
      <w:r>
        <w:rPr>
          <w:rFonts w:ascii="Times New Roman" w:cs="Times New Roman" w:eastAsia="Times New Roman" w:hAnsi="Times New Roman"/>
          <w:sz w:val="22"/>
          <w:szCs w:val="22"/>
          <w:color w:val="auto"/>
        </w:rPr>
        <w:t>”) that occurs on or after the Restatement Date, each Outside Director automatically will be granted an award of Options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b w:val="1"/>
          <w:bCs w:val="1"/>
          <w:color w:val="auto"/>
        </w:rPr>
        <w:t>Annual Option Award</w:t>
      </w:r>
      <w:r>
        <w:rPr>
          <w:rFonts w:ascii="Times New Roman" w:cs="Times New Roman" w:eastAsia="Times New Roman" w:hAnsi="Times New Roman"/>
          <w:sz w:val="22"/>
          <w:szCs w:val="22"/>
          <w:color w:val="auto"/>
        </w:rPr>
        <w:t>”) to purchase 30,500 Shares and an award of Restricted Stock Units covering 20,500 Shares (an “</w:t>
      </w:r>
      <w:r>
        <w:rPr>
          <w:rFonts w:ascii="Times New Roman" w:cs="Times New Roman" w:eastAsia="Times New Roman" w:hAnsi="Times New Roman"/>
          <w:sz w:val="22"/>
          <w:szCs w:val="22"/>
          <w:b w:val="1"/>
          <w:bCs w:val="1"/>
          <w:color w:val="auto"/>
        </w:rPr>
        <w:t>Annual RSU Award</w:t>
      </w:r>
      <w:r>
        <w:rPr>
          <w:rFonts w:ascii="Times New Roman" w:cs="Times New Roman" w:eastAsia="Times New Roman" w:hAnsi="Times New Roman"/>
          <w:sz w:val="22"/>
          <w:szCs w:val="22"/>
          <w:color w:val="auto"/>
        </w:rPr>
        <w:t xml:space="preserve"> ” and together with the Annual Option Award, the “</w:t>
      </w:r>
      <w:r>
        <w:rPr>
          <w:rFonts w:ascii="Times New Roman" w:cs="Times New Roman" w:eastAsia="Times New Roman" w:hAnsi="Times New Roman"/>
          <w:sz w:val="22"/>
          <w:szCs w:val="22"/>
          <w:b w:val="1"/>
          <w:bCs w:val="1"/>
          <w:color w:val="auto"/>
        </w:rPr>
        <w:t>Annual Awards</w:t>
      </w:r>
      <w:r>
        <w:rPr>
          <w:rFonts w:ascii="Times New Roman" w:cs="Times New Roman" w:eastAsia="Times New Roman" w:hAnsi="Times New Roman"/>
          <w:sz w:val="22"/>
          <w:szCs w:val="22"/>
          <w:color w:val="auto"/>
        </w:rPr>
        <w:t>”); provided that any Outside Director who is not continuing as an Outside Director following the applicable Annual Meeting will not receive any Annual Award with respect to such Annual Meeting; provided, further, however, that if an individual commenced service as an Outside Director after the date of the Annual Meeting that occurred immediately prior to such Annual Meeting, then each Annual Award granted to such Outside Director on the date of such Annual Meeting will be prorated based on the number of whole months that the individual served as an Outside Director prior to the Annual Award’s grant date during the twelve (12) month period immediately preceding such Annual Meeting (with any resulting fractional Share rounded down to the nearest whole Share). Each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Additional Terms of Initial Awards and Annual Awards</w:t>
      </w:r>
      <w:r>
        <w:rPr>
          <w:rFonts w:ascii="Times New Roman" w:cs="Times New Roman" w:eastAsia="Times New Roman" w:hAnsi="Times New Roman"/>
          <w:sz w:val="22"/>
          <w:szCs w:val="22"/>
          <w:color w:val="auto"/>
        </w:rPr>
        <w:t xml:space="preserve"> . The terms and conditions of each Initial Option Award and Annual Option Award (each, an “</w:t>
      </w:r>
      <w:r>
        <w:rPr>
          <w:rFonts w:ascii="Times New Roman" w:cs="Times New Roman" w:eastAsia="Times New Roman" w:hAnsi="Times New Roman"/>
          <w:sz w:val="22"/>
          <w:szCs w:val="22"/>
          <w:b w:val="1"/>
          <w:bCs w:val="1"/>
          <w:color w:val="auto"/>
        </w:rPr>
        <w:t>Option Award</w:t>
      </w:r>
      <w:r>
        <w:rPr>
          <w:rFonts w:ascii="Times New Roman" w:cs="Times New Roman" w:eastAsia="Times New Roman" w:hAnsi="Times New Roman"/>
          <w:sz w:val="22"/>
          <w:szCs w:val="22"/>
          <w:color w:val="auto"/>
        </w:rPr>
        <w:t>”), and each Initial RSU Award and Annual RSU Award (each, an “</w:t>
      </w:r>
      <w:r>
        <w:rPr>
          <w:rFonts w:ascii="Times New Roman" w:cs="Times New Roman" w:eastAsia="Times New Roman" w:hAnsi="Times New Roman"/>
          <w:sz w:val="22"/>
          <w:szCs w:val="22"/>
          <w:b w:val="1"/>
          <w:bCs w:val="1"/>
          <w:color w:val="auto"/>
        </w:rPr>
        <w:t>RSU Award</w:t>
      </w:r>
      <w:r>
        <w:rPr>
          <w:rFonts w:ascii="Times New Roman" w:cs="Times New Roman" w:eastAsia="Times New Roman" w:hAnsi="Times New Roman"/>
          <w:sz w:val="22"/>
          <w:szCs w:val="22"/>
          <w:color w:val="auto"/>
        </w:rPr>
        <w:t>”) will be as follows.</w:t>
      </w:r>
    </w:p>
    <w:p>
      <w:pPr>
        <w:spacing w:after="0" w:line="171" w:lineRule="exact"/>
        <w:rPr>
          <w:sz w:val="20"/>
          <w:szCs w:val="20"/>
          <w:color w:val="auto"/>
        </w:rPr>
      </w:pPr>
    </w:p>
    <w:p>
      <w:pPr>
        <w:ind w:left="3000"/>
        <w:spacing w:after="0"/>
        <w:tabs>
          <w:tab w:leader="none" w:pos="3840" w:val="left"/>
        </w:tabs>
        <w:rPr>
          <w:sz w:val="20"/>
          <w:szCs w:val="20"/>
          <w:color w:val="auto"/>
        </w:rPr>
      </w:pPr>
      <w:r>
        <w:rPr>
          <w:rFonts w:ascii="Times New Roman" w:cs="Times New Roman" w:eastAsia="Times New Roman" w:hAnsi="Times New Roman"/>
          <w:sz w:val="22"/>
          <w:szCs w:val="22"/>
          <w:color w:val="auto"/>
        </w:rPr>
        <w:t>3.4.1</w:t>
      </w:r>
      <w:r>
        <w:rPr>
          <w:sz w:val="20"/>
          <w:szCs w:val="20"/>
          <w:color w:val="auto"/>
        </w:rPr>
        <w:tab/>
      </w:r>
      <w:r>
        <w:rPr>
          <w:rFonts w:ascii="Times New Roman" w:cs="Times New Roman" w:eastAsia="Times New Roman" w:hAnsi="Times New Roman"/>
          <w:sz w:val="21"/>
          <w:szCs w:val="21"/>
          <w:color w:val="auto"/>
        </w:rPr>
        <w:t>The term of each Option Award will be ten (10) years, subject to earlier termination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provided in the Plan.</w:t>
      </w:r>
    </w:p>
    <w:p>
      <w:pPr>
        <w:spacing w:after="0" w:line="182" w:lineRule="exact"/>
        <w:rPr>
          <w:sz w:val="20"/>
          <w:szCs w:val="20"/>
          <w:color w:val="auto"/>
        </w:rPr>
      </w:pPr>
    </w:p>
    <w:p>
      <w:pPr>
        <w:ind w:right="40" w:firstLine="2995"/>
        <w:spacing w:after="0" w:line="258" w:lineRule="auto"/>
        <w:rPr>
          <w:sz w:val="20"/>
          <w:szCs w:val="20"/>
          <w:color w:val="auto"/>
        </w:rPr>
      </w:pPr>
      <w:r>
        <w:rPr>
          <w:rFonts w:ascii="Times New Roman" w:cs="Times New Roman" w:eastAsia="Times New Roman" w:hAnsi="Times New Roman"/>
          <w:sz w:val="22"/>
          <w:szCs w:val="22"/>
          <w:color w:val="auto"/>
        </w:rPr>
        <w:t>3.4.2 The per Share exercise price of each Option Award will be equal to one hundred percent (100%) of the Fair Market Value per Share on such Option Award’s grant date.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85" w:lineRule="exact"/>
        <w:rPr>
          <w:sz w:val="20"/>
          <w:szCs w:val="20"/>
          <w:color w:val="auto"/>
        </w:rPr>
      </w:pPr>
    </w:p>
    <w:p>
      <w:pPr>
        <w:jc w:val="both"/>
        <w:ind w:firstLine="2995"/>
        <w:spacing w:after="0" w:line="244" w:lineRule="auto"/>
        <w:rPr>
          <w:sz w:val="20"/>
          <w:szCs w:val="20"/>
          <w:color w:val="auto"/>
        </w:rPr>
      </w:pPr>
      <w:r>
        <w:rPr>
          <w:rFonts w:ascii="Times New Roman" w:cs="Times New Roman" w:eastAsia="Times New Roman" w:hAnsi="Times New Roman"/>
          <w:sz w:val="22"/>
          <w:szCs w:val="22"/>
          <w:color w:val="auto"/>
        </w:rPr>
        <w:t>3.4.3 Each Option Award and RSU Award will be granted under and subject to the terms and conditions of the Plan and the applicable form of Award Agreement previously approved by the Board or its Committee (as defined below), as applicable, for use thereunder.</w:t>
      </w:r>
    </w:p>
    <w:p>
      <w:pPr>
        <w:spacing w:after="0" w:line="173" w:lineRule="exact"/>
        <w:rPr>
          <w:sz w:val="20"/>
          <w:szCs w:val="20"/>
          <w:color w:val="auto"/>
        </w:rPr>
      </w:pPr>
    </w:p>
    <w:p>
      <w:pPr>
        <w:jc w:val="both"/>
        <w:ind w:firstLine="2995"/>
        <w:spacing w:after="0" w:line="244" w:lineRule="auto"/>
        <w:rPr>
          <w:sz w:val="20"/>
          <w:szCs w:val="20"/>
          <w:color w:val="auto"/>
        </w:rPr>
      </w:pPr>
      <w:r>
        <w:rPr>
          <w:rFonts w:ascii="Times New Roman" w:cs="Times New Roman" w:eastAsia="Times New Roman" w:hAnsi="Times New Roman"/>
          <w:sz w:val="22"/>
          <w:szCs w:val="22"/>
          <w:color w:val="auto"/>
        </w:rPr>
        <w:t>3.4.4 The Board or its Committee, as applicable and in its discretion, may change and otherwise revise the terms of Option Awards and RSU Awards to be granted in the future pursuant to this Policy, including without limitation the number of Shares subject thereto and type of Award.</w:t>
      </w:r>
    </w:p>
    <w:p>
      <w:pPr>
        <w:spacing w:after="0" w:line="169" w:lineRule="exact"/>
        <w:rPr>
          <w:sz w:val="20"/>
          <w:szCs w:val="20"/>
          <w:color w:val="auto"/>
        </w:rPr>
      </w:pPr>
    </w:p>
    <w:p>
      <w:pPr>
        <w:jc w:val="both"/>
        <w:ind w:firstLine="757"/>
        <w:spacing w:after="0" w:line="241" w:lineRule="auto"/>
        <w:tabs>
          <w:tab w:leader="none" w:pos="120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each Outside Director will fully vest in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Company equity awards that were granted to him or her while an Outside Director, as of immediately prior to the Change in Control, including any Option Award and RSU Award, provided that the Outside Director continues to be an Outside Director through the date of such Change in Control.</w:t>
      </w:r>
    </w:p>
    <w:p>
      <w:pPr>
        <w:spacing w:after="0" w:line="17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Annual Compensation Limit</w:t>
      </w:r>
      <w:r>
        <w:rPr>
          <w:rFonts w:ascii="Times New Roman" w:cs="Times New Roman" w:eastAsia="Times New Roman" w:hAnsi="Times New Roman"/>
          <w:sz w:val="21"/>
          <w:szCs w:val="21"/>
          <w:color w:val="auto"/>
        </w:rPr>
        <w:t>. No Outside Director may be granted, in any Fiscal Year, Awards with values (based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their grant date fair value determined in accordance with U.S. generally accepted accounting principles (“</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and be provided any other compensation (including without limitation any cash retainers or fees) in amounts that, in any Fiscal Year,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 If a reduction in any Awards and/or other compensation provided or to be provided to an Outside Director in a given Fiscal Year is necessary so that the aggregate compensation provided to such Outside Director in such Fiscal Year does not exceed the applicable limit provided in the first sentence of this Section 5, the Awards and/or other compensation to the Outside Director will be reduced in reverse chronological order, such that the latest Award granted or to be granted or other compensation paid or to be paid will be reduced first. If more than one Award is granted on the same date or other compensation is paid on the same date, all such Awards and other compensation paid on the same date will be reduced pro rata (with the value of any Awards being based on their grant date fair value determined in accordance with GAAP). In no event will an Outside Director have any discretion with respect to the ordering of payment reductions.</w:t>
      </w:r>
    </w:p>
    <w:p>
      <w:pPr>
        <w:spacing w:after="0" w:line="180" w:lineRule="exact"/>
        <w:rPr>
          <w:rFonts w:ascii="Times New Roman" w:cs="Times New Roman" w:eastAsia="Times New Roman" w:hAnsi="Times New Roman"/>
          <w:sz w:val="21"/>
          <w:szCs w:val="21"/>
          <w:color w:val="auto"/>
        </w:rPr>
      </w:pPr>
    </w:p>
    <w:p>
      <w:pPr>
        <w:ind w:firstLine="757"/>
        <w:spacing w:after="0" w:line="262" w:lineRule="auto"/>
        <w:tabs>
          <w:tab w:leader="none" w:pos="120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Travel Expenses</w:t>
      </w:r>
      <w:r>
        <w:rPr>
          <w:rFonts w:ascii="Times New Roman" w:cs="Times New Roman" w:eastAsia="Times New Roman" w:hAnsi="Times New Roman"/>
          <w:sz w:val="22"/>
          <w:szCs w:val="22"/>
          <w:color w:val="auto"/>
        </w:rPr>
        <w:t>. Each Outside Director’s reasonable, customary and properly documented travel expenses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meetings of the Board and any of its committees, as applicable, will be reimbursed by the Company.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81" w:lineRule="exact"/>
        <w:rPr>
          <w:sz w:val="20"/>
          <w:szCs w:val="20"/>
          <w:color w:val="auto"/>
        </w:rPr>
      </w:pPr>
    </w:p>
    <w:p>
      <w:pPr>
        <w:jc w:val="both"/>
        <w:ind w:left="-757" w:firstLine="757"/>
        <w:spacing w:after="0" w:line="235" w:lineRule="auto"/>
        <w:tabs>
          <w:tab w:leader="none" w:pos="45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shares of stock that may be delivered pursuant to Option Awards and RSU Awards and/or the number, class, and price of shares of stock covered by each outstanding Option Award and RSU Award.</w:t>
      </w:r>
    </w:p>
    <w:p>
      <w:pPr>
        <w:spacing w:after="0" w:line="178" w:lineRule="exact"/>
        <w:rPr>
          <w:rFonts w:ascii="Times New Roman" w:cs="Times New Roman" w:eastAsia="Times New Roman" w:hAnsi="Times New Roman"/>
          <w:sz w:val="22"/>
          <w:szCs w:val="22"/>
          <w:color w:val="auto"/>
        </w:rPr>
      </w:pPr>
    </w:p>
    <w:p>
      <w:pPr>
        <w:jc w:val="both"/>
        <w:ind w:left="-757" w:firstLine="757"/>
        <w:spacing w:after="0" w:line="234" w:lineRule="auto"/>
        <w:tabs>
          <w:tab w:leader="none" w:pos="43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In no event will cash compensation or expense reimbursement payments under this Policy be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79" w:lineRule="exact"/>
        <w:rPr>
          <w:rFonts w:ascii="Times New Roman" w:cs="Times New Roman" w:eastAsia="Times New Roman" w:hAnsi="Times New Roman"/>
          <w:sz w:val="22"/>
          <w:szCs w:val="22"/>
          <w:color w:val="auto"/>
        </w:rPr>
      </w:pPr>
    </w:p>
    <w:p>
      <w:pPr>
        <w:jc w:val="both"/>
        <w:ind w:left="-757" w:firstLine="757"/>
        <w:spacing w:after="0" w:line="241" w:lineRule="auto"/>
        <w:tabs>
          <w:tab w:leader="none" w:pos="43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This Policy as initially adopted was approved by the Company’s stockholders prior to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initial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71" w:lineRule="exact"/>
        <w:rPr>
          <w:rFonts w:ascii="Times New Roman" w:cs="Times New Roman" w:eastAsia="Times New Roman" w:hAnsi="Times New Roman"/>
          <w:sz w:val="22"/>
          <w:szCs w:val="22"/>
          <w:color w:val="auto"/>
        </w:rPr>
      </w:pPr>
    </w:p>
    <w:p>
      <w:pPr>
        <w:jc w:val="both"/>
        <w:ind w:left="-757" w:firstLine="757"/>
        <w:spacing w:after="0" w:line="235" w:lineRule="auto"/>
        <w:tabs>
          <w:tab w:leader="none" w:pos="42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Revisions</w:t>
      </w:r>
      <w:r>
        <w:rPr>
          <w:rFonts w:ascii="Times New Roman" w:cs="Times New Roman" w:eastAsia="Times New Roman" w:hAnsi="Times New Roman"/>
          <w:sz w:val="22"/>
          <w:szCs w:val="22"/>
          <w:color w:val="auto"/>
        </w:rPr>
        <w:t>. The Board or any committee of the Board that has been designated appropriate authority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 Director compensation (or with respect to any applicable element or elements thereof, authority with respect to such element or elements)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69" w:lineRule="exact"/>
        <w:rPr>
          <w:rFonts w:ascii="Times New Roman" w:cs="Times New Roman" w:eastAsia="Times New Roman" w:hAnsi="Times New Roman"/>
          <w:sz w:val="22"/>
          <w:szCs w:val="22"/>
          <w:color w:val="auto"/>
        </w:rPr>
      </w:pPr>
    </w:p>
    <w:p>
      <w:pPr>
        <w:ind w:left="464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482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29" w:lineRule="exact"/>
        <w:rPr>
          <w:sz w:val="20"/>
          <w:szCs w:val="20"/>
          <w:color w:val="auto"/>
        </w:rPr>
      </w:pPr>
    </w:p>
    <w:p>
      <w:pPr>
        <w:ind w:left="180" w:hanging="172"/>
        <w:spacing w:after="0"/>
        <w:tabs>
          <w:tab w:leader="none" w:pos="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Seer Bio UK Limited (United Kingdom)</w:t>
      </w:r>
    </w:p>
    <w:p>
      <w:pPr>
        <w:spacing w:after="0" w:line="2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Seer Bio GmbH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Statements No. 333-277700, 333-270351, 333-263268, 333-252534, and 333-251158 on Form S-8 of our report dated March 3, 2025, relating to the financial statements of Seer, Inc. appearing in this Annual Report on Form 10-K for the year ended December 31, 2024.</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Omid Farokhzad, certify that:</w:t>
      </w:r>
    </w:p>
    <w:p>
      <w:pPr>
        <w:spacing w:after="0" w:line="198" w:lineRule="exact"/>
        <w:rPr>
          <w:sz w:val="20"/>
          <w:szCs w:val="20"/>
          <w:color w:val="auto"/>
        </w:rPr>
      </w:pPr>
    </w:p>
    <w:p>
      <w:pPr>
        <w:ind w:left="760" w:hanging="378"/>
        <w:spacing w:after="0"/>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Seer, Inc.;</w:t>
      </w:r>
    </w:p>
    <w:p>
      <w:pPr>
        <w:spacing w:after="0" w:line="184"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191"/>
        </w:trPr>
        <w:tc>
          <w:tcPr>
            <w:tcW w:w="6760" w:type="dxa"/>
            <w:vAlign w:val="bottom"/>
          </w:tcPr>
          <w:p>
            <w:pPr>
              <w:spacing w:after="0"/>
              <w:rPr>
                <w:sz w:val="16"/>
                <w:szCs w:val="16"/>
                <w:color w:val="auto"/>
              </w:rPr>
            </w:pP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Omid Farokhzad</w:t>
            </w:r>
          </w:p>
        </w:tc>
      </w:tr>
      <w:tr>
        <w:trPr>
          <w:trHeight w:val="216"/>
        </w:trPr>
        <w:tc>
          <w:tcPr>
            <w:tcW w:w="6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6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22"/>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Horn, certify that:</w:t>
      </w:r>
    </w:p>
    <w:p>
      <w:pPr>
        <w:spacing w:after="0" w:line="198" w:lineRule="exact"/>
        <w:rPr>
          <w:sz w:val="20"/>
          <w:szCs w:val="20"/>
          <w:color w:val="auto"/>
        </w:rPr>
      </w:pPr>
    </w:p>
    <w:p>
      <w:pPr>
        <w:ind w:left="760" w:hanging="378"/>
        <w:spacing w:after="0"/>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Seer, Inc.;</w:t>
      </w:r>
    </w:p>
    <w:p>
      <w:pPr>
        <w:spacing w:after="0" w:line="184"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191"/>
        </w:trPr>
        <w:tc>
          <w:tcPr>
            <w:tcW w:w="6760" w:type="dxa"/>
            <w:vAlign w:val="bottom"/>
          </w:tcPr>
          <w:p>
            <w:pPr>
              <w:spacing w:after="0"/>
              <w:rPr>
                <w:sz w:val="16"/>
                <w:szCs w:val="16"/>
                <w:color w:val="auto"/>
              </w:rPr>
            </w:pP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Horn</w:t>
            </w:r>
          </w:p>
        </w:tc>
      </w:tr>
      <w:tr>
        <w:trPr>
          <w:trHeight w:val="216"/>
        </w:trPr>
        <w:tc>
          <w:tcPr>
            <w:tcW w:w="6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President</w:t>
            </w:r>
          </w:p>
        </w:tc>
      </w:tr>
      <w:tr>
        <w:trPr>
          <w:trHeight w:val="234"/>
        </w:trPr>
        <w:tc>
          <w:tcPr>
            <w:tcW w:w="6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222"/>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Seer, Inc. (the “Company”) on Form 10-K for the period ended December 31, 2024 as filed with the Securities and Exchange Commission on the date hereof (the “Report”), I, Omid Farokhzad, hereby certify, pursuant to 18 U.S.C. § 1350, as adopted pursuant to § 906 of the Sarbanes-Oxley Act of 2002, that:</w:t>
      </w:r>
    </w:p>
    <w:p>
      <w:pPr>
        <w:spacing w:after="0" w:line="149" w:lineRule="exact"/>
        <w:rPr>
          <w:sz w:val="20"/>
          <w:szCs w:val="20"/>
          <w:color w:val="auto"/>
        </w:rPr>
      </w:pPr>
    </w:p>
    <w:p>
      <w:pPr>
        <w:ind w:left="760" w:hanging="378"/>
        <w:spacing w:after="0"/>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191"/>
        </w:trPr>
        <w:tc>
          <w:tcPr>
            <w:tcW w:w="5740" w:type="dxa"/>
            <w:vAlign w:val="bottom"/>
          </w:tcPr>
          <w:p>
            <w:pPr>
              <w:spacing w:after="0"/>
              <w:rPr>
                <w:sz w:val="16"/>
                <w:szCs w:val="16"/>
                <w:color w:val="auto"/>
              </w:rPr>
            </w:pPr>
          </w:p>
        </w:tc>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Omid Farokhzad</w:t>
            </w:r>
          </w:p>
        </w:tc>
      </w:tr>
      <w:tr>
        <w:trPr>
          <w:trHeight w:val="216"/>
        </w:trPr>
        <w:tc>
          <w:tcPr>
            <w:tcW w:w="574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Seer, Inc. (the “Company”) on Form 10-K for the period ended December 31, 2024 as filed with the Securities and Exchange Commission on the date hereof (the “Report”), I, David Horn, hereby certify, pursuant to 18 U.S.C. § 1350, as adopted pursuant to § 906 of the Sarbanes-Oxley Act of 2002, that:</w:t>
      </w:r>
    </w:p>
    <w:p>
      <w:pPr>
        <w:spacing w:after="0" w:line="149" w:lineRule="exact"/>
        <w:rPr>
          <w:sz w:val="20"/>
          <w:szCs w:val="20"/>
          <w:color w:val="auto"/>
        </w:rPr>
      </w:pPr>
    </w:p>
    <w:p>
      <w:pPr>
        <w:ind w:left="760" w:hanging="378"/>
        <w:spacing w:after="0"/>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191"/>
        </w:trPr>
        <w:tc>
          <w:tcPr>
            <w:tcW w:w="5960" w:type="dxa"/>
            <w:vAlign w:val="bottom"/>
          </w:tcPr>
          <w:p>
            <w:pPr>
              <w:spacing w:after="0"/>
              <w:rPr>
                <w:sz w:val="16"/>
                <w:szCs w:val="16"/>
                <w:color w:val="auto"/>
              </w:rPr>
            </w:pPr>
          </w:p>
        </w:tc>
        <w:tc>
          <w:tcPr>
            <w:tcW w:w="52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Horn</w:t>
            </w:r>
          </w:p>
        </w:tc>
      </w:tr>
      <w:tr>
        <w:trPr>
          <w:trHeight w:val="216"/>
        </w:trPr>
        <w:tc>
          <w:tcPr>
            <w:tcW w:w="59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President</w:t>
            </w:r>
          </w:p>
        </w:tc>
      </w:tr>
      <w:tr>
        <w:trPr>
          <w:trHeight w:val="234"/>
        </w:trPr>
        <w:tc>
          <w:tcPr>
            <w:tcW w:w="59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1843"/>
        </w:trPr>
        <w:tc>
          <w:tcPr>
            <w:tcW w:w="59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8" w:name="page209"/>
    <w:bookmarkEnd w:id="2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upperLetter"/>
      <w:start w:val="24"/>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lvl w:ilvl="1">
      <w:lvlJc w:val="left"/>
      <w:lvlText w:val="•"/>
      <w:numFmt w:val="bullet"/>
      <w:start w:val="1"/>
    </w:lvl>
  </w:abstractNum>
  <w:abstractNum w:abstractNumId="14">
    <w:nsid w:val="15014ACB"/>
    <w:multiLevelType w:val="hybridMultilevel"/>
    <w:lvl w:ilvl="0">
      <w:lvlJc w:val="left"/>
      <w:lvlText w:val="•"/>
      <w:numFmt w:val="bullet"/>
      <w:start w:val="1"/>
    </w:lvl>
    <w:lvl w:ilvl="1">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o"/>
      <w:numFmt w:val="bullet"/>
      <w:start w:val="1"/>
    </w:lvl>
    <w:lvl w:ilvl="1">
      <w:lvlJc w:val="left"/>
      <w:lvlText w:val="▪"/>
      <w:numFmt w:val="bullet"/>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2"/>
    </w:lvl>
  </w:abstractNum>
  <w:abstractNum w:abstractNumId="46">
    <w:nsid w:val="6F6DD9AC"/>
    <w:multiLevelType w:val="hybridMultilevel"/>
    <w:lvl w:ilvl="0">
      <w:lvlJc w:val="left"/>
      <w:lvlText w:val="%1."/>
      <w:numFmt w:val="decimal"/>
      <w:start w:val="3"/>
    </w:lvl>
  </w:abstractNum>
  <w:abstractNum w:abstractNumId="47">
    <w:nsid w:val="94211F2"/>
    <w:multiLevelType w:val="hybridMultilevel"/>
    <w:lvl w:ilvl="0">
      <w:lvlJc w:val="left"/>
      <w:lvlText w:val="%1."/>
      <w:numFmt w:val="decimal"/>
      <w:start w:val="5"/>
    </w:lvl>
  </w:abstractNum>
  <w:abstractNum w:abstractNumId="48">
    <w:nsid w:val="885E1B"/>
    <w:multiLevelType w:val="hybridMultilevel"/>
    <w:lvl w:ilvl="0">
      <w:lvlJc w:val="left"/>
      <w:lvlText w:val="%1."/>
      <w:numFmt w:val="decimal"/>
      <w:start w:val="6"/>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1."/>
      <w:numFmt w:val="decimal"/>
      <w:start w:val="7"/>
    </w:lvl>
  </w:abstractNum>
  <w:abstractNum w:abstractNumId="51">
    <w:nsid w:val="1716703B"/>
    <w:multiLevelType w:val="hybridMultilevel"/>
    <w:lvl w:ilvl="0">
      <w:lvlJc w:val="left"/>
      <w:lvlText w:val="%1."/>
      <w:numFmt w:val="decimal"/>
      <w:start w:val="8"/>
    </w:lvl>
  </w:abstractNum>
  <w:abstractNum w:abstractNumId="52">
    <w:nsid w:val="14E17E33"/>
    <w:multiLevelType w:val="hybridMultilevel"/>
    <w:lvl w:ilvl="0">
      <w:lvlJc w:val="left"/>
      <w:lvlText w:val="%1."/>
      <w:numFmt w:val="decimal"/>
      <w:start w:val="9"/>
    </w:lvl>
  </w:abstractNum>
  <w:abstractNum w:abstractNumId="53">
    <w:nsid w:val="3222E7CD"/>
    <w:multiLevelType w:val="hybridMultilevel"/>
    <w:lvl w:ilvl="0">
      <w:lvlJc w:val="left"/>
      <w:lvlText w:val="%1."/>
      <w:numFmt w:val="decimal"/>
      <w:start w:val="1"/>
    </w:lvl>
  </w:abstractNum>
  <w:abstractNum w:abstractNumId="54">
    <w:nsid w:val="74DE0EE3"/>
    <w:multiLevelType w:val="hybridMultilevel"/>
    <w:lvl w:ilvl="0">
      <w:lvlJc w:val="left"/>
      <w:lvlText w:val="+"/>
      <w:numFmt w:val="bullet"/>
      <w:start w:val="1"/>
    </w:lvl>
    <w:lvl w:ilvl="1">
      <w:lvlJc w:val="left"/>
      <w:lvlText w:val="%2"/>
      <w:numFmt w:val="decimal"/>
      <w:start w:val="104"/>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1."/>
      <w:numFmt w:val="lowerLetter"/>
      <w:start w:val="1"/>
    </w:lvl>
  </w:abstractNum>
  <w:abstractNum w:abstractNumId="57">
    <w:nsid w:val="46B7D447"/>
    <w:multiLevelType w:val="hybridMultilevel"/>
    <w:lvl w:ilvl="0">
      <w:lvlJc w:val="left"/>
      <w:lvlText w:val="%1."/>
      <w:numFmt w:val="lowerLetter"/>
      <w:start w:val="1"/>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Roman"/>
      <w:start w:val="2"/>
    </w:lvl>
  </w:abstractNum>
  <w:abstractNum w:abstractNumId="60">
    <w:nsid w:val="57FC4FBB"/>
    <w:multiLevelType w:val="hybridMultilevel"/>
    <w:lvl w:ilvl="0">
      <w:lvlJc w:val="left"/>
      <w:lvlText w:val="(%1)"/>
      <w:numFmt w:val="lowerRoman"/>
      <w:start w:val="4"/>
    </w:lvl>
  </w:abstractNum>
  <w:abstractNum w:abstractNumId="61">
    <w:nsid w:val="CC1016F"/>
    <w:multiLevelType w:val="hybridMultilevel"/>
    <w:lvl w:ilvl="0">
      <w:lvlJc w:val="left"/>
      <w:lvlText w:val="%1."/>
      <w:numFmt w:val="lowerLetter"/>
      <w:start w:val="1"/>
    </w:lvl>
  </w:abstractNum>
  <w:abstractNum w:abstractNumId="62">
    <w:nsid w:val="43F18422"/>
    <w:multiLevelType w:val="hybridMultilevel"/>
    <w:lvl w:ilvl="0">
      <w:lvlJc w:val="left"/>
      <w:lvlText w:val="%1."/>
      <w:numFmt w:val="decimal"/>
      <w:start w:val="1"/>
    </w:lvl>
  </w:abstractNum>
  <w:abstractNum w:abstractNumId="63">
    <w:nsid w:val="60EF0119"/>
    <w:multiLevelType w:val="hybridMultilevel"/>
    <w:lvl w:ilvl="0">
      <w:lvlJc w:val="left"/>
      <w:lvlText w:val="%1."/>
      <w:numFmt w:val="decimal"/>
      <w:start w:val="2"/>
    </w:lvl>
  </w:abstractNum>
  <w:abstractNum w:abstractNumId="64">
    <w:nsid w:val="26F324BA"/>
    <w:multiLevelType w:val="hybridMultilevel"/>
    <w:lvl w:ilvl="0">
      <w:lvlJc w:val="left"/>
      <w:lvlText w:val="%1."/>
      <w:numFmt w:val="decimal"/>
      <w:start w:val="3"/>
    </w:lvl>
  </w:abstractNum>
  <w:abstractNum w:abstractNumId="65">
    <w:nsid w:val="7F01579B"/>
    <w:multiLevelType w:val="hybridMultilevel"/>
    <w:lvl w:ilvl="0">
      <w:lvlJc w:val="left"/>
      <w:lvlText w:val="%1."/>
      <w:numFmt w:val="decimal"/>
      <w:start w:val="4"/>
    </w:lvl>
  </w:abstractNum>
  <w:abstractNum w:abstractNumId="66">
    <w:nsid w:val="49DA307D"/>
    <w:multiLevelType w:val="hybridMultilevel"/>
    <w:lvl w:ilvl="0">
      <w:lvlJc w:val="left"/>
      <w:lvlText w:val="%1."/>
      <w:numFmt w:val="decimal"/>
      <w:start w:val="5"/>
    </w:lvl>
  </w:abstractNum>
  <w:abstractNum w:abstractNumId="67">
    <w:nsid w:val="7055A5F5"/>
    <w:multiLevelType w:val="hybridMultilevel"/>
    <w:lvl w:ilvl="0">
      <w:lvlJc w:val="left"/>
      <w:lvlText w:val="%1."/>
      <w:numFmt w:val="decimal"/>
      <w:start w:val="6"/>
    </w:lvl>
  </w:abstractNum>
  <w:abstractNum w:abstractNumId="68">
    <w:nsid w:val="5FB8370B"/>
    <w:multiLevelType w:val="hybridMultilevel"/>
    <w:lvl w:ilvl="0">
      <w:lvlJc w:val="left"/>
      <w:lvlText w:val="(%1)"/>
      <w:numFmt w:val="lowerRoman"/>
      <w:start w:val="1"/>
    </w:lvl>
  </w:abstractNum>
  <w:abstractNum w:abstractNumId="69">
    <w:nsid w:val="50801EE1"/>
    <w:multiLevelType w:val="hybridMultilevel"/>
    <w:lvl w:ilvl="0">
      <w:lvlJc w:val="left"/>
      <w:lvlText w:val="%1."/>
      <w:numFmt w:val="decimal"/>
      <w:start w:val="7"/>
    </w:lvl>
  </w:abstractNum>
  <w:abstractNum w:abstractNumId="70">
    <w:nsid w:val="488AC1A"/>
    <w:multiLevelType w:val="hybridMultilevel"/>
    <w:lvl w:ilvl="0">
      <w:lvlJc w:val="left"/>
      <w:lvlText w:val="%1."/>
      <w:numFmt w:val="decimal"/>
      <w:start w:val="8"/>
    </w:lvl>
  </w:abstractNum>
  <w:abstractNum w:abstractNumId="71">
    <w:nsid w:val="5FB8011C"/>
    <w:multiLevelType w:val="hybridMultilevel"/>
    <w:lvl w:ilvl="0">
      <w:lvlJc w:val="left"/>
      <w:lvlText w:val="%1."/>
      <w:numFmt w:val="decimal"/>
      <w:start w:val="9"/>
    </w:lvl>
  </w:abstractNum>
  <w:abstractNum w:abstractNumId="72">
    <w:nsid w:val="6AA78F7F"/>
    <w:multiLevelType w:val="hybridMultilevel"/>
    <w:lvl w:ilvl="0">
      <w:lvlJc w:val="left"/>
      <w:lvlText w:val="%1."/>
      <w:numFmt w:val="decimal"/>
      <w:start w:val="10"/>
    </w:lvl>
    <w:lvl w:ilvl="1">
      <w:lvlJc w:val="left"/>
      <w:lvlText w:val="(%2)"/>
      <w:numFmt w:val="lowerRoman"/>
      <w:start w:val="1"/>
    </w:lvl>
  </w:abstractNum>
  <w:abstractNum w:abstractNumId="73">
    <w:nsid w:val="7672BD23"/>
    <w:multiLevelType w:val="hybridMultilevel"/>
    <w:lvl w:ilvl="0">
      <w:lvlJc w:val="left"/>
      <w:lvlText w:val="%1."/>
      <w:numFmt w:val="decimal"/>
      <w:start w:val="11"/>
    </w:lvl>
  </w:abstractNum>
  <w:abstractNum w:abstractNumId="74">
    <w:nsid w:val="6FC75AF8"/>
    <w:multiLevelType w:val="hybridMultilevel"/>
    <w:lvl w:ilvl="0">
      <w:lvlJc w:val="left"/>
      <w:lvlText w:val="%1."/>
      <w:numFmt w:val="decimal"/>
      <w:start w:val="16"/>
    </w:lvl>
  </w:abstractNum>
  <w:abstractNum w:abstractNumId="75">
    <w:nsid w:val="6A5F7029"/>
    <w:multiLevelType w:val="hybridMultilevel"/>
    <w:lvl w:ilvl="0">
      <w:lvlJc w:val="left"/>
      <w:lvlText w:val="%1"/>
      <w:numFmt w:val="lowerRoman"/>
      <w:start w:val="1"/>
    </w:lvl>
    <w:lvl w:ilvl="1">
      <w:lvlJc w:val="left"/>
      <w:lvlText w:val="%2."/>
      <w:numFmt w:val="decimal"/>
      <w:start w:val="19"/>
    </w:lvl>
  </w:abstractNum>
  <w:abstractNum w:abstractNumId="76">
    <w:nsid w:val="7D5E18F8"/>
    <w:multiLevelType w:val="hybridMultilevel"/>
    <w:lvl w:ilvl="0">
      <w:lvlJc w:val="left"/>
      <w:lvlText w:val="(%1)"/>
      <w:numFmt w:val="lowerRoman"/>
      <w:start w:val="6"/>
    </w:lvl>
    <w:lvl w:ilvl="1">
      <w:lvlJc w:val="left"/>
      <w:lvlText w:val="%2."/>
      <w:numFmt w:val="decimal"/>
      <w:start w:val="20"/>
    </w:lvl>
  </w:abstractNum>
  <w:abstractNum w:abstractNumId="77">
    <w:nsid w:val="5F3534A4"/>
    <w:multiLevelType w:val="hybridMultilevel"/>
    <w:lvl w:ilvl="0">
      <w:lvlJc w:val="left"/>
      <w:lvlText w:val="%1."/>
      <w:numFmt w:val="decimal"/>
      <w:start w:val="21"/>
    </w:lvl>
  </w:abstractNum>
  <w:abstractNum w:abstractNumId="78">
    <w:nsid w:val="73A1821B"/>
    <w:multiLevelType w:val="hybridMultilevel"/>
    <w:lvl w:ilvl="0">
      <w:lvlJc w:val="left"/>
      <w:lvlText w:val="%1."/>
      <w:numFmt w:val="decimal"/>
      <w:start w:val="24"/>
    </w:lvl>
  </w:abstractNum>
  <w:abstractNum w:abstractNumId="79">
    <w:nsid w:val="7DE67713"/>
    <w:multiLevelType w:val="hybridMultilevel"/>
    <w:lvl w:ilvl="0">
      <w:lvlJc w:val="left"/>
      <w:lvlText w:val="%1."/>
      <w:numFmt w:val="decimal"/>
      <w:start w:val="25"/>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1)"/>
      <w:numFmt w:val="lowerRoman"/>
      <w:start w:val="1"/>
    </w:lvl>
  </w:abstractNum>
  <w:abstractNum w:abstractNumId="82">
    <w:nsid w:val="14FCE74E"/>
    <w:multiLevelType w:val="hybridMultilevel"/>
    <w:lvl w:ilvl="0">
      <w:lvlJc w:val="left"/>
      <w:lvlText w:val="%1"/>
      <w:numFmt w:val="decimal"/>
      <w:start w:val="1"/>
    </w:lvl>
    <w:lvl w:ilvl="1">
      <w:lvlJc w:val="left"/>
      <w:lvlText w:val="(%2)"/>
      <w:numFmt w:val="lowerRoman"/>
      <w:start w:val="2"/>
    </w:lvl>
  </w:abstractNum>
  <w:abstractNum w:abstractNumId="83">
    <w:nsid w:val="6A3DD3E8"/>
    <w:multiLevelType w:val="hybridMultilevel"/>
    <w:lvl w:ilvl="0">
      <w:lvlJc w:val="left"/>
      <w:lvlText w:val="%1."/>
      <w:numFmt w:val="decimal"/>
      <w:start w:val="7"/>
    </w:lvl>
    <w:lvl w:ilvl="1">
      <w:lvlJc w:val="left"/>
      <w:lvlText w:val="%2"/>
      <w:numFmt w:val="lowerRoman"/>
      <w:start w:val="1"/>
    </w:lvl>
  </w:abstractNum>
  <w:abstractNum w:abstractNumId="84">
    <w:nsid w:val="71C91298"/>
    <w:multiLevelType w:val="hybridMultilevel"/>
    <w:lvl w:ilvl="0">
      <w:lvlJc w:val="left"/>
      <w:lvlText w:val="%1."/>
      <w:numFmt w:val="decimal"/>
      <w:start w:val="9"/>
    </w:lvl>
    <w:lvl w:ilvl="1">
      <w:lvlJc w:val="left"/>
      <w:lvlText w:val="(%2)"/>
      <w:numFmt w:val="lowerRoman"/>
      <w:start w:val="1"/>
    </w:lvl>
  </w:abstractNum>
  <w:abstractNum w:abstractNumId="85">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86">
    <w:nsid w:val="5329993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87">
    <w:nsid w:val="1FBFE8E0"/>
    <w:multiLevelType w:val="hybridMultilevel"/>
    <w:lvl w:ilvl="0">
      <w:lvlJc w:val="left"/>
      <w:lvlText w:val="%1."/>
      <w:numFmt w:val="decimal"/>
      <w:start w:val="1"/>
    </w:lvl>
  </w:abstractNum>
  <w:abstractNum w:abstractNumId="88">
    <w:nsid w:val="5092CA79"/>
    <w:multiLevelType w:val="hybridMultilevel"/>
    <w:lvl w:ilvl="0">
      <w:lvlJc w:val="left"/>
      <w:lvlText w:val="%1."/>
      <w:numFmt w:val="decimal"/>
      <w:start w:val="5"/>
    </w:lvl>
    <w:lvl w:ilvl="1">
      <w:lvlJc w:val="left"/>
      <w:lvlText w:val="(%2)"/>
      <w:numFmt w:val="lowerRoman"/>
      <w:start w:val="1"/>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lowerRoman"/>
      <w:start w:val="1"/>
    </w:lvl>
  </w:abstractNum>
  <w:abstractNum w:abstractNumId="91">
    <w:nsid w:val="288F1A34"/>
    <w:multiLevelType w:val="hybridMultilevel"/>
    <w:lvl w:ilvl="0">
      <w:lvlJc w:val="left"/>
      <w:lvlText w:val="%1"/>
      <w:numFmt w:val="decimal"/>
      <w:start w:val="1"/>
    </w:lvl>
    <w:lvl w:ilvl="1">
      <w:lvlJc w:val="left"/>
      <w:lvlText w:val="(%2)"/>
      <w:numFmt w:val="lowerRoman"/>
      <w:start w:val="2"/>
    </w:lvl>
  </w:abstractNum>
  <w:abstractNum w:abstractNumId="92">
    <w:nsid w:val="2A155DBC"/>
    <w:multiLevelType w:val="hybridMultilevel"/>
    <w:lvl w:ilvl="0">
      <w:lvlJc w:val="left"/>
      <w:lvlText w:val="%1."/>
      <w:numFmt w:val="decimal"/>
      <w:start w:val="7"/>
    </w:lvl>
    <w:lvl w:ilvl="1">
      <w:lvlJc w:val="left"/>
      <w:lvlText w:val="%2"/>
      <w:numFmt w:val="lowerRoman"/>
      <w:start w:val="1"/>
    </w:lvl>
  </w:abstractNum>
  <w:abstractNum w:abstractNumId="93">
    <w:nsid w:val="1D9F6E5F"/>
    <w:multiLevelType w:val="hybridMultilevel"/>
    <w:lvl w:ilvl="0">
      <w:lvlJc w:val="left"/>
      <w:lvlText w:val="%1."/>
      <w:numFmt w:val="decimal"/>
      <w:start w:val="9"/>
    </w:lvl>
    <w:lvl w:ilvl="1">
      <w:lvlJc w:val="left"/>
      <w:lvlText w:val="(%2)"/>
      <w:numFmt w:val="lowerRoman"/>
      <w:start w:val="1"/>
    </w:lvl>
  </w:abstractNum>
  <w:abstractNum w:abstractNumId="94">
    <w:nsid w:val="97E1B4E"/>
    <w:multiLevelType w:val="hybridMultilevel"/>
    <w:lvl w:ilvl="0">
      <w:lvlJc w:val="left"/>
      <w:lvlText w:val="%1."/>
      <w:numFmt w:val="decimal"/>
      <w:start w:val="10"/>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decimal"/>
      <w:start w:val="5"/>
    </w:lvl>
    <w:lvl w:ilvl="1">
      <w:lvlJc w:val="left"/>
      <w:lvlText w:val="(%2)"/>
      <w:numFmt w:val="lowerRoman"/>
      <w:start w:val="1"/>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99">
    <w:nsid w:val="7C58FD05"/>
    <w:multiLevelType w:val="hybridMultilevel"/>
    <w:lvl w:ilvl="0">
      <w:lvlJc w:val="left"/>
      <w:lvlText w:val="(%1)"/>
      <w:numFmt w:val="lowerLetter"/>
      <w:start w:val="2"/>
    </w:lvl>
  </w:abstractNum>
  <w:abstractNum w:abstractNumId="100">
    <w:nsid w:val="23D86AAC"/>
    <w:multiLevelType w:val="hybridMultilevel"/>
    <w:lvl w:ilvl="0">
      <w:lvlJc w:val="left"/>
      <w:lvlText w:val="%1."/>
      <w:numFmt w:val="decimal"/>
      <w:start w:val="4"/>
    </w:lvl>
    <w:lvl w:ilvl="1">
      <w:lvlJc w:val="left"/>
      <w:lvlText w:val="(%2)"/>
      <w:numFmt w:val="lowerLetter"/>
      <w:start w:val="1"/>
    </w:lvl>
  </w:abstractNum>
  <w:abstractNum w:abstractNumId="101">
    <w:nsid w:val="45E6D486"/>
    <w:multiLevelType w:val="hybridMultilevel"/>
    <w:lvl w:ilvl="0">
      <w:lvlJc w:val="left"/>
      <w:lvlText w:val="(%1)"/>
      <w:numFmt w:val="lowerLetter"/>
      <w:start w:val="2"/>
    </w:lvl>
    <w:lvl w:ilvl="1">
      <w:lvlJc w:val="left"/>
      <w:lvlText w:val="(%2)"/>
      <w:numFmt w:val="lowerRoman"/>
      <w:start w:val="1"/>
    </w:lvl>
  </w:abstractNum>
  <w:abstractNum w:abstractNumId="102">
    <w:nsid w:val="5C10FE21"/>
    <w:multiLevelType w:val="hybridMultilevel"/>
    <w:lvl w:ilvl="0">
      <w:lvlJc w:val="left"/>
      <w:lvlText w:val="%1"/>
      <w:numFmt w:val="lowerLetter"/>
      <w:start w:val="1"/>
    </w:lvl>
    <w:lvl w:ilvl="1">
      <w:lvlJc w:val="left"/>
      <w:lvlText w:val="(%2)"/>
      <w:numFmt w:val="lowerRoman"/>
      <w:start w:val="4"/>
    </w:lvl>
  </w:abstractNum>
  <w:abstractNum w:abstractNumId="103">
    <w:nsid w:val="E7FFA2B"/>
    <w:multiLevelType w:val="hybridMultilevel"/>
    <w:lvl w:ilvl="0">
      <w:lvlJc w:val="left"/>
      <w:lvlText w:val="(%1)"/>
      <w:numFmt w:val="lowerLetter"/>
      <w:start w:val="4"/>
    </w:lvl>
    <w:lvl w:ilvl="1">
      <w:lvlJc w:val="left"/>
      <w:lvlText w:val="%2"/>
      <w:numFmt w:val="lowerRoman"/>
      <w:start w:val="1"/>
    </w:lvl>
  </w:abstractNum>
  <w:abstractNum w:abstractNumId="104">
    <w:nsid w:val="3C5991AA"/>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05">
    <w:nsid w:val="4BD8591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106">
    <w:nsid w:val="78DF6A55"/>
    <w:multiLevelType w:val="hybridMultilevel"/>
    <w:lvl w:ilvl="0">
      <w:lvlJc w:val="left"/>
      <w:lvlText w:val="(%1)"/>
      <w:numFmt w:val="lowerLetter"/>
      <w:start w:val="3"/>
    </w:lvl>
  </w:abstractNum>
  <w:abstractNum w:abstractNumId="107">
    <w:nsid w:val="39B7AAA2"/>
    <w:multiLevelType w:val="hybridMultilevel"/>
    <w:lvl w:ilvl="0">
      <w:lvlJc w:val="left"/>
      <w:lvlText w:val="%1."/>
      <w:numFmt w:val="decimal"/>
      <w:start w:val="6"/>
    </w:lvl>
    <w:lvl w:ilvl="1">
      <w:lvlJc w:val="left"/>
      <w:lvlText w:val="(%2)"/>
      <w:numFmt w:val="lowerLetter"/>
      <w:start w:val="1"/>
    </w:lvl>
  </w:abstractNum>
  <w:abstractNum w:abstractNumId="108">
    <w:nsid w:val="2B0D8DB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09">
    <w:nsid w:val="6C80EC70"/>
    <w:multiLevelType w:val="hybridMultilevel"/>
    <w:lvl w:ilvl="0">
      <w:lvlJc w:val="left"/>
      <w:lvlText w:val="(%1)"/>
      <w:numFmt w:val="lowerLetter"/>
      <w:start w:val="5"/>
    </w:lvl>
  </w:abstractNum>
  <w:abstractNum w:abstractNumId="110">
    <w:nsid w:val="379E21B5"/>
    <w:multiLevelType w:val="hybridMultilevel"/>
    <w:lvl w:ilvl="0">
      <w:lvlJc w:val="left"/>
      <w:lvlText w:val="(%1)"/>
      <w:numFmt w:val="lowerLetter"/>
      <w:start w:val="6"/>
    </w:lvl>
  </w:abstractNum>
  <w:abstractNum w:abstractNumId="111">
    <w:nsid w:val="69E373"/>
    <w:multiLevelType w:val="hybridMultilevel"/>
    <w:lvl w:ilvl="0">
      <w:lvlJc w:val="left"/>
      <w:lvlText w:val="(%1)"/>
      <w:numFmt w:val="lowerLetter"/>
      <w:start w:val="9"/>
    </w:lvl>
  </w:abstractNum>
  <w:abstractNum w:abstractNumId="112">
    <w:nsid w:val="2C27173B"/>
    <w:multiLevelType w:val="hybridMultilevel"/>
    <w:lvl w:ilvl="0">
      <w:lvlJc w:val="left"/>
      <w:lvlText w:val="(%1)"/>
      <w:numFmt w:val="lowerLetter"/>
      <w:start w:val="12"/>
    </w:lvl>
    <w:lvl w:ilvl="1">
      <w:lvlJc w:val="left"/>
      <w:lvlText w:val="(%2)"/>
      <w:numFmt w:val="lowerLetter"/>
      <w:start w:val="13"/>
    </w:lvl>
  </w:abstractNum>
  <w:abstractNum w:abstractNumId="113">
    <w:nsid w:val="4C9B0904"/>
    <w:multiLevelType w:val="hybridMultilevel"/>
    <w:lvl w:ilvl="0">
      <w:lvlJc w:val="left"/>
      <w:lvlText w:val="(%1)"/>
      <w:numFmt w:val="lowerLetter"/>
      <w:start w:val="17"/>
    </w:lvl>
  </w:abstractNum>
  <w:abstractNum w:abstractNumId="114">
    <w:nsid w:val="6AA7B75C"/>
    <w:multiLevelType w:val="hybridMultilevel"/>
    <w:lvl w:ilvl="0">
      <w:lvlJc w:val="left"/>
      <w:lvlText w:val="(%1)"/>
      <w:numFmt w:val="lowerLetter"/>
      <w:start w:val="18"/>
    </w:lvl>
    <w:lvl w:ilvl="1">
      <w:lvlJc w:val="left"/>
      <w:lvlText w:val="*"/>
      <w:numFmt w:val="bullet"/>
      <w:start w:val="1"/>
    </w:lvl>
  </w:abstractNum>
  <w:abstractNum w:abstractNumId="115">
    <w:nsid w:val="1DF029D3"/>
    <w:multiLevelType w:val="hybridMultilevel"/>
    <w:lvl w:ilvl="0">
      <w:lvlJc w:val="left"/>
      <w:lvlText w:val="%1."/>
      <w:numFmt w:val="decimal"/>
      <w:start w:val="1"/>
    </w:lvl>
  </w:abstractNum>
  <w:abstractNum w:abstractNumId="116">
    <w:nsid w:val="5675FF36"/>
    <w:multiLevelType w:val="hybridMultilevel"/>
    <w:lvl w:ilvl="0">
      <w:lvlJc w:val="left"/>
      <w:lvlText w:val="%1."/>
      <w:numFmt w:val="decimal"/>
      <w:start w:val="3"/>
    </w:lvl>
  </w:abstractNum>
  <w:abstractNum w:abstractNumId="117">
    <w:nsid w:val="3DD15094"/>
    <w:multiLevelType w:val="hybridMultilevel"/>
    <w:lvl w:ilvl="0">
      <w:lvlJc w:val="left"/>
      <w:lvlText w:val="%1."/>
      <w:numFmt w:val="decimal"/>
      <w:start w:val="4"/>
    </w:lvl>
  </w:abstractNum>
  <w:abstractNum w:abstractNumId="118">
    <w:nsid w:val="3DB012B3"/>
    <w:multiLevelType w:val="hybridMultilevel"/>
    <w:lvl w:ilvl="0">
      <w:lvlJc w:val="left"/>
      <w:lvlText w:val="%1."/>
      <w:numFmt w:val="decimal"/>
      <w:start w:val="7"/>
    </w:lvl>
    <w:lvl w:ilvl="1">
      <w:lvlJc w:val="left"/>
      <w:lvlText w:val="*"/>
      <w:numFmt w:val="bullet"/>
      <w:start w:val="1"/>
    </w:lvl>
  </w:abstractNum>
  <w:abstractNum w:abstractNumId="119">
    <w:nsid w:val="2708C9AF"/>
    <w:multiLevelType w:val="hybridMultilevel"/>
    <w:lvl w:ilvl="0">
      <w:lvlJc w:val="left"/>
      <w:lvlText w:val="%1."/>
      <w:numFmt w:val="decimal"/>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71" Type="http://schemas.openxmlformats.org/officeDocument/2006/relationships/image" Target="media/image555.png"/><Relationship Id="rId572" Type="http://schemas.openxmlformats.org/officeDocument/2006/relationships/image" Target="media/image556.png"/><Relationship Id="rId573" Type="http://schemas.openxmlformats.org/officeDocument/2006/relationships/image" Target="media/image557.png"/><Relationship Id="rId581" Type="http://schemas.openxmlformats.org/officeDocument/2006/relationships/image" Target="media/image558.png"/><Relationship Id="rId582" Type="http://schemas.openxmlformats.org/officeDocument/2006/relationships/image" Target="media/image559.png"/><Relationship Id="rId583" Type="http://schemas.openxmlformats.org/officeDocument/2006/relationships/image" Target="media/image560.png"/><Relationship Id="rId584" Type="http://schemas.openxmlformats.org/officeDocument/2006/relationships/image" Target="media/image561.png"/><Relationship Id="rId585" Type="http://schemas.openxmlformats.org/officeDocument/2006/relationships/image" Target="media/image562.png"/><Relationship Id="rId586" Type="http://schemas.openxmlformats.org/officeDocument/2006/relationships/image" Target="media/image563.png"/><Relationship Id="rId587" Type="http://schemas.openxmlformats.org/officeDocument/2006/relationships/image" Target="media/image564.png"/><Relationship Id="rId588" Type="http://schemas.openxmlformats.org/officeDocument/2006/relationships/image" Target="media/image565.png"/><Relationship Id="rId589" Type="http://schemas.openxmlformats.org/officeDocument/2006/relationships/image" Target="media/image566.png"/><Relationship Id="rId590" Type="http://schemas.openxmlformats.org/officeDocument/2006/relationships/image" Target="media/image567.png"/><Relationship Id="rId591" Type="http://schemas.openxmlformats.org/officeDocument/2006/relationships/image" Target="media/image568.png"/><Relationship Id="rId592" Type="http://schemas.openxmlformats.org/officeDocument/2006/relationships/image" Target="media/image569.png"/><Relationship Id="rId593" Type="http://schemas.openxmlformats.org/officeDocument/2006/relationships/image" Target="media/image570.png"/><Relationship Id="rId594" Type="http://schemas.openxmlformats.org/officeDocument/2006/relationships/image" Target="media/image571.png"/><Relationship Id="rId595" Type="http://schemas.openxmlformats.org/officeDocument/2006/relationships/image" Target="media/image572.png"/><Relationship Id="rId596" Type="http://schemas.openxmlformats.org/officeDocument/2006/relationships/image" Target="media/image573.png"/><Relationship Id="rId597" Type="http://schemas.openxmlformats.org/officeDocument/2006/relationships/image" Target="media/image574.png"/><Relationship Id="rId598" Type="http://schemas.openxmlformats.org/officeDocument/2006/relationships/image" Target="media/image575.png"/><Relationship Id="rId599" Type="http://schemas.openxmlformats.org/officeDocument/2006/relationships/image" Target="media/image576.png"/><Relationship Id="rId600" Type="http://schemas.openxmlformats.org/officeDocument/2006/relationships/image" Target="media/image577.png"/><Relationship Id="rId601" Type="http://schemas.openxmlformats.org/officeDocument/2006/relationships/image" Target="media/image578.png"/><Relationship Id="rId602" Type="http://schemas.openxmlformats.org/officeDocument/2006/relationships/image" Target="media/image579.png"/><Relationship Id="rId603" Type="http://schemas.openxmlformats.org/officeDocument/2006/relationships/image" Target="media/image580.png"/><Relationship Id="rId604" Type="http://schemas.openxmlformats.org/officeDocument/2006/relationships/image" Target="media/image581.png"/><Relationship Id="rId605" Type="http://schemas.openxmlformats.org/officeDocument/2006/relationships/image" Target="media/image582.png"/><Relationship Id="rId606" Type="http://schemas.openxmlformats.org/officeDocument/2006/relationships/image" Target="media/image583.png"/><Relationship Id="rId607" Type="http://schemas.openxmlformats.org/officeDocument/2006/relationships/image" Target="media/image584.png"/><Relationship Id="rId608" Type="http://schemas.openxmlformats.org/officeDocument/2006/relationships/image" Target="media/image585.png"/><Relationship Id="rId609" Type="http://schemas.openxmlformats.org/officeDocument/2006/relationships/image" Target="media/image586.png"/><Relationship Id="rId610" Type="http://schemas.openxmlformats.org/officeDocument/2006/relationships/image" Target="media/image587.png"/><Relationship Id="rId611" Type="http://schemas.openxmlformats.org/officeDocument/2006/relationships/image" Target="media/image588.png"/><Relationship Id="rId612" Type="http://schemas.openxmlformats.org/officeDocument/2006/relationships/image" Target="media/image589.png"/><Relationship Id="rId613" Type="http://schemas.openxmlformats.org/officeDocument/2006/relationships/image" Target="media/image590.png"/><Relationship Id="rId614" Type="http://schemas.openxmlformats.org/officeDocument/2006/relationships/image" Target="media/image591.png"/><Relationship Id="rId615" Type="http://schemas.openxmlformats.org/officeDocument/2006/relationships/image" Target="media/image592.png"/><Relationship Id="rId616" Type="http://schemas.openxmlformats.org/officeDocument/2006/relationships/image" Target="media/image593.png"/><Relationship Id="rId617" Type="http://schemas.openxmlformats.org/officeDocument/2006/relationships/image" Target="media/image594.png"/><Relationship Id="rId618" Type="http://schemas.openxmlformats.org/officeDocument/2006/relationships/image" Target="media/image595.png"/><Relationship Id="rId619" Type="http://schemas.openxmlformats.org/officeDocument/2006/relationships/image" Target="media/image596.png"/><Relationship Id="rId620" Type="http://schemas.openxmlformats.org/officeDocument/2006/relationships/image" Target="media/image597.png"/><Relationship Id="rId621" Type="http://schemas.openxmlformats.org/officeDocument/2006/relationships/image" Target="media/image598.png"/><Relationship Id="rId622" Type="http://schemas.openxmlformats.org/officeDocument/2006/relationships/image" Target="media/image599.png"/><Relationship Id="rId623" Type="http://schemas.openxmlformats.org/officeDocument/2006/relationships/image" Target="media/image600.png"/><Relationship Id="rId624" Type="http://schemas.openxmlformats.org/officeDocument/2006/relationships/image" Target="media/image601.png"/><Relationship Id="rId625" Type="http://schemas.openxmlformats.org/officeDocument/2006/relationships/image" Target="media/image602.png"/><Relationship Id="rId626" Type="http://schemas.openxmlformats.org/officeDocument/2006/relationships/image" Target="media/image603.png"/><Relationship Id="rId627" Type="http://schemas.openxmlformats.org/officeDocument/2006/relationships/image" Target="media/image604.png"/><Relationship Id="rId628" Type="http://schemas.openxmlformats.org/officeDocument/2006/relationships/image" Target="media/image605.png"/><Relationship Id="rId629" Type="http://schemas.openxmlformats.org/officeDocument/2006/relationships/image" Target="media/image606.png"/><Relationship Id="rId630" Type="http://schemas.openxmlformats.org/officeDocument/2006/relationships/image" Target="media/image607.png"/><Relationship Id="rId631" Type="http://schemas.openxmlformats.org/officeDocument/2006/relationships/image" Target="media/image608.png"/><Relationship Id="rId632" Type="http://schemas.openxmlformats.org/officeDocument/2006/relationships/image" Target="media/image609.png"/><Relationship Id="rId633" Type="http://schemas.openxmlformats.org/officeDocument/2006/relationships/image" Target="media/image610.png"/><Relationship Id="rId634" Type="http://schemas.openxmlformats.org/officeDocument/2006/relationships/image" Target="media/image611.png"/><Relationship Id="rId635" Type="http://schemas.openxmlformats.org/officeDocument/2006/relationships/image" Target="media/image612.png"/><Relationship Id="rId636" Type="http://schemas.openxmlformats.org/officeDocument/2006/relationships/image" Target="media/image613.png"/><Relationship Id="rId637" Type="http://schemas.openxmlformats.org/officeDocument/2006/relationships/image" Target="media/image614.png"/><Relationship Id="rId638" Type="http://schemas.openxmlformats.org/officeDocument/2006/relationships/image" Target="media/image615.png"/><Relationship Id="rId639" Type="http://schemas.openxmlformats.org/officeDocument/2006/relationships/image" Target="media/image616.png"/><Relationship Id="rId640" Type="http://schemas.openxmlformats.org/officeDocument/2006/relationships/image" Target="media/image617.png"/><Relationship Id="rId641" Type="http://schemas.openxmlformats.org/officeDocument/2006/relationships/image" Target="media/image618.png"/><Relationship Id="rId642" Type="http://schemas.openxmlformats.org/officeDocument/2006/relationships/image" Target="media/image619.png"/><Relationship Id="rId643" Type="http://schemas.openxmlformats.org/officeDocument/2006/relationships/image" Target="media/image620.png"/><Relationship Id="rId644" Type="http://schemas.openxmlformats.org/officeDocument/2006/relationships/image" Target="media/image621.png"/><Relationship Id="rId645" Type="http://schemas.openxmlformats.org/officeDocument/2006/relationships/image" Target="media/image622.png"/><Relationship Id="rId646" Type="http://schemas.openxmlformats.org/officeDocument/2006/relationships/image" Target="media/image623.png"/><Relationship Id="rId647" Type="http://schemas.openxmlformats.org/officeDocument/2006/relationships/image" Target="media/image624.png"/><Relationship Id="rId648" Type="http://schemas.openxmlformats.org/officeDocument/2006/relationships/image" Target="media/image625.png"/><Relationship Id="rId649" Type="http://schemas.openxmlformats.org/officeDocument/2006/relationships/image" Target="media/image626.png"/><Relationship Id="rId650" Type="http://schemas.openxmlformats.org/officeDocument/2006/relationships/image" Target="media/image627.png"/><Relationship Id="rId651" Type="http://schemas.openxmlformats.org/officeDocument/2006/relationships/image" Target="media/image628.png"/><Relationship Id="rId652" Type="http://schemas.openxmlformats.org/officeDocument/2006/relationships/image" Target="media/image629.png"/><Relationship Id="rId653" Type="http://schemas.openxmlformats.org/officeDocument/2006/relationships/image" Target="media/image630.png"/><Relationship Id="rId654" Type="http://schemas.openxmlformats.org/officeDocument/2006/relationships/image" Target="media/image631.png"/><Relationship Id="rId655" Type="http://schemas.openxmlformats.org/officeDocument/2006/relationships/image" Target="media/image632.png"/><Relationship Id="rId656" Type="http://schemas.openxmlformats.org/officeDocument/2006/relationships/image" Target="media/image633.png"/><Relationship Id="rId657" Type="http://schemas.openxmlformats.org/officeDocument/2006/relationships/image" Target="media/image634.png"/><Relationship Id="rId658" Type="http://schemas.openxmlformats.org/officeDocument/2006/relationships/image" Target="media/image635.png"/><Relationship Id="rId659" Type="http://schemas.openxmlformats.org/officeDocument/2006/relationships/image" Target="media/image636.png"/><Relationship Id="rId660" Type="http://schemas.openxmlformats.org/officeDocument/2006/relationships/image" Target="media/image637.png"/><Relationship Id="rId562" Type="http://schemas.openxmlformats.org/officeDocument/2006/relationships/hyperlink" Target="https://www.sec.gov/Archives/edgar/data/1726445/000162828020017214/exhibit31-closing8xk.htm" TargetMode="External"/><Relationship Id="rId563" Type="http://schemas.openxmlformats.org/officeDocument/2006/relationships/hyperlink" Target="https://www.sec.gov/Archives/edgar/data/1726445/000162828023022349/a31amendmenttotheamendedan.htm" TargetMode="External"/><Relationship Id="rId564" Type="http://schemas.openxmlformats.org/officeDocument/2006/relationships/hyperlink" Target="https://www.sec.gov/Archives/edgar/data/1726445/000162828023022349/a32amendedandrestatedbylaw.htm" TargetMode="External"/><Relationship Id="rId565" Type="http://schemas.openxmlformats.org/officeDocument/2006/relationships/hyperlink" Target="https://www.sec.gov/Archives/edgar/data/1726445/000162828020016325/exhibit41-stockcertifi.htm" TargetMode="External"/><Relationship Id="rId566" Type="http://schemas.openxmlformats.org/officeDocument/2006/relationships/hyperlink" Target="https://www.sec.gov/Archives/edgar/data/1726445/000162828020016325/exhibit101-sx1xformofi.htm" TargetMode="External"/><Relationship Id="rId567" Type="http://schemas.openxmlformats.org/officeDocument/2006/relationships/hyperlink" Target="https://www.sec.gov/Archives/edgar/data/1726445/000162828020016863/exhibit102-sx1a1.htm" TargetMode="External"/><Relationship Id="rId568" Type="http://schemas.openxmlformats.org/officeDocument/2006/relationships/hyperlink" Target="https://www.sec.gov/Archives/edgar/data/1726445/000162828020016863/exhibit104-sx1a1.htm" TargetMode="External"/><Relationship Id="rId569" Type="http://schemas.openxmlformats.org/officeDocument/2006/relationships/hyperlink" Target="https://www.sec.gov/Archives/edgar/data/1726445/000162828023006976/exhibit43-2020employeestoc.htm" TargetMode="External"/><Relationship Id="rId570" Type="http://schemas.openxmlformats.org/officeDocument/2006/relationships/hyperlink" Target="https://www.sec.gov/Archives/edgar/data/1726445/000162828020016863/exhibit107-sx1a1.htm" TargetMode="External"/><Relationship Id="rId574" Type="http://schemas.openxmlformats.org/officeDocument/2006/relationships/hyperlink" Target="https://www.sec.gov/Archives/edgar/data/1726445/000162828020016863/exhibit109-sx1a1.htm" TargetMode="External"/><Relationship Id="rId575" Type="http://schemas.openxmlformats.org/officeDocument/2006/relationships/hyperlink" Target="https://www.sec.gov/Archives/edgar/data/1726445/000162828020016863/exhibit1010-sx1a1.htm" TargetMode="External"/><Relationship Id="rId576" Type="http://schemas.openxmlformats.org/officeDocument/2006/relationships/hyperlink" Target="https://www.sec.gov/Archives/edgar/data/1726445/000162828020016863/exhibit1011-sx1a1.htm" TargetMode="External"/><Relationship Id="rId577" Type="http://schemas.openxmlformats.org/officeDocument/2006/relationships/hyperlink" Target="https://www.sec.gov/Archives/edgar/data/1726445/000162828020016325/exhibit1014-sx1xumbrel.htm" TargetMode="External"/><Relationship Id="rId578" Type="http://schemas.openxmlformats.org/officeDocument/2006/relationships/hyperlink" Target="https://www.sec.gov/Archives/edgar/data/1726445/000162828020016325/exhibit1015-sx1xexclus.htm" TargetMode="External"/><Relationship Id="rId579" Type="http://schemas.openxmlformats.org/officeDocument/2006/relationships/hyperlink" Target="https://www.sec.gov/Archives/edgar/data/1726445/000162828023037381/a101keyexecutivechangeinco.htm" TargetMode="External"/><Relationship Id="rId580" Type="http://schemas.openxmlformats.org/officeDocument/2006/relationships/hyperlink" Target="https://www.sec.gov/ix?doc=/Archives/edgar/data/0001726445/000095017024024967/ck0001726445-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2025-03-03T16:06:10Z</dcterms:created>
  <dcterms:modified xsi:type="dcterms:W3CDTF">2025-03-03T16:06:10Z</dcterms:modified>
</cp:coreProperties>
</file>