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69850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December 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98" w:lineRule="exact"/>
        <w:rPr>
          <w:sz w:val="24"/>
          <w:szCs w:val="24"/>
          <w:color w:val="auto"/>
        </w:rPr>
      </w:pPr>
    </w:p>
    <w:tbl>
      <w:tblPr>
        <w:tblLayout w:type="fixed"/>
        <w:tblInd w:w="860" w:type="dxa"/>
        <w:tblCellMar>
          <w:top w:w="0" w:type="dxa"/>
          <w:left w:w="0" w:type="dxa"/>
          <w:bottom w:w="0" w:type="dxa"/>
          <w:right w:w="0" w:type="dxa"/>
        </w:tblCellMar>
      </w:tblPr>
      <w:tr>
        <w:trPr>
          <w:trHeight w:val="190"/>
        </w:trPr>
        <w:tc>
          <w:tcPr>
            <w:tcW w:w="23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040" w:type="dxa"/>
            <w:vAlign w:val="bottom"/>
          </w:tcPr>
          <w:p>
            <w:pPr>
              <w:jc w:val="right"/>
              <w:ind w:right="2221"/>
              <w:spacing w:after="0"/>
              <w:rPr>
                <w:sz w:val="20"/>
                <w:szCs w:val="20"/>
                <w:color w:val="auto"/>
              </w:rPr>
            </w:pPr>
            <w:r>
              <w:rPr>
                <w:rFonts w:ascii="Times New Roman" w:cs="Times New Roman" w:eastAsia="Times New Roman" w:hAnsi="Times New Roman"/>
                <w:sz w:val="14"/>
                <w:szCs w:val="14"/>
                <w:b w:val="1"/>
                <w:bCs w:val="1"/>
                <w:color w:val="auto"/>
              </w:rPr>
              <w:t>001-39747</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29"/>
        </w:trPr>
        <w:tc>
          <w:tcPr>
            <w:tcW w:w="2320" w:type="dxa"/>
            <w:vAlign w:val="bottom"/>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30"/>
        </w:trPr>
        <w:tc>
          <w:tcPr>
            <w:tcW w:w="232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04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00" w:type="dxa"/>
            <w:vAlign w:val="bottom"/>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07"/>
        </w:trPr>
        <w:tc>
          <w:tcPr>
            <w:tcW w:w="2320" w:type="dxa"/>
            <w:vAlign w:val="bottom"/>
          </w:tcPr>
          <w:p>
            <w:pPr>
              <w:spacing w:after="0"/>
              <w:rPr>
                <w:sz w:val="24"/>
                <w:szCs w:val="24"/>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tc>
        <w:tc>
          <w:tcPr>
            <w:tcW w:w="1800" w:type="dxa"/>
            <w:vAlign w:val="bottom"/>
          </w:tcPr>
          <w:p>
            <w:pPr>
              <w:spacing w:after="0"/>
              <w:rPr>
                <w:sz w:val="24"/>
                <w:szCs w:val="24"/>
                <w:color w:val="auto"/>
              </w:rPr>
            </w:pPr>
          </w:p>
        </w:tc>
      </w:tr>
      <w:tr>
        <w:trPr>
          <w:trHeight w:val="297"/>
        </w:trPr>
        <w:tc>
          <w:tcPr>
            <w:tcW w:w="2320" w:type="dxa"/>
            <w:vAlign w:val="bottom"/>
          </w:tcPr>
          <w:p>
            <w:pPr>
              <w:spacing w:after="0"/>
              <w:rPr>
                <w:sz w:val="24"/>
                <w:szCs w:val="24"/>
                <w:color w:val="auto"/>
              </w:rPr>
            </w:pPr>
          </w:p>
        </w:tc>
        <w:tc>
          <w:tcPr>
            <w:tcW w:w="5040" w:type="dxa"/>
            <w:vAlign w:val="bottom"/>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tc>
        <w:tc>
          <w:tcPr>
            <w:tcW w:w="1800" w:type="dxa"/>
            <w:vAlign w:val="bottom"/>
          </w:tcPr>
          <w:p>
            <w:pPr>
              <w:spacing w:after="0"/>
              <w:rPr>
                <w:sz w:val="24"/>
                <w:szCs w:val="24"/>
                <w:color w:val="auto"/>
              </w:rPr>
            </w:pPr>
          </w:p>
        </w:tc>
      </w:tr>
      <w:tr>
        <w:trPr>
          <w:trHeight w:val="233"/>
        </w:trPr>
        <w:tc>
          <w:tcPr>
            <w:tcW w:w="2320" w:type="dxa"/>
            <w:vAlign w:val="bottom"/>
          </w:tcPr>
          <w:p>
            <w:pPr>
              <w:spacing w:after="0"/>
              <w:rPr>
                <w:sz w:val="20"/>
                <w:szCs w:val="20"/>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800" w:type="dxa"/>
            <w:vAlign w:val="bottom"/>
          </w:tcPr>
          <w:p>
            <w:pPr>
              <w:spacing w:after="0"/>
              <w:rPr>
                <w:sz w:val="20"/>
                <w:szCs w:val="20"/>
                <w:color w:val="auto"/>
              </w:rPr>
            </w:pPr>
          </w:p>
        </w:tc>
      </w:tr>
      <w:tr>
        <w:trPr>
          <w:trHeight w:val="242"/>
        </w:trPr>
        <w:tc>
          <w:tcPr>
            <w:tcW w:w="2320" w:type="dxa"/>
            <w:vAlign w:val="bottom"/>
          </w:tcPr>
          <w:p>
            <w:pPr>
              <w:spacing w:after="0"/>
              <w:rPr>
                <w:sz w:val="21"/>
                <w:szCs w:val="21"/>
                <w:color w:val="auto"/>
              </w:rPr>
            </w:pPr>
          </w:p>
        </w:tc>
        <w:tc>
          <w:tcPr>
            <w:tcW w:w="5040" w:type="dxa"/>
            <w:vAlign w:val="bottom"/>
          </w:tcPr>
          <w:p>
            <w:pPr>
              <w:jc w:val="right"/>
              <w:ind w:right="2021"/>
              <w:spacing w:after="0"/>
              <w:rPr>
                <w:sz w:val="20"/>
                <w:szCs w:val="20"/>
                <w:color w:val="auto"/>
              </w:rPr>
            </w:pPr>
            <w:r>
              <w:rPr>
                <w:rFonts w:ascii="Times New Roman" w:cs="Times New Roman" w:eastAsia="Times New Roman" w:hAnsi="Times New Roman"/>
                <w:sz w:val="18"/>
                <w:szCs w:val="18"/>
                <w:b w:val="1"/>
                <w:bCs w:val="1"/>
                <w:color w:val="auto"/>
              </w:rPr>
              <w:t>650-453-0000</w:t>
            </w:r>
          </w:p>
        </w:tc>
        <w:tc>
          <w:tcPr>
            <w:tcW w:w="1800" w:type="dxa"/>
            <w:vAlign w:val="bottom"/>
          </w:tcPr>
          <w:p>
            <w:pPr>
              <w:spacing w:after="0"/>
              <w:rPr>
                <w:sz w:val="21"/>
                <w:szCs w:val="21"/>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00" w:type="dxa"/>
            <w:vAlign w:val="bottom"/>
          </w:tcPr>
          <w:p>
            <w:pPr>
              <w:spacing w:after="0"/>
              <w:rPr>
                <w:sz w:val="16"/>
                <w:szCs w:val="16"/>
                <w:color w:val="auto"/>
              </w:rPr>
            </w:pPr>
          </w:p>
        </w:tc>
      </w:tr>
      <w:tr>
        <w:trPr>
          <w:trHeight w:val="255"/>
        </w:trPr>
        <w:tc>
          <w:tcPr>
            <w:tcW w:w="2320" w:type="dxa"/>
            <w:vAlign w:val="bottom"/>
          </w:tcPr>
          <w:p>
            <w:pPr>
              <w:spacing w:after="0"/>
              <w:rPr>
                <w:sz w:val="22"/>
                <w:szCs w:val="22"/>
                <w:color w:val="auto"/>
              </w:rPr>
            </w:pPr>
          </w:p>
        </w:tc>
        <w:tc>
          <w:tcPr>
            <w:tcW w:w="5040" w:type="dxa"/>
            <w:vAlign w:val="bottom"/>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800" w:type="dxa"/>
            <w:vAlign w:val="bottom"/>
          </w:tcPr>
          <w:p>
            <w:pPr>
              <w:spacing w:after="0"/>
              <w:rPr>
                <w:sz w:val="22"/>
                <w:szCs w:val="22"/>
                <w:color w:val="auto"/>
              </w:rPr>
            </w:pPr>
          </w:p>
        </w:tc>
      </w:tr>
      <w:tr>
        <w:trPr>
          <w:trHeight w:val="190"/>
        </w:trPr>
        <w:tc>
          <w:tcPr>
            <w:tcW w:w="2320" w:type="dxa"/>
            <w:vAlign w:val="bottom"/>
          </w:tcPr>
          <w:p>
            <w:pPr>
              <w:spacing w:after="0"/>
              <w:rPr>
                <w:sz w:val="16"/>
                <w:szCs w:val="16"/>
                <w:color w:val="auto"/>
              </w:rPr>
            </w:pPr>
          </w:p>
        </w:tc>
        <w:tc>
          <w:tcPr>
            <w:tcW w:w="50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reports)</w:t>
            </w:r>
          </w:p>
        </w:tc>
        <w:tc>
          <w:tcPr>
            <w:tcW w:w="18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23495</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93"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0"/>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SEER</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29"/>
        </w:trPr>
        <w:tc>
          <w:tcPr>
            <w:tcW w:w="4480" w:type="dxa"/>
            <w:vAlign w:val="bottom"/>
            <w:tcBorders>
              <w:left w:val="single" w:sz="8" w:color="auto"/>
              <w:right w:val="single" w:sz="8" w:color="auto"/>
            </w:tcBorders>
          </w:tcPr>
          <w:p>
            <w:pPr>
              <w:spacing w:after="0"/>
              <w:rPr>
                <w:sz w:val="19"/>
                <w:szCs w:val="19"/>
                <w:color w:val="auto"/>
              </w:rPr>
            </w:pPr>
          </w:p>
        </w:tc>
        <w:tc>
          <w:tcPr>
            <w:tcW w:w="1940" w:type="dxa"/>
            <w:vAlign w:val="bottom"/>
            <w:tcBorders>
              <w:right w:val="single" w:sz="8" w:color="auto"/>
            </w:tcBorders>
          </w:tcPr>
          <w:p>
            <w:pPr>
              <w:spacing w:after="0"/>
              <w:rPr>
                <w:sz w:val="19"/>
                <w:szCs w:val="19"/>
                <w:color w:val="auto"/>
              </w:rPr>
            </w:pP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33"/>
        </w:trPr>
        <w:tc>
          <w:tcPr>
            <w:tcW w:w="4480" w:type="dxa"/>
            <w:vAlign w:val="bottom"/>
            <w:tcBorders>
              <w:left w:val="single" w:sz="8" w:color="auto"/>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pacing w:after="0" w:line="49" w:lineRule="exact"/>
        <w:rPr>
          <w:sz w:val="24"/>
          <w:szCs w:val="24"/>
          <w:color w:val="auto"/>
        </w:rPr>
      </w:pPr>
    </w:p>
    <w:p>
      <w:pPr>
        <w:ind w:right="540"/>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ind w:right="30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8"/>
          <w:szCs w:val="18"/>
          <w:b w:val="1"/>
          <w:bCs w:val="1"/>
          <w:color w:val="auto"/>
        </w:rPr>
        <w:t>Material Modification of Rights of Security Holders.</w:t>
      </w:r>
    </w:p>
    <w:p>
      <w:pPr>
        <w:spacing w:after="0" w:line="24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At the close of business on December 9, 2025, each outstanding share of Class B Common Stock, par value $0.00001 per share (the “Class B Common Stock”), of Seer, Inc. (the “Company”), automatically converted (the “Conversion”) into one share of the Company’s Class A Common Stock, par value $0.00001 per share (the “Class A Common Stock”), pursuant to the terms of the Company’s Amended and Restated Certificate of Incorporation, as amended (the “Certificate”).</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Conversion occurred pursuant to Part A, Section 3.4 of Article IV of the Certificate, which generally provides that each outstanding share of Class B Common Stock will convert automatically, without any further action, into one share of Class A Common Stock at the close of business on the first day following the fifth anniversary of the closing of the first firm-commitment underwritten public offering pursuant to an effective registration statement under the Securities Act of 1933, as amended, resulting in the listing of shares of the Company’s capital stock on a securities exchange registered with the U.S. Securities and Exchange Commission as a national securities exchange pursuant to Section 6(a) of the Exchange Act of 1934, as amended (the “Conversion Time”), which Conversion Time was 5:00 p.m. Pacific Time on December 9, 2025. Immediately following the Conversion, there were approximately 56,251,522 shares of Class A Common Stock outstanding.</w:t>
      </w:r>
    </w:p>
    <w:p>
      <w:pPr>
        <w:spacing w:after="0" w:line="18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Pursuant to Part A, Section 3.5 of Article IV of the Certificate, shares of Class B Common Stock that are converted into shares of Class A Common Stock as provided in Part A, Section 3 of Article IV of the Certificate shall be retired and shall not be reissued. In connection with the Conversion and effective as of immediately following the Conversion Time, all shares of Class B Common Stock that had been converted into shares of Class A Common Stock in the Conversion were retired. Following such retirement and in accordance with Section 243 of the Delaware General Corporation Law (the “DGCL”), on December 12, 2025, the Company filed a Certificate of Retirement with the Secretary of State of the State of Delaware (the “Certificate of Retirement”).</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Conversion and filing of the Certificate of Retirement had the following effects, among others, on the holders of shares of Class B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Voting Power</w:t>
      </w:r>
      <w:r>
        <w:rPr>
          <w:rFonts w:ascii="Times New Roman" w:cs="Times New Roman" w:eastAsia="Times New Roman" w:hAnsi="Times New Roman"/>
          <w:sz w:val="18"/>
          <w:szCs w:val="18"/>
          <w:color w:val="auto"/>
        </w:rPr>
        <w:t>. Prior to the Conversion, holders of shares of Class B Common Stock were entitled to cast ten votes per share of Class B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on any matter submitted to a vote of the Company’s stockholders. As a result of the Conversion, all former holders of shares of Class B Common Stock are now holders of an equal number of shares of Class A Common Stock, which are entitled to cast only one vote per share on any matter submitted to a vote of the Company’s stockholders.</w:t>
      </w:r>
    </w:p>
    <w:p>
      <w:pPr>
        <w:spacing w:after="0" w:line="1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Economic Interests</w:t>
      </w:r>
      <w:r>
        <w:rPr>
          <w:rFonts w:ascii="Times New Roman" w:cs="Times New Roman" w:eastAsia="Times New Roman" w:hAnsi="Times New Roman"/>
          <w:sz w:val="18"/>
          <w:szCs w:val="18"/>
          <w:color w:val="auto"/>
        </w:rPr>
        <w:t>. Because holders of shares of Class A Common Stock are entitled to the same economic interests to which former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Class B Common Stock were entitled before the Conversion, including, without limitation, as to any dividends and distributions, and upon any liquidation, dissolution or winding up of the Company, the Conversion had no impact on the economic interests of former holders of shares of Class B Common Stock.</w:t>
      </w:r>
    </w:p>
    <w:p>
      <w:pPr>
        <w:spacing w:after="0" w:line="18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The Conversion had no impact on the total number of the Company’s outstanding shares of capital stock, as the shares of Class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converted into an equivalent number of shares of Class A Common Stock. Pursuant to Section 243 of the DGCL, the filing of the Certificate of Retirement had the effect of amending the Certificate such that, upon the effectiveness of the Certificate of Retirement, the Company’s total number of authorized shares of capital stock and the Company’s total number of authorized shares of Class B Common Stock were each reduced by an amount equal to the number of retired shares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 w:name="page3"/>
    <w:bookmarkEnd w:id="2"/>
    <w:p>
      <w:pPr>
        <w:spacing w:after="0" w:line="200" w:lineRule="exact"/>
        <w:rPr>
          <w:sz w:val="20"/>
          <w:szCs w:val="20"/>
          <w:color w:val="auto"/>
        </w:rPr>
      </w:pPr>
    </w:p>
    <w:p>
      <w:pPr>
        <w:spacing w:after="0" w:line="219"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4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described under Item 3.03, on December 12, 2025, the Company filed the Certificate of Retirement with the Secretary of State of the State of Delaware in connection with the retirement of the shares of Class B Common Stock that were issued but not outstanding following the Conversion and to accordingly reduce the Company’s total number of authorized shares of capital stock and the Company’s total number of authorized shares of Class B Common Stock by an amount equal to the number of retired shares of Class B Common Stock.</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foregoing description of the Certificate of Retirement is a summary only and is qualified in its entirety by reference to the full text of (a) the Certificate of Retirement, a copy of which is attached as Exhibit 3.1 hereto, (b) the Amended and Restated Certificate of Incorporation of the Company, a copy of which is incorporated by reference herein as Exhibit 3.2 hereto, and (c) the Amendment to the Amended and Restated Certificate of Incorporation of the Company, a copy of which is incorporated by reference herein as Exhibit 3.3 hereto, and all of which are incorporated by reference into this Item 5.03.</w:t>
      </w:r>
    </w:p>
    <w:p>
      <w:pPr>
        <w:spacing w:after="0" w:line="193"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43"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Class A Common Stock will continue to trade on The Nasdaq Stock Market LLC under the ticker symbol “SEER” following the Conversion and will maintain the same CUSIP number previously assigned to the Class A Common Stock.</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3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16"/>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8"/>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1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900" w:type="dxa"/>
            <w:vAlign w:val="bottom"/>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Form</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240" w:type="dxa"/>
            <w:vAlign w:val="bottom"/>
          </w:tcPr>
          <w:p>
            <w:pPr>
              <w:jc w:val="center"/>
              <w:ind w:left="152"/>
              <w:spacing w:after="0"/>
              <w:rPr>
                <w:sz w:val="20"/>
                <w:szCs w:val="20"/>
                <w:color w:val="auto"/>
              </w:rPr>
            </w:pPr>
            <w:r>
              <w:rPr>
                <w:rFonts w:ascii="Times New Roman" w:cs="Times New Roman" w:eastAsia="Times New Roman" w:hAnsi="Times New Roman"/>
                <w:sz w:val="16"/>
                <w:szCs w:val="16"/>
                <w:b w:val="1"/>
                <w:bCs w:val="1"/>
                <w:color w:val="auto"/>
                <w:w w:val="99"/>
              </w:rPr>
              <w:t>Filing Date</w:t>
            </w:r>
          </w:p>
        </w:tc>
      </w:tr>
      <w:tr>
        <w:trPr>
          <w:trHeight w:val="371"/>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52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Certificate of Retirement.</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12"/>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5280" w:type="dxa"/>
            <w:vAlign w:val="bottom"/>
            <w:gridSpan w:val="5"/>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Amended and Restated Certificate of Incorporation of the Company.</w:t>
              </w:r>
            </w:hyperlink>
          </w:p>
        </w:tc>
        <w:tc>
          <w:tcPr>
            <w:tcW w:w="90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001-39747</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40" w:type="dxa"/>
            <w:vAlign w:val="bottom"/>
          </w:tcPr>
          <w:p>
            <w:pPr>
              <w:jc w:val="center"/>
              <w:ind w:left="112"/>
              <w:spacing w:after="0"/>
              <w:rPr>
                <w:sz w:val="20"/>
                <w:szCs w:val="20"/>
                <w:color w:val="auto"/>
              </w:rPr>
            </w:pPr>
            <w:r>
              <w:rPr>
                <w:rFonts w:ascii="Times New Roman" w:cs="Times New Roman" w:eastAsia="Times New Roman" w:hAnsi="Times New Roman"/>
                <w:sz w:val="18"/>
                <w:szCs w:val="18"/>
                <w:color w:val="auto"/>
                <w:w w:val="99"/>
              </w:rPr>
              <w:t>December 8,</w:t>
            </w:r>
          </w:p>
        </w:tc>
      </w:tr>
      <w:tr>
        <w:trPr>
          <w:trHeight w:val="237"/>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820" w:type="dxa"/>
            <w:vAlign w:val="bottom"/>
            <w:tcBorders>
              <w:top w:val="single" w:sz="8" w:color="0000FF"/>
            </w:tcBorders>
          </w:tcPr>
          <w:p>
            <w:pPr>
              <w:spacing w:after="0"/>
              <w:rPr>
                <w:sz w:val="20"/>
                <w:szCs w:val="20"/>
                <w:color w:val="auto"/>
              </w:rPr>
            </w:pPr>
          </w:p>
        </w:tc>
        <w:tc>
          <w:tcPr>
            <w:tcW w:w="3080" w:type="dxa"/>
            <w:vAlign w:val="bottom"/>
            <w:tcBorders>
              <w:top w:val="single" w:sz="8" w:color="0000FF"/>
            </w:tcBorders>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2020</w:t>
            </w:r>
          </w:p>
        </w:tc>
      </w:tr>
      <w:tr>
        <w:trPr>
          <w:trHeight w:val="391"/>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528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20">
              <w:r>
                <w:rPr>
                  <w:rFonts w:ascii="Times New Roman" w:cs="Times New Roman" w:eastAsia="Times New Roman" w:hAnsi="Times New Roman"/>
                  <w:sz w:val="18"/>
                  <w:szCs w:val="18"/>
                  <w:color w:val="0000FF"/>
                  <w:w w:val="99"/>
                </w:rPr>
                <w:t>Amendment to the Amended and Restated Certificate of Incorporation of</w:t>
              </w:r>
            </w:hyperlink>
          </w:p>
        </w:tc>
        <w:tc>
          <w:tcPr>
            <w:tcW w:w="900" w:type="dxa"/>
            <w:vAlign w:val="bottom"/>
          </w:tcPr>
          <w:p>
            <w:pPr>
              <w:jc w:val="center"/>
              <w:ind w:right="13"/>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001-39747</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June 16, 2023</w:t>
            </w: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20">
              <w:r>
                <w:rPr>
                  <w:rFonts w:ascii="Times New Roman" w:cs="Times New Roman" w:eastAsia="Times New Roman" w:hAnsi="Times New Roman"/>
                  <w:sz w:val="18"/>
                  <w:szCs w:val="18"/>
                  <w:color w:val="0000FF"/>
                  <w:w w:val="98"/>
                </w:rPr>
                <w:t>the Company.</w:t>
              </w:r>
            </w:hyperlink>
          </w:p>
        </w:tc>
        <w:tc>
          <w:tcPr>
            <w:tcW w:w="20" w:type="dxa"/>
            <w:vAlign w:val="bottom"/>
            <w:tcBorders>
              <w:bottom w:val="single" w:sz="8" w:color="0000EE"/>
            </w:tcBorders>
          </w:tcPr>
          <w:p>
            <w:pPr>
              <w:spacing w:after="0"/>
              <w:rPr>
                <w:sz w:val="17"/>
                <w:szCs w:val="17"/>
                <w:color w:val="auto"/>
              </w:rPr>
            </w:pPr>
          </w:p>
        </w:tc>
        <w:tc>
          <w:tcPr>
            <w:tcW w:w="424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r>
    </w:tbl>
    <w:p>
      <w:pPr>
        <w:spacing w:after="0" w:line="225" w:lineRule="exact"/>
        <w:rPr>
          <w:sz w:val="20"/>
          <w:szCs w:val="20"/>
          <w:color w:val="auto"/>
        </w:rPr>
      </w:pPr>
    </w:p>
    <w:p>
      <w:pPr>
        <w:ind w:left="1220" w:right="4780" w:hanging="794"/>
        <w:spacing w:after="0" w:line="282" w:lineRule="auto"/>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from this Current Report on Form 8-K, formatted in Inline XBRL.</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1302385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59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SEER, INC.</w:t>
            </w:r>
          </w:p>
        </w:tc>
      </w:tr>
      <w:tr>
        <w:trPr>
          <w:trHeight w:val="432"/>
        </w:trPr>
        <w:tc>
          <w:tcPr>
            <w:tcW w:w="528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Date: December 12, 2025</w:t>
            </w:r>
          </w:p>
        </w:tc>
        <w:tc>
          <w:tcPr>
            <w:tcW w:w="5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By:   /s/ David Horn</w:t>
            </w:r>
          </w:p>
        </w:tc>
      </w:tr>
      <w:tr>
        <w:trPr>
          <w:trHeight w:val="191"/>
        </w:trPr>
        <w:tc>
          <w:tcPr>
            <w:tcW w:w="5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Horn</w:t>
            </w:r>
          </w:p>
        </w:tc>
      </w:tr>
      <w:tr>
        <w:trPr>
          <w:trHeight w:val="234"/>
        </w:trPr>
        <w:tc>
          <w:tcPr>
            <w:tcW w:w="5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1627"/>
        </w:trPr>
        <w:tc>
          <w:tcPr>
            <w:tcW w:w="5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CERTIFICATE OF RETIREMENT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jc w:val="center"/>
        <w:spacing w:after="0"/>
        <w:rPr>
          <w:sz w:val="20"/>
          <w:szCs w:val="20"/>
          <w:color w:val="auto"/>
        </w:rPr>
      </w:pPr>
      <w:r>
        <w:rPr>
          <w:rFonts w:ascii="Times New Roman" w:cs="Times New Roman" w:eastAsia="Times New Roman" w:hAnsi="Times New Roman"/>
          <w:sz w:val="20"/>
          <w:szCs w:val="20"/>
          <w:b w:val="1"/>
          <w:bCs w:val="1"/>
          <w:color w:val="auto"/>
        </w:rPr>
        <w:t>CLASS B COMMON STOCK</w:t>
      </w: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Pursuant to Section 243(b) of the General Corporation Law of the State of Delaware</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Seer, Inc., a corporation organized and existing under the laws of the State of Delaware (the “</w:t>
      </w:r>
      <w:r>
        <w:rPr>
          <w:rFonts w:ascii="Times New Roman" w:cs="Times New Roman" w:eastAsia="Times New Roman" w:hAnsi="Times New Roman"/>
          <w:sz w:val="20"/>
          <w:szCs w:val="20"/>
          <w:b w:val="1"/>
          <w:bCs w:val="1"/>
          <w:color w:val="auto"/>
        </w:rPr>
        <w:t>Corporation</w:t>
      </w:r>
      <w:r>
        <w:rPr>
          <w:rFonts w:ascii="Times New Roman" w:cs="Times New Roman" w:eastAsia="Times New Roman" w:hAnsi="Times New Roman"/>
          <w:sz w:val="20"/>
          <w:szCs w:val="20"/>
          <w:color w:val="auto"/>
        </w:rPr>
        <w:t>”), hereby certifies 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follows:</w:t>
      </w:r>
    </w:p>
    <w:p>
      <w:pPr>
        <w:spacing w:after="0" w:line="190" w:lineRule="exact"/>
        <w:rPr>
          <w:sz w:val="20"/>
          <w:szCs w:val="20"/>
          <w:color w:val="auto"/>
        </w:rPr>
      </w:pPr>
    </w:p>
    <w:p>
      <w:pPr>
        <w:jc w:val="both"/>
        <w:ind w:firstLine="757"/>
        <w:spacing w:after="0" w:line="247" w:lineRule="auto"/>
        <w:tabs>
          <w:tab w:leader="none" w:pos="969"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IV of the Amended and Restated Certificate of Incorporation of the Corporation (the “</w:t>
      </w:r>
      <w:r>
        <w:rPr>
          <w:rFonts w:ascii="Times New Roman" w:cs="Times New Roman" w:eastAsia="Times New Roman" w:hAnsi="Times New Roman"/>
          <w:sz w:val="20"/>
          <w:szCs w:val="20"/>
          <w:b w:val="1"/>
          <w:bCs w:val="1"/>
          <w:color w:val="auto"/>
        </w:rPr>
        <w:t>Certificate</w:t>
      </w:r>
      <w:r>
        <w:rPr>
          <w:rFonts w:ascii="Times New Roman" w:cs="Times New Roman" w:eastAsia="Times New Roman" w:hAnsi="Times New Roman"/>
          <w:sz w:val="20"/>
          <w:szCs w:val="20"/>
          <w:color w:val="auto"/>
        </w:rPr>
        <w:t>”), provides, among other things, that the total number of shares of all classes of stock that the Corporation shall have authority to issue is 105,000,000, consisting of (i) 5,000,000 shares of Preferred Stock, par value $0.00001 per share, (ii) 94,000,000 shares of Class A Common Stock, par value $0.00001 per share (“</w:t>
      </w:r>
      <w:r>
        <w:rPr>
          <w:rFonts w:ascii="Times New Roman" w:cs="Times New Roman" w:eastAsia="Times New Roman" w:hAnsi="Times New Roman"/>
          <w:sz w:val="20"/>
          <w:szCs w:val="20"/>
          <w:b w:val="1"/>
          <w:bCs w:val="1"/>
          <w:color w:val="auto"/>
        </w:rPr>
        <w:t>Class A Common Stock</w:t>
      </w:r>
      <w:r>
        <w:rPr>
          <w:rFonts w:ascii="Times New Roman" w:cs="Times New Roman" w:eastAsia="Times New Roman" w:hAnsi="Times New Roman"/>
          <w:sz w:val="20"/>
          <w:szCs w:val="20"/>
          <w:color w:val="auto"/>
        </w:rPr>
        <w:t>”), and (iii) 6,000,000 shares of Class B Common Stock, par value $0.00001 per share (“</w:t>
      </w:r>
      <w:r>
        <w:rPr>
          <w:rFonts w:ascii="Times New Roman" w:cs="Times New Roman" w:eastAsia="Times New Roman" w:hAnsi="Times New Roman"/>
          <w:sz w:val="20"/>
          <w:szCs w:val="20"/>
          <w:b w:val="1"/>
          <w:bCs w:val="1"/>
          <w:color w:val="auto"/>
        </w:rPr>
        <w:t>Class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 Common Stock</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ind w:firstLine="757"/>
        <w:spacing w:after="0" w:line="273" w:lineRule="auto"/>
        <w:tabs>
          <w:tab w:leader="none" w:pos="95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outstanding shares of Class B Common Stock have been automatically converted (the “</w:t>
      </w:r>
      <w:r>
        <w:rPr>
          <w:rFonts w:ascii="Times New Roman" w:cs="Times New Roman" w:eastAsia="Times New Roman" w:hAnsi="Times New Roman"/>
          <w:sz w:val="20"/>
          <w:szCs w:val="20"/>
          <w:b w:val="1"/>
          <w:bCs w:val="1"/>
          <w:color w:val="auto"/>
        </w:rPr>
        <w:t>Conversion</w:t>
      </w:r>
      <w:r>
        <w:rPr>
          <w:rFonts w:ascii="Times New Roman" w:cs="Times New Roman" w:eastAsia="Times New Roman" w:hAnsi="Times New Roman"/>
          <w:sz w:val="20"/>
          <w:szCs w:val="20"/>
          <w:color w:val="auto"/>
        </w:rPr>
        <w:t>”) into shares of Class A Common Stock pursuant to the provisions of Part A, Section 3.4 of Article IV of the Certificate.</w:t>
      </w:r>
    </w:p>
    <w:p>
      <w:pPr>
        <w:spacing w:after="0" w:line="155" w:lineRule="exact"/>
        <w:rPr>
          <w:rFonts w:ascii="Times New Roman" w:cs="Times New Roman" w:eastAsia="Times New Roman" w:hAnsi="Times New Roman"/>
          <w:sz w:val="20"/>
          <w:szCs w:val="20"/>
          <w:color w:val="auto"/>
        </w:rPr>
      </w:pPr>
    </w:p>
    <w:p>
      <w:pPr>
        <w:jc w:val="both"/>
        <w:ind w:firstLine="757"/>
        <w:spacing w:after="0" w:line="249" w:lineRule="auto"/>
        <w:tabs>
          <w:tab w:leader="none" w:pos="954"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 A, Section 3.5 of Article IV of the Certificate provides that, following the Conversion, the reissuance of the shares of Class B Common Stock converted into Class A Common Stock is prohibited, and such shares shall be retired in accordance with Section 243 of the General Corporation Law of the State of Delaware (the “</w:t>
      </w:r>
      <w:r>
        <w:rPr>
          <w:rFonts w:ascii="Times New Roman" w:cs="Times New Roman" w:eastAsia="Times New Roman" w:hAnsi="Times New Roman"/>
          <w:sz w:val="20"/>
          <w:szCs w:val="20"/>
          <w:b w:val="1"/>
          <w:bCs w:val="1"/>
          <w:color w:val="auto"/>
        </w:rPr>
        <w:t>DGCL</w:t>
      </w:r>
      <w:r>
        <w:rPr>
          <w:rFonts w:ascii="Times New Roman" w:cs="Times New Roman" w:eastAsia="Times New Roman" w:hAnsi="Times New Roman"/>
          <w:sz w:val="20"/>
          <w:szCs w:val="20"/>
          <w:color w:val="auto"/>
        </w:rPr>
        <w:t>”) and the filing with the Secretary of State of the State of Delaware required thereby.</w:t>
      </w:r>
    </w:p>
    <w:p>
      <w:pPr>
        <w:spacing w:after="0" w:line="179" w:lineRule="exact"/>
        <w:rPr>
          <w:rFonts w:ascii="Times New Roman" w:cs="Times New Roman" w:eastAsia="Times New Roman" w:hAnsi="Times New Roman"/>
          <w:sz w:val="20"/>
          <w:szCs w:val="20"/>
          <w:color w:val="auto"/>
        </w:rPr>
      </w:pPr>
    </w:p>
    <w:p>
      <w:pPr>
        <w:ind w:firstLine="757"/>
        <w:spacing w:after="0" w:line="269" w:lineRule="auto"/>
        <w:tabs>
          <w:tab w:leader="none" w:pos="991"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Directors of the Corporation has adopted resolutions retiring 5,865,732 shares of Class B Common Stock, constituting all of the shares of Class B Common Stock that were issued but not outstanding following the Conversion.</w:t>
      </w:r>
    </w:p>
    <w:p>
      <w:pPr>
        <w:spacing w:after="0" w:line="159" w:lineRule="exact"/>
        <w:rPr>
          <w:rFonts w:ascii="Times New Roman" w:cs="Times New Roman" w:eastAsia="Times New Roman" w:hAnsi="Times New Roman"/>
          <w:sz w:val="20"/>
          <w:szCs w:val="20"/>
          <w:color w:val="auto"/>
        </w:rPr>
      </w:pPr>
    </w:p>
    <w:p>
      <w:pPr>
        <w:jc w:val="both"/>
        <w:ind w:firstLine="757"/>
        <w:spacing w:after="0" w:line="266" w:lineRule="auto"/>
        <w:tabs>
          <w:tab w:leader="none" w:pos="989"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Accordingly, pursuant to the provisions of Section 243(b) of the DGCL and upon the effectiveness of this Certificate of Retirement, the Certificate shall be amended so as to (a) reduce the total number of authorized shares of the capital stock of the Corporation by 5,865,732, such that the total number of authorized shares of the Corporation shall be 99,134,268, and (b) reduce the number of authorized shares of Class B Common Stock by 5,865,732, such that the number of authorized shares of Class B Common Stock shall be 134,268.</w:t>
      </w:r>
    </w:p>
    <w:p>
      <w:pPr>
        <w:spacing w:after="0" w:line="165"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Seer, Inc. has caused this Certificate of Retirement to be executed, acknowledged and filed by its duly authorized officer as of December 12, 2025.</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u w:val="single" w:color="auto"/>
          <w:color w:val="auto"/>
        </w:rPr>
        <w:t>Omid Farokhzad</w:t>
      </w:r>
    </w:p>
    <w:p>
      <w:pPr>
        <w:spacing w:after="0" w:line="2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Omid Farokhzad, M.D.</w:t>
      </w:r>
    </w:p>
    <w:p>
      <w:pPr>
        <w:ind w:left="4120"/>
        <w:spacing w:after="0"/>
        <w:rPr>
          <w:sz w:val="20"/>
          <w:szCs w:val="20"/>
          <w:color w:val="auto"/>
        </w:rPr>
      </w:pPr>
      <w:r>
        <w:rPr>
          <w:rFonts w:ascii="Times New Roman" w:cs="Times New Roman" w:eastAsia="Times New Roman" w:hAnsi="Times New Roman"/>
          <w:sz w:val="20"/>
          <w:szCs w:val="20"/>
          <w:color w:val="auto"/>
        </w:rPr>
        <w:t>Chief Executive Officer and Chair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19" Type="http://schemas.openxmlformats.org/officeDocument/2006/relationships/hyperlink" Target="https://www.sec.gov/Archives/edgar/data/1726445/000162828020017214/exhibit31-closing8xk.htm" TargetMode="External"/><Relationship Id="rId20" Type="http://schemas.openxmlformats.org/officeDocument/2006/relationships/hyperlink" Target="https://www.sec.gov/Archives/edgar/data/1726445/000162828023022349/a31amendmenttotheamended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2025-12-12T15:10:32Z</dcterms:created>
  <dcterms:modified xsi:type="dcterms:W3CDTF">2025-12-12T15:10:32Z</dcterms:modified>
</cp:coreProperties>
</file>